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jc w:val="center"/>
        <w:rPr>
          <w:rFonts w:ascii="Times New Roman" w:hAnsi="Times New Roman" w:eastAsia="Times New Roman" w:cs="Times New Roman"/>
        </w:rPr>
      </w:pPr>
    </w:p>
    <w:p w14:paraId="00000002">
      <w:pPr>
        <w:jc w:val="center"/>
        <w:rPr>
          <w:rFonts w:ascii="Times New Roman" w:hAnsi="Times New Roman" w:eastAsia="Times New Roman" w:cs="Times New Roman"/>
          <w:b/>
          <w:bCs/>
        </w:rPr>
      </w:pPr>
      <w:r>
        <w:rPr>
          <w:rFonts w:ascii="Times New Roman" w:hAnsi="Times New Roman" w:eastAsia="Times New Roman" w:cs="Times New Roman"/>
          <w:b/>
          <w:bCs/>
          <w:rtl w:val="0"/>
        </w:rPr>
        <w:t xml:space="preserve">Habitar la clase universitaria. Experiencias, sentidos y tensiones </w:t>
      </w:r>
    </w:p>
    <w:p w14:paraId="00000003">
      <w:pPr>
        <w:jc w:val="center"/>
        <w:rPr>
          <w:rFonts w:ascii="Times New Roman" w:hAnsi="Times New Roman" w:eastAsia="Times New Roman" w:cs="Times New Roman"/>
        </w:rPr>
      </w:pPr>
      <w:r>
        <w:rPr>
          <w:rFonts w:ascii="Times New Roman" w:hAnsi="Times New Roman" w:eastAsia="Times New Roman" w:cs="Times New Roman"/>
          <w:b/>
          <w:bCs/>
          <w:rtl w:val="0"/>
        </w:rPr>
        <w:t>desde la perspectiva de los estudiantes</w:t>
      </w:r>
    </w:p>
    <w:p w14:paraId="00000004">
      <w:pPr>
        <w:spacing w:after="0" w:line="240" w:lineRule="auto"/>
        <w:jc w:val="right"/>
        <w:rPr>
          <w:rFonts w:ascii="Times New Roman" w:hAnsi="Times New Roman" w:eastAsia="Times New Roman" w:cs="Times New Roman"/>
        </w:rPr>
      </w:pPr>
      <w:r>
        <w:rPr>
          <w:rFonts w:ascii="Times New Roman" w:hAnsi="Times New Roman" w:eastAsia="Times New Roman" w:cs="Times New Roman"/>
          <w:rtl w:val="0"/>
        </w:rPr>
        <w:t>Yañez, Fabiana</w:t>
      </w:r>
    </w:p>
    <w:p w14:paraId="00000005">
      <w:pPr>
        <w:spacing w:after="0" w:line="240" w:lineRule="auto"/>
        <w:jc w:val="right"/>
        <w:rPr>
          <w:rFonts w:ascii="Times New Roman" w:hAnsi="Times New Roman" w:eastAsia="Times New Roman" w:cs="Times New Roman"/>
        </w:rPr>
      </w:pPr>
      <w:r>
        <w:rPr>
          <w:rFonts w:ascii="Times New Roman" w:hAnsi="Times New Roman" w:eastAsia="Times New Roman" w:cs="Times New Roman"/>
          <w:rtl w:val="0"/>
        </w:rPr>
        <w:t>Universidad Nacional de Salta</w:t>
      </w:r>
    </w:p>
    <w:p w14:paraId="00000006">
      <w:pPr>
        <w:spacing w:after="0" w:line="240" w:lineRule="auto"/>
        <w:jc w:val="right"/>
        <w:rPr>
          <w:rFonts w:ascii="Times New Roman" w:hAnsi="Times New Roman" w:eastAsia="Times New Roman" w:cs="Times New Roman"/>
        </w:rPr>
      </w:pPr>
      <w:r>
        <w:rPr>
          <w:rFonts w:ascii="Times New Roman" w:hAnsi="Times New Roman" w:eastAsia="Times New Roman" w:cs="Times New Roman"/>
          <w:rtl w:val="0"/>
        </w:rPr>
        <w:t>yanezfabiana@hum.unsa.edu.ar</w:t>
      </w:r>
    </w:p>
    <w:p w14:paraId="00000007">
      <w:pPr>
        <w:rPr>
          <w:rFonts w:ascii="Times New Roman" w:hAnsi="Times New Roman" w:eastAsia="Times New Roman" w:cs="Times New Roman"/>
        </w:rPr>
      </w:pPr>
    </w:p>
    <w:p w14:paraId="00000008">
      <w:pPr>
        <w:spacing w:after="0" w:line="240" w:lineRule="auto"/>
        <w:jc w:val="right"/>
        <w:rPr>
          <w:rFonts w:ascii="Times New Roman" w:hAnsi="Times New Roman" w:eastAsia="Times New Roman" w:cs="Times New Roman"/>
        </w:rPr>
      </w:pPr>
      <w:r>
        <w:rPr>
          <w:rFonts w:ascii="Times New Roman" w:hAnsi="Times New Roman" w:eastAsia="Times New Roman" w:cs="Times New Roman"/>
          <w:rtl w:val="0"/>
        </w:rPr>
        <w:t>Saientz, Deborah</w:t>
      </w:r>
    </w:p>
    <w:p w14:paraId="00000009">
      <w:pPr>
        <w:spacing w:after="0" w:line="240" w:lineRule="auto"/>
        <w:jc w:val="right"/>
        <w:rPr>
          <w:rFonts w:ascii="Times New Roman" w:hAnsi="Times New Roman" w:eastAsia="Times New Roman" w:cs="Times New Roman"/>
        </w:rPr>
      </w:pPr>
      <w:r>
        <w:rPr>
          <w:rFonts w:ascii="Times New Roman" w:hAnsi="Times New Roman" w:eastAsia="Times New Roman" w:cs="Times New Roman"/>
          <w:rtl w:val="0"/>
        </w:rPr>
        <w:t>Universidad Nacional de Tucumán</w:t>
      </w:r>
    </w:p>
    <w:p w14:paraId="0000000A">
      <w:pPr>
        <w:spacing w:after="0" w:line="240" w:lineRule="auto"/>
        <w:jc w:val="right"/>
        <w:rPr>
          <w:rFonts w:ascii="Times New Roman" w:hAnsi="Times New Roman" w:eastAsia="Times New Roman" w:cs="Times New Roman"/>
        </w:rPr>
      </w:pPr>
      <w:r>
        <w:rPr>
          <w:rFonts w:ascii="Times New Roman" w:hAnsi="Times New Roman" w:eastAsia="Times New Roman" w:cs="Times New Roman"/>
          <w:rtl w:val="0"/>
        </w:rPr>
        <w:t>debsai@gmail.com</w:t>
      </w:r>
    </w:p>
    <w:p w14:paraId="0000000B">
      <w:pPr>
        <w:rPr>
          <w:rFonts w:ascii="Times New Roman" w:hAnsi="Times New Roman" w:eastAsia="Times New Roman" w:cs="Times New Roman"/>
          <w:b/>
          <w:bCs/>
        </w:rPr>
      </w:pPr>
    </w:p>
    <w:p w14:paraId="0000000C">
      <w:pPr>
        <w:spacing w:line="240" w:lineRule="auto"/>
        <w:jc w:val="both"/>
        <w:rPr>
          <w:rFonts w:ascii="Times New Roman" w:hAnsi="Times New Roman" w:eastAsia="Times New Roman" w:cs="Times New Roman"/>
        </w:rPr>
      </w:pPr>
      <w:r>
        <w:rPr>
          <w:rFonts w:ascii="Times New Roman" w:hAnsi="Times New Roman" w:eastAsia="Times New Roman" w:cs="Times New Roman"/>
          <w:b/>
          <w:bCs/>
          <w:rtl w:val="0"/>
        </w:rPr>
        <w:t xml:space="preserve">Resumen: </w:t>
      </w:r>
      <w:r>
        <w:rPr>
          <w:rFonts w:ascii="Times New Roman" w:hAnsi="Times New Roman" w:eastAsia="Times New Roman" w:cs="Times New Roman"/>
          <w:b w:val="0"/>
          <w:bCs w:val="0"/>
          <w:rtl w:val="0"/>
        </w:rPr>
        <w:t>E</w:t>
      </w:r>
      <w:r>
        <w:rPr>
          <w:rFonts w:ascii="Times New Roman" w:hAnsi="Times New Roman" w:eastAsia="Times New Roman" w:cs="Times New Roman"/>
          <w:rtl w:val="0"/>
        </w:rPr>
        <w:t>n esta producción se proponen algunas reflexiones sobre el papel de la clase universitaria como dispositivo pedagógico central en la construcción del oficio del estudiante ingresante. Forma parte de la investigación doctoral en curso, titulada: “Experiencias de aprendizaje de ingresantes a la universidad en contexto de emergencia socio-sanitaria. El caso de los estudiantes de la Carrera Licenciatura en Ciencias de la Comunicación, UNSa (Cohortes 2.020, 2021 y 2022). Focaliza en algunas construcciones de sentido que se desprenden del análisis cualitativo de las voces estudiantiles, referidas a sus formas de experienciar las clases universitarias, entendidas como dispositivo pedagógico-didáctico propio de las universidades. Los dispositivos de formación en la universidad se materializan en propuestas complejas que articulan distintos aspectos de la formación, contenidos disciplinares, estrategias y mediaciones pedagógicas desplegados en trayectos diversificados e interrelacionados. Desde esta perspectiva, se recuperan formas de experienciar y nombrar las clases universitarias en pandemia y</w:t>
      </w:r>
      <w:r>
        <w:rPr>
          <w:rFonts w:hint="default" w:ascii="Times New Roman" w:hAnsi="Times New Roman" w:eastAsia="Times New Roman" w:cs="Times New Roman"/>
          <w:rtl w:val="0"/>
          <w:lang w:val="es-AR"/>
        </w:rPr>
        <w:t xml:space="preserve"> </w:t>
      </w:r>
      <w:r>
        <w:rPr>
          <w:rFonts w:ascii="Times New Roman" w:hAnsi="Times New Roman" w:eastAsia="Times New Roman" w:cs="Times New Roman"/>
          <w:rtl w:val="0"/>
        </w:rPr>
        <w:t>post pandemia, y se interroga sobre los sentidos que los estudiantes atribuyen a ellas en el marco de los procesos de apropiación del espacio universitario. Las clases universitarias emergen como experiencias que participan en la configuración de subjetividades, como espacio mediador en los procesos de alfabetización académica y construcción de nuevos conocimientos académicos, dispositivo en el que se tejen afectividades, encuentros y también desencuentros. También se experiencia como espacio atravesado por desigualdades y terreno de disputa y copresencia de modelos tradicionales de enseñanza junto a intentos por convocar la clase desde la disrupción y la novedad. Al respecto, la clase universitaria en pandemia, reconfigurada en sus formas debido a la emergencia sociosanitaria y a la virtualización forzosa, no conllevó necesariamente una renovación pedagógica y didáctica importante. Por el contrario, los testimonios estudiantiles refieren a prácticas de enseñanza que intentaron reproducir los modelos expositivos de las aulas presenciales, es decir, a la persistencia de la matriz clásica de la academia. Por todo ello, la clase se experiencia como parte sustantiva de la formación inicial que promueve o puede promover la construcción de procesos de aprendizajes situados. Participa activamente en la experiencia de afiliación, la que no es homogénea ni garantizada pero que se vincula fuertemente con las mediaciones pedagógicas desplegadas por la institución. En este marco, se interroga por las posibilidades y límites de la recreación de la clase universitaria en el ingreso para que la universidad pueda ser un espacio realmente habitado. Este dispositivo, en su complejidad, emerge como espacio material y simbólico posibilitador del encuentro para aprender con otros, como acontecimiento pedagógico que puede convocar la presencia y la implicación. De esto se trata el “tamaño de la operación pedagógica” que se juega el docente universitario en las clases. Implica revisitarlas como un acto pedagógico que tiene por horizonte la igualdad y la ampliación del acceso y participación en la educación superior, concebida como derecho fundamental de los seres humanos.</w:t>
      </w:r>
    </w:p>
    <w:p w14:paraId="0000000D">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tl w:val="0"/>
        </w:rPr>
        <w:t xml:space="preserve">Palabras clave: </w:t>
      </w:r>
      <w:r>
        <w:rPr>
          <w:rFonts w:ascii="Times New Roman" w:hAnsi="Times New Roman" w:eastAsia="Times New Roman" w:cs="Times New Roman"/>
          <w:b w:val="0"/>
          <w:bCs w:val="0"/>
          <w:rtl w:val="0"/>
        </w:rPr>
        <w:t xml:space="preserve">Ingreso </w:t>
      </w:r>
      <w:r>
        <w:rPr>
          <w:rFonts w:ascii="Times New Roman" w:hAnsi="Times New Roman" w:eastAsia="Times New Roman" w:cs="Times New Roman"/>
          <w:rtl w:val="0"/>
        </w:rPr>
        <w:t>universitario</w:t>
      </w:r>
      <w:r>
        <w:rPr>
          <w:rFonts w:ascii="Times New Roman" w:hAnsi="Times New Roman" w:eastAsia="Times New Roman" w:cs="Times New Roman"/>
          <w:b w:val="0"/>
          <w:bCs w:val="0"/>
          <w:rtl w:val="0"/>
        </w:rPr>
        <w:t>, Clase universitaria, Enseñanza</w:t>
      </w:r>
    </w:p>
    <w:p w14:paraId="0000000E">
      <w:pPr>
        <w:spacing w:line="240" w:lineRule="auto"/>
        <w:rPr>
          <w:rFonts w:ascii="Times New Roman" w:hAnsi="Times New Roman" w:eastAsia="Times New Roman" w:cs="Times New Roman"/>
          <w:b/>
          <w:bCs/>
        </w:rPr>
      </w:pPr>
      <w:r>
        <w:rPr>
          <w:rFonts w:ascii="Times New Roman" w:hAnsi="Times New Roman" w:eastAsia="Times New Roman" w:cs="Times New Roman"/>
          <w:b/>
          <w:bCs/>
          <w:rtl w:val="0"/>
        </w:rPr>
        <w:t>Introducción</w:t>
      </w:r>
    </w:p>
    <w:p w14:paraId="000000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Esta producción focaliza en algunas construcciones de sentido que se desprenden del análisis cualitativo de las voces estudiantiles cuando narran sus experiencias en las clases del ingreso universitario en pandemia y post pandemia. Forma parte del proceso de investigación doctoral en curso que, desde un posicionamiento multirreferencial (Ardoino, 1991) y situado en el campo del pensamiento pedagógico sobre los inicios, estudia las experiencias de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lang w:val="es-AR"/>
        </w:rPr>
        <w:t>aprendizaje</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de estudiantes ingresantes de la carrera de Ciencias de la Comunicación durante los años 2020 a 2022, en la Facultad de Humanidades, U.N.Sa. </w:t>
      </w:r>
    </w:p>
    <w:p w14:paraId="000000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i w:val="0"/>
          <w:iCs w:val="0"/>
          <w:color w:val="000000"/>
          <w:sz w:val="24"/>
          <w:szCs w:val="24"/>
          <w:u w:val="none"/>
          <w:vertAlign w:val="baseline"/>
        </w:rPr>
      </w:pPr>
      <w:r>
        <w:rPr>
          <w:rFonts w:ascii="Times New Roman" w:hAnsi="Times New Roman" w:eastAsia="Times New Roman" w:cs="Times New Roman"/>
          <w:rtl w:val="0"/>
        </w:rPr>
        <w:t xml:space="preserve">Se conciben los estudios del ingreso universitario como una categoría epistémica, política y pedagógico-didáctica y como un campo de conocimiento con identidad propia, que revela las complejidades de la sociedad actual y un contexto de desigualdades múltiples. En el marco del Derecho a la Educación Superior, se plantea la necesidad de avanzar en formas de acompañamiento pedagógico que permitan la inclusión efectiva de los estudiantes, en tanto la universidad constituye un espacio social y educativo atravesado por permanentes tensiones inclusivas y excluyentes (García, 2023; Ramallo, 2010; Vera de Flachs, 2019; Zárate, 2019). </w:t>
      </w:r>
    </w:p>
    <w:p w14:paraId="000000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231F20"/>
          <w:sz w:val="24"/>
          <w:szCs w:val="24"/>
          <w:u w:val="none"/>
          <w:shd w:val="clear" w:fill="auto"/>
          <w:vertAlign w:val="baseline"/>
          <w:rtl w:val="0"/>
        </w:rPr>
        <w:t xml:space="preserve">Se adopta la perspectiva propuesta por Mancovsky, V. y Mas Rocha, S. (2019) quienes sostienen que volverse estudiante excede el momento puntual del ingreso y el reconocimiento formal de la condición por parte de la institución, y abarca temporalmente, un proceso más extenso y diversificado que merece ser pensado desde una Pedagogía de los inicios. De esta manera, el proceso de formación iniciado por los estudiantes como una construcción, como una búsqueda activa que los sujetos realizan en el contexto de pertenencia y formación, involucra no sólo aspectos académicos. En éste proceso, interjuegan aprendizajes, crecimientos, carencias, cuestionamientos, decisiones, cambios, potencialidades, representaciones sobre la universidad, sobre la profesión elegida, sobre el saber, en definitiva, sobre sí mismos como ser biográfico y social. </w:t>
      </w: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Con ello las autoras sostienen que el estudiantado que inicia una experiencia en la universidad se ve interpelado en modos de ser y estar en una nueva institución que reflejan un cambio identitario en los sujetos.</w:t>
      </w:r>
    </w:p>
    <w:p w14:paraId="00000012">
      <w:pPr>
        <w:keepNext w:val="0"/>
        <w:keepLines w:val="0"/>
        <w:widowControl/>
        <w:spacing w:line="240" w:lineRule="auto"/>
        <w:jc w:val="both"/>
        <w:rPr>
          <w:rFonts w:ascii="Times New Roman" w:hAnsi="Times New Roman" w:eastAsia="Times New Roman" w:cs="Times New Roman"/>
          <w:sz w:val="24"/>
          <w:szCs w:val="24"/>
        </w:rPr>
      </w:pPr>
    </w:p>
    <w:p w14:paraId="000000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En este marco, el trabajo analítico y reflexivo sobre los datos emergentes en el trabajo de campo, implicó un desafío significativo, dada la complejidad de los sentidos construidos y el compromiso asumido por la investigadora con las múltiples historias recuperadas desde las voces de los sujetos. Un constante movimiento intelectual y ético-político caracterizó este momento de lectura atenta, interpelada por los testimonios. En tanto proceso interpretativo de naturaleza cualitativa, el proceso de análisis de los datos implicó algunas etapas recursivas: reducción, categorización, representación e interpretación (Latorre Beltrán et al., 1996). Se orientó principalmente a la construcción de categorías analíticas que surgieron del análisis de las voces y datos. En palabras de Yuni y Urbano (</w:t>
      </w:r>
      <w:r>
        <w:rPr>
          <w:rFonts w:ascii="Times New Roman" w:hAnsi="Times New Roman" w:eastAsia="Times New Roman" w:cs="Times New Roman"/>
          <w:b w:val="0"/>
          <w:bCs w:val="0"/>
          <w:i w:val="0"/>
          <w:iCs w:val="0"/>
          <w:smallCaps w:val="0"/>
          <w:strike w:val="0"/>
          <w:color w:val="000000"/>
          <w:sz w:val="24"/>
          <w:szCs w:val="24"/>
          <w:u w:val="none"/>
          <w:vertAlign w:val="baseline"/>
          <w:rtl w:val="0"/>
        </w:rPr>
        <w:t>20</w:t>
      </w:r>
      <w:r>
        <w:rPr>
          <w:rFonts w:ascii="Times New Roman" w:hAnsi="Times New Roman" w:eastAsia="Times New Roman" w:cs="Times New Roman"/>
          <w:rtl w:val="0"/>
        </w:rPr>
        <w:t>1</w:t>
      </w:r>
      <w:r>
        <w:rPr>
          <w:rFonts w:ascii="Times New Roman" w:hAnsi="Times New Roman" w:eastAsia="Times New Roman" w:cs="Times New Roman"/>
          <w:b w:val="0"/>
          <w:bCs w:val="0"/>
          <w:i w:val="0"/>
          <w:iCs w:val="0"/>
          <w:smallCaps w:val="0"/>
          <w:strike w:val="0"/>
          <w:color w:val="000000"/>
          <w:sz w:val="24"/>
          <w:szCs w:val="24"/>
          <w:u w:val="none"/>
          <w:vertAlign w:val="baseline"/>
          <w:rtl w:val="0"/>
        </w:rPr>
        <w:t>6)</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se considera un proceso de carácter cíclico e interactivo que requiere la convergencia de tres actividades intelectuales: procesos de generación teórica, procesos de expansión y contrastación de teorías y procedimientos analíticos. </w:t>
      </w:r>
    </w:p>
    <w:p w14:paraId="000000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p w14:paraId="000000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En este proceso, se seleccionaron algunas coordenadas pedagógico-didácticas para pensar la experiencia de aprendizajes de los sujetos, sus sentires y formas de nombrarlas: experiencias, inicios a la vida universitaria y, en esta aportación particular, las clases universitarias. Junto a Brailovsky (2018) se propone revisitar en clave pedagógica aquellas inquietudes, certezas e incertezas que atraviesan los recorridos por los inicios, poner en valor la construcción discursiva pedagógica como posibilitadora de reflexión de lo cotidiano y lo educativo, visibilizar lo oculto y naturalizado, re-preguntar, re-leer, aprender y desaprender. </w:t>
      </w:r>
    </w:p>
    <w:p w14:paraId="000000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Situados en este campo de conocimiento, se habilita la posibilidad de ensayar formas de nombrar y comprender la experiencia de los inicios, tomando como punto de partida las peculiares modalidades de enunciación, significación y actuación de los distintos actores institucionales en pandemia y postpandemia.</w:t>
      </w:r>
    </w:p>
    <w:p w14:paraId="00000017">
      <w:pPr>
        <w:keepNext w:val="0"/>
        <w:keepLines w:val="0"/>
        <w:widowControl/>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 xml:space="preserve">Por un lado, el concepto de experiencia permite pensar los aprendizajes de los ingresantes construidos en la universidad pública articulando aspectos individuales, colectivos y las transformaciones de las identidades. </w:t>
      </w:r>
      <w:r>
        <w:rPr>
          <w:rFonts w:ascii="Times New Roman" w:hAnsi="Times New Roman" w:eastAsia="Times New Roman" w:cs="Times New Roman"/>
          <w:sz w:val="24"/>
          <w:szCs w:val="24"/>
          <w:rtl w:val="0"/>
        </w:rPr>
        <w:t xml:space="preserve">Es notable cómo ingresar a la universidad implica necesariamente un proceso de transformación personal que involucra cambios y novedad, una transformación en un plano subjetivo abiertamente reconocido y movilizador. </w:t>
      </w:r>
      <w:r>
        <w:rPr>
          <w:rFonts w:ascii="Times New Roman" w:hAnsi="Times New Roman" w:eastAsia="Times New Roman" w:cs="Times New Roman"/>
          <w:color w:val="000000"/>
          <w:sz w:val="24"/>
          <w:szCs w:val="24"/>
          <w:rtl w:val="0"/>
        </w:rPr>
        <w:t xml:space="preserve">Siguiendo a Larrosa (2006, 2006a), la experiencia implica entonces la transformación del sujeto y el resultado de la experiencia es la formación o la transformación del sujeto de la experiencia. </w:t>
      </w:r>
      <w:r>
        <w:rPr>
          <w:rFonts w:ascii="Times New Roman" w:hAnsi="Times New Roman" w:eastAsia="Times New Roman" w:cs="Times New Roman"/>
          <w:color w:val="231F20"/>
          <w:sz w:val="24"/>
          <w:szCs w:val="24"/>
          <w:rtl w:val="0"/>
        </w:rPr>
        <w:t xml:space="preserve">En el contexto de la investigación, asumir la experiencia como categoría pedagógica, habilita la mirada y la voz de los estudiantes universitarios, revaloriza la experiencia del sujeto como complejidad, como encrucijada de sentidos que permitan acceder a la comprensión de aspectos nodales de sus vivencias iniciales en la universidad. </w:t>
      </w:r>
    </w:p>
    <w:p w14:paraId="00000018">
      <w:pPr>
        <w:keepNext w:val="0"/>
        <w:keepLines w:val="0"/>
        <w:widowControl/>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231F20"/>
          <w:sz w:val="24"/>
          <w:szCs w:val="24"/>
          <w:rtl w:val="0"/>
        </w:rPr>
        <w:t>En este contexto, Sandra Carli (2012), recupera la noción de experiencia universitaria en su carácter cultural, entendiendo que en ella se intersectan procesos subjetivos e institucionales. Para ésta autora, recuperar la experiencia estudiantil implica explorar una cultura en la que los estudiantes despliegan un conjunto de prácticas en contextos materiales específicos.</w:t>
      </w:r>
    </w:p>
    <w:p w14:paraId="000000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Por otro lado, la clase universitaria en el ingreso, como complejidad y dispositivo pedagógico, constituye una categoría central en el campo de la Didáctica que merece ser pensada desde una Pedagogía de los inicios. Es concebida como un dispositivo-pedagógico propio de este ámbito educativo, espacio en el que se materializan propuestas combinadas que atienden a distintos aspectos o ejes de la formación universitaria y contenidos disciplinares en trayectos diversificados y articulados. </w:t>
      </w:r>
    </w:p>
    <w:p w14:paraId="000000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Implica la elección e integración de elementos como: la  organización del espacio, los recursos pedagógicos a emplear, las modalidades previstas que se ponen a disposición de los estudiantes para el acceso a ellos,  la duración de la secuencia, la organización y naturaleza de las intervenciones de los docentes y las participaciones de los alumnos, el tipo de trabajo que se espera que los alumnos realicen, la naturaleza de los procesos mentales, la implicación afectiva que suponen los aprendizajes propuestos y las modalidades de evaluación de estos aprendizajes.</w:t>
      </w:r>
    </w:p>
    <w:p w14:paraId="000000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Por todo ello, revisitar pedagógicamente las experiencias de las clases en el ingreso, permite comprender cómo esta se reconfigura en un tiempo y espacio particular, y qué maneras de enseñar, aprender, participar y habitar la universidad recrean constantemente los sujetos en ellas en tiempo de emergencias y transiciones (Spiegel, 2022). Sólo exige </w:t>
      </w:r>
      <w:r>
        <w:rPr>
          <w:rFonts w:ascii="Times New Roman" w:hAnsi="Times New Roman" w:eastAsia="Times New Roman" w:cs="Times New Roman"/>
          <w:rtl w:val="0"/>
        </w:rPr>
        <w:t>una mirada</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abierta para reconocer sus episodios, sucesos, incidentes y ocurrencias (Edelstein, 2023), donde se entretejen lo social, institucional, grupal, interpersonal e individual en niveles explícitos y también ocultos de la experiencia.</w:t>
      </w:r>
    </w:p>
    <w:p w14:paraId="000000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p>
    <w:p w14:paraId="0000001D">
      <w:pPr>
        <w:spacing w:line="240" w:lineRule="auto"/>
        <w:rPr>
          <w:rFonts w:ascii="Times New Roman" w:hAnsi="Times New Roman" w:eastAsia="Times New Roman" w:cs="Times New Roman"/>
          <w:b/>
          <w:bCs/>
        </w:rPr>
      </w:pPr>
      <w:r>
        <w:rPr>
          <w:rFonts w:ascii="Times New Roman" w:hAnsi="Times New Roman" w:eastAsia="Times New Roman" w:cs="Times New Roman"/>
          <w:b/>
          <w:bCs/>
          <w:rtl w:val="0"/>
        </w:rPr>
        <w:t>Desarrollo</w:t>
      </w:r>
    </w:p>
    <w:p w14:paraId="0000001E">
      <w:pPr>
        <w:spacing w:line="240" w:lineRule="auto"/>
        <w:jc w:val="both"/>
        <w:rPr>
          <w:rFonts w:ascii="Times New Roman" w:hAnsi="Times New Roman" w:eastAsia="Times New Roman" w:cs="Times New Roman"/>
          <w:i w:val="0"/>
          <w:iCs w:val="0"/>
          <w:color w:val="000000"/>
          <w:sz w:val="24"/>
          <w:szCs w:val="24"/>
          <w:u w:val="none"/>
          <w:vertAlign w:val="baseline"/>
        </w:rPr>
      </w:pPr>
      <w:r>
        <w:rPr>
          <w:rFonts w:ascii="Times New Roman" w:hAnsi="Times New Roman" w:eastAsia="Times New Roman" w:cs="Times New Roman"/>
          <w:i w:val="0"/>
          <w:iCs w:val="0"/>
          <w:color w:val="000000"/>
          <w:sz w:val="24"/>
          <w:szCs w:val="24"/>
          <w:u w:val="none"/>
          <w:vertAlign w:val="baseline"/>
          <w:rtl w:val="0"/>
        </w:rPr>
        <w:t xml:space="preserve">Las clases universitarias, en tanto dispositivo pedagógico-didáctico propio de las universidades, emerge como categoría cargada de sentido para comprender los procesos de ingreso a la universidad. Se presenta, reconfigurada y permanentemente significante, en el devenir de las actuaciones particulares de los sujetos y en el marco de las decisiones macroestructurales que orientaron el despliegue de los dispositivos de formación en la universidad en tiempo de emergencias y transiciones. </w:t>
      </w:r>
    </w:p>
    <w:p w14:paraId="000000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0" w:line="240" w:lineRule="auto"/>
        <w:ind w:left="0" w:right="0" w:firstLine="0"/>
        <w:jc w:val="both"/>
        <w:rPr>
          <w:rFonts w:ascii="Times New Roman" w:hAnsi="Times New Roman" w:eastAsia="Times New Roman" w:cs="Times New Roman"/>
        </w:rPr>
      </w:pPr>
      <w:r>
        <w:rPr>
          <w:rFonts w:ascii="Times New Roman" w:hAnsi="Times New Roman" w:eastAsia="Times New Roman" w:cs="Times New Roman"/>
          <w:rtl w:val="0"/>
        </w:rPr>
        <w:t xml:space="preserve">Desde una perspectiva pedagógico-didáctica, constituye un dispositivo de formación (Souto, 2019) e implica siempre la combinación de diversas instancias articuladas para que el estudiante pueda formarse a través de la relación de un conjunto de actividades propuestas por los docentes. Al respecto, Anijovich et al. (2016) sostienen que un dispositivo de formación es una particular forma de organizar la experiencia formativa con el propósito de generar situaciones experimentales para la formación de los sujetos. Incluye dos dimensiones íntimamente relacionadas: una faz organizativa de los medios pedagógicos y una faz afectiva, disposición o tendencia en los sujetos en formación. </w:t>
      </w:r>
    </w:p>
    <w:p w14:paraId="000000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Por ello, el dispositivo es un conjunto de acciones pedagógicas que se integran formando un todo que permite la articulación de lógicas disciplinares, las posibilidades de apropiación por los sujetos y las  situaciones y contextos particulares. El dispositivo pedagógico, es un espacio creativo, abierto, productivo, múltiple, diverso, transformable en su potencialidad. Se materializa en distintas propuestas y trayectos particulares: clases teóricas, trabajos en laboratorio, talleres técnicos, artísticos, unidades de atención a pacientes, formatos virtuales diversos para consulta, para observación de situaciones filmadas, ateneos de discusión de casos o de investigaciones, trabajos directos en terreno, participación en eventos científicos, entre otros.</w:t>
      </w:r>
    </w:p>
    <w:p w14:paraId="000000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La clase en el ingreso se expresa  así de manera situada y singular, como un dispositivo pedagógico complejo e histórico que articula discursos, prácticas, normas, espacios, tiempos y relaciones entre docentes y estudiantes. En ella se entretejen redes materiales y simbólicas entre los sujetos y la institución, relaciones de saber y poder que producen determinadas formas de subjetividad y maneras de apropiarse del espacio universitario. Como dispositivo de formación, pone en juego dimensiones organizativas, cognitivas y afectivas, contenidos a aprender, vínculos pedagógicos, modalidades de participación y formas de acompañamiento a estudiantes que inician su trayectoria académica. </w:t>
      </w:r>
    </w:p>
    <w:p w14:paraId="00000022">
      <w:pPr>
        <w:spacing w:line="240" w:lineRule="auto"/>
        <w:jc w:val="both"/>
        <w:rPr>
          <w:rFonts w:ascii="Times New Roman" w:hAnsi="Times New Roman" w:eastAsia="Times New Roman" w:cs="Times New Roman"/>
          <w:i w:val="0"/>
          <w:iCs w:val="0"/>
          <w:color w:val="000000"/>
          <w:sz w:val="24"/>
          <w:szCs w:val="24"/>
          <w:u w:val="none"/>
          <w:vertAlign w:val="baseline"/>
        </w:rPr>
      </w:pPr>
    </w:p>
    <w:p w14:paraId="00000023">
      <w:pPr>
        <w:pStyle w:val="3"/>
        <w:keepNext w:val="0"/>
        <w:keepLines w:val="0"/>
        <w:widowControl/>
        <w:spacing w:before="0" w:after="0" w:line="240" w:lineRule="auto"/>
        <w:jc w:val="both"/>
        <w:rPr>
          <w:i w:val="0"/>
          <w:iCs w:val="0"/>
        </w:rPr>
      </w:pPr>
      <w:r>
        <w:rPr>
          <w:rFonts w:ascii="Times New Roman" w:hAnsi="Times New Roman" w:eastAsia="Times New Roman" w:cs="Times New Roman"/>
          <w:b/>
          <w:bCs/>
          <w:i w:val="0"/>
          <w:iCs w:val="0"/>
          <w:color w:val="000000"/>
          <w:sz w:val="24"/>
          <w:szCs w:val="24"/>
          <w:u w:val="none"/>
          <w:vertAlign w:val="baseline"/>
          <w:rtl w:val="0"/>
        </w:rPr>
        <w:t>Las clases en pandemia desde las voces de los estudiantes. </w:t>
      </w:r>
    </w:p>
    <w:p w14:paraId="000000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El proceso de domiciliación vivido por las instituciones educativas en pandemia, implicó que la enseñanza y el aprendizaje se separaran de la copresencia de los cuerpos y de la ocupación de un lugar físico compartido, rompiendo con los supuestos básicos de un modelo pedagógico presencial propio del dispositivo moderno (Dussel</w:t>
      </w:r>
      <w:r>
        <w:rPr>
          <w:rFonts w:ascii="Times New Roman" w:hAnsi="Times New Roman" w:eastAsia="Times New Roman" w:cs="Times New Roman"/>
          <w:rtl w:val="0"/>
        </w:rPr>
        <w:t xml:space="preserve"> et al.,</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2020). </w:t>
      </w:r>
    </w:p>
    <w:p w14:paraId="000000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El contexto inédito que atravesó las instituciones educativas tensionó las mismas bases que sustentaron las propuestas de enseñanza. La pandemia interpeló, no sólo los saberes pedagógicos y tecnológicos disponibles, sino también las condiciones de posibilidad de los aprendizajes estudiantiles y del trabajo docente. La suspensión de la presencialidad y la migración abrupta hacia modalidades virtuales pusieron en cuestión formas consolidadas de enseñar, aprender y habitar la clase en la universidad. </w:t>
      </w:r>
    </w:p>
    <w:p w14:paraId="000000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Este escenario puso en superficie distintas tensiones, particularmente en las aulas del ingreso universitario, definiéndose como una compleja problemática para aquellos que ingresaron y enseñaron en las universidades nacionales entre el 2020 y 2021. </w:t>
      </w: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En el marco de este proceso de transformación de la clase universitaria en pandemia, resulta relevante recuperar las formas propias de nombrar las clases por la “generación COVID”, atendiendo a los sentidos que ella construye acerca de las prácticas universitarias en el primer año  desarrolladas en este período excepcional. Indagar estas experiencias supone preguntarse por las condiciones que hicieron posible la clase en un contexto marcado por la virtualización forzada y por las profundas alteraciones de las formas tradicionales de enseñar y aprender en la universidad. </w:t>
      </w:r>
    </w:p>
    <w:p w14:paraId="000000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El desdibujamiento de las coordenadas espacio-temporales propias de la presencialidad habilita una serie de interrogantes acerca de las formas que asumió la clase universitaria en contextos de virtualización forzada. ¿Cómo es experienciada la clase en entornos de virtualización forzada? ¿De qué modo se reconfiguran sus dimensiones constitutivas? ¿Es posible sostener la clase como dispositivo pedagógico cuando se alteran sus formas históricas de organización en instituciones universitarias de tradición presencial? Asimismo, resulta pertinente indagar si la clase universitaria en pandemia logró constituirse en una experiencia capaz de alojar a los estudiantes ingresantes, particularmente en un momento atravesado por incertidumbres, desigualdades y nuevas mediaciones de la experiencia de formación.</w:t>
      </w:r>
    </w:p>
    <w:p w14:paraId="000000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highlight w:val="white"/>
          <w:u w:val="none"/>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En este escenario, la clase universitaria en el ingreso, en tanto dispositivo central en los procesos de producción de sentido, afiliación institucional y construcción de aprendizajes en la universidad, es significada por los estudiantes:</w:t>
      </w:r>
    </w:p>
    <w:p w14:paraId="00000029">
      <w:pPr>
        <w:keepNext w:val="0"/>
        <w:keepLines w:val="0"/>
        <w:widowControl/>
        <w:spacing w:line="240" w:lineRule="auto"/>
        <w:jc w:val="both"/>
        <w:rPr>
          <w:rFonts w:ascii="Times New Roman" w:hAnsi="Times New Roman" w:eastAsia="Times New Roman" w:cs="Times New Roman"/>
        </w:rPr>
      </w:pPr>
      <w:r>
        <w:rPr>
          <w:rFonts w:ascii="Times New Roman" w:hAnsi="Times New Roman" w:eastAsia="Times New Roman" w:cs="Times New Roman"/>
          <w:b/>
          <w:bCs/>
          <w:i w:val="0"/>
          <w:iCs w:val="0"/>
          <w:color w:val="000000"/>
          <w:sz w:val="24"/>
          <w:szCs w:val="24"/>
          <w:u w:val="none"/>
          <w:vertAlign w:val="baseline"/>
          <w:rtl w:val="0"/>
        </w:rPr>
        <w:t xml:space="preserve">- </w:t>
      </w:r>
      <w:r>
        <w:rPr>
          <w:rFonts w:ascii="Times New Roman" w:hAnsi="Times New Roman" w:eastAsia="Times New Roman" w:cs="Times New Roman"/>
          <w:b w:val="0"/>
          <w:bCs w:val="0"/>
          <w:i w:val="0"/>
          <w:iCs w:val="0"/>
          <w:color w:val="000000"/>
          <w:sz w:val="24"/>
          <w:szCs w:val="24"/>
          <w:u w:val="none"/>
          <w:vertAlign w:val="baseline"/>
          <w:rtl w:val="0"/>
        </w:rPr>
        <w:t xml:space="preserve"> Como un espacio pedagógico donde “nadie sabía nada” y al mismo tiempo, de aprendizajes emergentes.</w:t>
      </w:r>
    </w:p>
    <w:p w14:paraId="0000002A">
      <w:pPr>
        <w:keepNext w:val="0"/>
        <w:keepLines w:val="0"/>
        <w:widowControl/>
        <w:spacing w:line="240" w:lineRule="auto"/>
        <w:jc w:val="both"/>
        <w:rPr>
          <w:rFonts w:ascii="Times New Roman" w:hAnsi="Times New Roman" w:eastAsia="Times New Roman" w:cs="Times New Roman"/>
        </w:rPr>
      </w:pPr>
      <w:r>
        <w:rPr>
          <w:rFonts w:ascii="Times New Roman" w:hAnsi="Times New Roman" w:eastAsia="Times New Roman" w:cs="Times New Roman"/>
          <w:sz w:val="24"/>
          <w:szCs w:val="24"/>
          <w:rtl w:val="0"/>
        </w:rPr>
        <w:t xml:space="preserve">-  </w:t>
      </w:r>
      <w:r>
        <w:rPr>
          <w:rFonts w:ascii="Times New Roman" w:hAnsi="Times New Roman" w:eastAsia="Times New Roman" w:cs="Times New Roman"/>
          <w:rtl w:val="0"/>
        </w:rPr>
        <w:t>Como una experiencia pedagógica alterada  (Maggio, 2022) y domiciliada (Dussell, 2020).</w:t>
      </w:r>
    </w:p>
    <w:p w14:paraId="0000002B">
      <w:pPr>
        <w:keepNext w:val="0"/>
        <w:keepLines w:val="0"/>
        <w:widowControl/>
        <w:spacing w:line="240" w:lineRule="auto"/>
        <w:jc w:val="both"/>
        <w:rPr>
          <w:rFonts w:ascii="Times New Roman" w:hAnsi="Times New Roman" w:eastAsia="Times New Roman" w:cs="Times New Roman"/>
        </w:rPr>
      </w:pPr>
      <w:r>
        <w:rPr>
          <w:rFonts w:ascii="Times New Roman" w:hAnsi="Times New Roman" w:eastAsia="Times New Roman" w:cs="Times New Roman"/>
          <w:rtl w:val="0"/>
        </w:rPr>
        <w:t>-  Como un espacio pedagógico con las “emociones a flor de piel” (Kaplan, 2021).</w:t>
      </w:r>
    </w:p>
    <w:p w14:paraId="0000002C">
      <w:pPr>
        <w:keepNext w:val="0"/>
        <w:keepLines w:val="0"/>
        <w:widowControl/>
        <w:spacing w:line="240" w:lineRule="auto"/>
        <w:jc w:val="both"/>
        <w:rPr>
          <w:rFonts w:ascii="Times New Roman" w:hAnsi="Times New Roman" w:eastAsia="Times New Roman" w:cs="Times New Roman"/>
        </w:rPr>
      </w:pPr>
      <w:r>
        <w:rPr>
          <w:rFonts w:ascii="Times New Roman" w:hAnsi="Times New Roman" w:eastAsia="Times New Roman" w:cs="Times New Roman"/>
          <w:rtl w:val="0"/>
        </w:rPr>
        <w:t>- Como un espacio pedagógico tensionado: “en el aula (presencial) pasa… pero en lo virtual no”.</w:t>
      </w:r>
    </w:p>
    <w:p w14:paraId="0000002D">
      <w:pPr>
        <w:keepNext w:val="0"/>
        <w:keepLines w:val="0"/>
        <w:widowControl/>
        <w:spacing w:line="240" w:lineRule="auto"/>
        <w:jc w:val="both"/>
        <w:rPr>
          <w:rFonts w:ascii="Times New Roman" w:hAnsi="Times New Roman" w:eastAsia="Times New Roman" w:cs="Times New Roman"/>
        </w:rPr>
      </w:pPr>
      <w:r>
        <w:rPr>
          <w:rFonts w:ascii="Times New Roman" w:hAnsi="Times New Roman" w:eastAsia="Times New Roman" w:cs="Times New Roman"/>
          <w:rtl w:val="0"/>
        </w:rPr>
        <w:t>- Como un espacio pedagógico en el que “algunos se quedaban afuera”, dando cuenta de experiencias de desigualdad y brechas múltiples (Fernández Enguita, 2020).</w:t>
      </w:r>
    </w:p>
    <w:p w14:paraId="0000002E">
      <w:pPr>
        <w:keepNext w:val="0"/>
        <w:keepLines w:val="0"/>
        <w:widowControl/>
        <w:spacing w:line="240" w:lineRule="auto"/>
        <w:jc w:val="both"/>
        <w:rPr>
          <w:rFonts w:ascii="Times New Roman" w:hAnsi="Times New Roman" w:eastAsia="Times New Roman" w:cs="Times New Roman"/>
        </w:rPr>
      </w:pPr>
      <w:r>
        <w:rPr>
          <w:rFonts w:ascii="Times New Roman" w:hAnsi="Times New Roman" w:eastAsia="Times New Roman" w:cs="Times New Roman"/>
          <w:rtl w:val="0"/>
        </w:rPr>
        <w:t>- Como un espacio pedagógico valorado: “para los que supieron y pudieron aprovecharlo”.</w:t>
      </w:r>
    </w:p>
    <w:p w14:paraId="0000002F">
      <w:pPr>
        <w:keepNext w:val="0"/>
        <w:keepLines w:val="0"/>
        <w:widowControl/>
        <w:spacing w:line="240" w:lineRule="auto"/>
        <w:jc w:val="both"/>
        <w:rPr>
          <w:rFonts w:ascii="Times New Roman" w:hAnsi="Times New Roman" w:eastAsia="Times New Roman" w:cs="Times New Roman"/>
        </w:rPr>
      </w:pPr>
      <w:r>
        <w:rPr>
          <w:rFonts w:ascii="Times New Roman" w:hAnsi="Times New Roman" w:eastAsia="Times New Roman" w:cs="Times New Roman"/>
          <w:rtl w:val="0"/>
        </w:rPr>
        <w:t>- Como un espacio pedagógico donde la evaluación fue puesta en cuestión: “te presentas virtualmente… lo resolvés y aprobás”.</w:t>
      </w:r>
    </w:p>
    <w:p w14:paraId="00000030">
      <w:pPr>
        <w:keepNext w:val="0"/>
        <w:keepLines w:val="0"/>
        <w:widowControl/>
        <w:spacing w:before="0" w:after="280" w:line="240" w:lineRule="auto"/>
        <w:rPr>
          <w:rFonts w:ascii="Times New Roman" w:hAnsi="Times New Roman" w:eastAsia="Times New Roman" w:cs="Times New Roman"/>
          <w:b/>
          <w:bCs/>
          <w:i w:val="0"/>
          <w:iCs w:val="0"/>
          <w:color w:val="000000"/>
          <w:sz w:val="24"/>
          <w:szCs w:val="24"/>
          <w:u w:val="none"/>
        </w:rPr>
      </w:pPr>
      <w:r>
        <w:rPr>
          <w:rFonts w:ascii="Times New Roman" w:hAnsi="Times New Roman" w:eastAsia="Times New Roman" w:cs="Times New Roman"/>
          <w:b/>
          <w:bCs/>
          <w:i w:val="0"/>
          <w:iCs w:val="0"/>
          <w:color w:val="000000"/>
          <w:sz w:val="24"/>
          <w:szCs w:val="24"/>
          <w:u w:val="none"/>
          <w:vertAlign w:val="baseline"/>
          <w:rtl w:val="0"/>
        </w:rPr>
        <w:t>Las clases en post pandemia</w:t>
      </w:r>
    </w:p>
    <w:p w14:paraId="00000031">
      <w:pPr>
        <w:spacing w:line="240" w:lineRule="auto"/>
        <w:jc w:val="both"/>
        <w:rPr>
          <w:rFonts w:ascii="Times New Roman" w:hAnsi="Times New Roman" w:eastAsia="Times New Roman" w:cs="Times New Roman"/>
        </w:rPr>
      </w:pPr>
      <w:r>
        <w:rPr>
          <w:rFonts w:ascii="Times New Roman" w:hAnsi="Times New Roman" w:eastAsia="Times New Roman" w:cs="Times New Roman"/>
          <w:rtl w:val="0"/>
        </w:rPr>
        <w:t>Otro eje relevante para comprender las transformaciones de la experiencia universitaria, refiere a</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los modos en que la clase es nombrada, vivida y significada por estudiantes que transitaron un período de transición entre la experiencia de la pandemia y una etapa posterior caracterizada por la denominada “vuelta a la normalidad”. </w:t>
      </w:r>
    </w:p>
    <w:p w14:paraId="000000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highlight w:val="white"/>
          <w:u w:val="none"/>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 xml:space="preserve">Preguntarnos por la clase en post pandemia implicó no sólo volver a apropiarnos material y simbólicamente del espacio universitario, sino también hacernos nuevas preguntas sobre la transitado anteriormente, volver a re-conocer los espacios de la enseñanza en los inicios, poniendo en palabras el valor de la presencialidad, el papel de los vínculos y las experiencias de aprendizaje en la universidad. </w:t>
      </w:r>
    </w:p>
    <w:p w14:paraId="000000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Las transformaciones producidas durante la virtualización forzada tensionaron las formas históricas de la clase universitaria y habilitaron la revisión de prácticas largamente sedimentadas en la cultura académica. En este sentido, se coincide con quienes sostienen que transitar un “contexto histórico migrante entre tiempos de pandemia y postpandemia, la incorporación de múltiples lenguajes que se extienden (y retroalimentan) en entornos tecnológicos cada vez más diversificados y conectivos, nos permitieron interrogar la agenda de la didáctica” (Kap, 202</w:t>
      </w:r>
      <w:r>
        <w:rPr>
          <w:rFonts w:ascii="Times New Roman" w:hAnsi="Times New Roman" w:eastAsia="Times New Roman" w:cs="Times New Roman"/>
          <w:highlight w:val="white"/>
          <w:rtl w:val="0"/>
        </w:rPr>
        <w:t>2</w:t>
      </w: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 p. 95). </w:t>
      </w:r>
    </w:p>
    <w:p w14:paraId="000000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highlight w:val="white"/>
          <w:u w:val="none"/>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 xml:space="preserve">Desde esta perspectiva, resulta relevante recuperar las voces estudiantiles para pensar pedagógicamente los inicios universitarios en un escenario atravesado por transiciones, discontinuidades y reconfiguraciones de la experiencia de habitar la universidad. </w:t>
      </w:r>
    </w:p>
    <w:p w14:paraId="000000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Luego de un período de profunda fragmentación social y educativa, la clase es nombrada no sólo como un dispositivo de transmisión de conocimientos, sino como una necesaria experiencia de encuentro y reconstrucción de lo común que nos ofrece el espacio universitario. Desde las voces estudiantiles, luego de la pandemia, la clase se presenta como:</w:t>
      </w:r>
    </w:p>
    <w:p w14:paraId="00000036">
      <w:pPr>
        <w:spacing w:before="240" w:after="240" w:line="240" w:lineRule="auto"/>
        <w:jc w:val="both"/>
        <w:rPr>
          <w:rFonts w:ascii="Times New Roman" w:hAnsi="Times New Roman" w:eastAsia="Times New Roman" w:cs="Times New Roman"/>
          <w:b w:val="0"/>
          <w:bCs w:val="0"/>
          <w:i w:val="0"/>
          <w:iCs w:val="0"/>
          <w:color w:val="000000"/>
          <w:sz w:val="24"/>
          <w:szCs w:val="24"/>
          <w:highlight w:val="white"/>
          <w:u w:val="none"/>
          <w:vertAlign w:val="baseline"/>
        </w:rPr>
      </w:pPr>
      <w:r>
        <w:rPr>
          <w:rFonts w:ascii="Times New Roman" w:hAnsi="Times New Roman" w:eastAsia="Times New Roman" w:cs="Times New Roman"/>
          <w:b w:val="0"/>
          <w:bCs w:val="0"/>
          <w:i w:val="0"/>
          <w:iCs w:val="0"/>
          <w:color w:val="000000"/>
          <w:sz w:val="24"/>
          <w:szCs w:val="24"/>
          <w:highlight w:val="white"/>
          <w:u w:val="none"/>
          <w:vertAlign w:val="baseline"/>
          <w:rtl w:val="0"/>
        </w:rPr>
        <w:t>- Co</w:t>
      </w:r>
      <w:r>
        <w:rPr>
          <w:rFonts w:ascii="Times New Roman" w:hAnsi="Times New Roman" w:eastAsia="Times New Roman" w:cs="Times New Roman"/>
          <w:color w:val="000000"/>
          <w:sz w:val="24"/>
          <w:szCs w:val="24"/>
          <w:highlight w:val="white"/>
          <w:rtl w:val="0"/>
        </w:rPr>
        <w:t>mo un espacio de encuentro que favorece la construcción de una experiencia universitaria y, se prefiere: “</w:t>
      </w:r>
      <w:r>
        <w:rPr>
          <w:rFonts w:ascii="Times New Roman" w:hAnsi="Times New Roman" w:eastAsia="Times New Roman" w:cs="Times New Roman"/>
          <w:b w:val="0"/>
          <w:bCs w:val="0"/>
          <w:i w:val="0"/>
          <w:iCs w:val="0"/>
          <w:color w:val="000000"/>
          <w:sz w:val="24"/>
          <w:szCs w:val="24"/>
          <w:highlight w:val="white"/>
          <w:u w:val="none"/>
          <w:vertAlign w:val="baseline"/>
          <w:rtl w:val="0"/>
        </w:rPr>
        <w:t>la clase presencial mil veces”. </w:t>
      </w:r>
    </w:p>
    <w:p w14:paraId="000000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 xml:space="preserve">- Como un espacio pedagógico donde promueven “buenas clases” (Maggio, </w:t>
      </w:r>
      <w:r>
        <w:rPr>
          <w:rFonts w:ascii="Times New Roman" w:hAnsi="Times New Roman" w:eastAsia="Times New Roman" w:cs="Times New Roman"/>
          <w:b w:val="0"/>
          <w:bCs w:val="0"/>
          <w:i w:val="0"/>
          <w:iCs w:val="0"/>
          <w:smallCaps w:val="0"/>
          <w:strike w:val="0"/>
          <w:color w:val="000000"/>
          <w:sz w:val="24"/>
          <w:szCs w:val="24"/>
          <w:u w:val="none"/>
          <w:vertAlign w:val="baseline"/>
          <w:rtl w:val="0"/>
        </w:rPr>
        <w:t>20</w:t>
      </w:r>
      <w:r>
        <w:rPr>
          <w:rFonts w:ascii="Times New Roman" w:hAnsi="Times New Roman" w:eastAsia="Times New Roman" w:cs="Times New Roman"/>
          <w:rtl w:val="0"/>
        </w:rPr>
        <w:t>1</w:t>
      </w:r>
      <w:r>
        <w:rPr>
          <w:rFonts w:ascii="Times New Roman" w:hAnsi="Times New Roman" w:eastAsia="Times New Roman" w:cs="Times New Roman"/>
          <w:b w:val="0"/>
          <w:bCs w:val="0"/>
          <w:i w:val="0"/>
          <w:iCs w:val="0"/>
          <w:smallCaps w:val="0"/>
          <w:strike w:val="0"/>
          <w:color w:val="000000"/>
          <w:sz w:val="24"/>
          <w:szCs w:val="24"/>
          <w:u w:val="none"/>
          <w:vertAlign w:val="baseline"/>
          <w:rtl w:val="0"/>
        </w:rPr>
        <w:t>8</w:t>
      </w: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 cuando “nos hacían entender”.</w:t>
      </w:r>
    </w:p>
    <w:p w14:paraId="00000038">
      <w:pPr>
        <w:pStyle w:val="4"/>
        <w:keepNext w:val="0"/>
        <w:keepLines w:val="0"/>
        <w:widowControl/>
        <w:spacing w:before="280" w:after="80" w:line="240" w:lineRule="auto"/>
        <w:jc w:val="both"/>
        <w:rPr>
          <w:rFonts w:ascii="Times New Roman" w:hAnsi="Times New Roman" w:eastAsia="Times New Roman" w:cs="Times New Roman"/>
          <w:b w:val="0"/>
          <w:bCs w:val="0"/>
          <w:i w:val="0"/>
          <w:iCs w:val="0"/>
          <w:color w:val="000000"/>
          <w:sz w:val="24"/>
          <w:szCs w:val="24"/>
          <w:highlight w:val="white"/>
          <w:u w:val="none"/>
          <w:vertAlign w:val="baseline"/>
        </w:rPr>
      </w:pPr>
      <w:r>
        <w:rPr>
          <w:rFonts w:ascii="Times New Roman" w:hAnsi="Times New Roman" w:eastAsia="Times New Roman" w:cs="Times New Roman"/>
          <w:b w:val="0"/>
          <w:bCs w:val="0"/>
          <w:i w:val="0"/>
          <w:iCs w:val="0"/>
          <w:color w:val="000000"/>
          <w:sz w:val="24"/>
          <w:szCs w:val="24"/>
          <w:highlight w:val="white"/>
          <w:u w:val="none"/>
          <w:vertAlign w:val="baseline"/>
          <w:rtl w:val="0"/>
        </w:rPr>
        <w:t>- Como un espacio pedagógico de participación (Sanjurjo, 2019) cuando “somos protagonistas”.</w:t>
      </w:r>
    </w:p>
    <w:p w14:paraId="00000039">
      <w:pPr>
        <w:spacing w:before="240" w:after="240" w:line="240" w:lineRule="auto"/>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b w:val="0"/>
          <w:bCs w:val="0"/>
          <w:i w:val="0"/>
          <w:iCs w:val="0"/>
          <w:color w:val="000000"/>
          <w:sz w:val="24"/>
          <w:szCs w:val="24"/>
          <w:u w:val="none"/>
          <w:vertAlign w:val="baseline"/>
          <w:rtl w:val="0"/>
        </w:rPr>
        <w:t>- Como un espacio pedagógico afectivo y relacional</w:t>
      </w:r>
      <w:r>
        <w:rPr>
          <w:rFonts w:ascii="Times New Roman" w:hAnsi="Times New Roman" w:eastAsia="Times New Roman" w:cs="Times New Roman"/>
          <w:color w:val="000000"/>
          <w:sz w:val="24"/>
          <w:szCs w:val="24"/>
          <w:highlight w:val="white"/>
          <w:rtl w:val="0"/>
        </w:rPr>
        <w:t>.</w:t>
      </w:r>
    </w:p>
    <w:p w14:paraId="000000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 xml:space="preserve">- Como un espacio pedagógico de tensiones múltiples en los procesos de transmisión, construcción de subjetividades y producción de experiencias. </w:t>
      </w:r>
    </w:p>
    <w:p w14:paraId="000000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highlight w:val="white"/>
          <w:u w:val="none"/>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 Como un espacio pedagógico en el que la evaluación tiene efectos definitorios en la experiencia estudiantil (Pierella, 2016).</w:t>
      </w:r>
    </w:p>
    <w:p w14:paraId="0000003C">
      <w:pPr>
        <w:spacing w:before="240" w:after="240" w:line="240" w:lineRule="auto"/>
        <w:jc w:val="both"/>
        <w:rPr>
          <w:rFonts w:ascii="Times New Roman" w:hAnsi="Times New Roman" w:eastAsia="Times New Roman" w:cs="Times New Roman"/>
          <w:b w:val="0"/>
          <w:bCs w:val="0"/>
          <w:color w:val="000000"/>
          <w:sz w:val="24"/>
          <w:szCs w:val="24"/>
          <w:highlight w:val="white"/>
        </w:rPr>
      </w:pPr>
      <w:r>
        <w:rPr>
          <w:rFonts w:ascii="Times New Roman" w:hAnsi="Times New Roman" w:eastAsia="Times New Roman" w:cs="Times New Roman"/>
          <w:b/>
          <w:bCs/>
          <w:color w:val="000000"/>
          <w:sz w:val="24"/>
          <w:szCs w:val="24"/>
          <w:highlight w:val="white"/>
          <w:rtl w:val="0"/>
        </w:rPr>
        <w:t xml:space="preserve">-  </w:t>
      </w:r>
      <w:r>
        <w:rPr>
          <w:rFonts w:ascii="Times New Roman" w:hAnsi="Times New Roman" w:eastAsia="Times New Roman" w:cs="Times New Roman"/>
          <w:b w:val="0"/>
          <w:bCs w:val="0"/>
          <w:color w:val="000000"/>
          <w:sz w:val="24"/>
          <w:szCs w:val="24"/>
          <w:highlight w:val="white"/>
          <w:rtl w:val="0"/>
        </w:rPr>
        <w:t>Como experiencias educativas en transformación, l</w:t>
      </w:r>
      <w:r>
        <w:rPr>
          <w:rFonts w:ascii="Times New Roman" w:hAnsi="Times New Roman" w:eastAsia="Times New Roman" w:cs="Times New Roman"/>
          <w:color w:val="000000"/>
          <w:sz w:val="24"/>
          <w:szCs w:val="24"/>
          <w:highlight w:val="white"/>
          <w:rtl w:val="0"/>
        </w:rPr>
        <w:t>uego de la pandemia y a partir de la irrupción de las nuevas tecnologías en la escena universitaria (Maggio, 2022)</w:t>
      </w:r>
      <w:r>
        <w:rPr>
          <w:rFonts w:ascii="Times New Roman" w:hAnsi="Times New Roman" w:eastAsia="Times New Roman" w:cs="Times New Roman"/>
          <w:b w:val="0"/>
          <w:bCs w:val="0"/>
          <w:color w:val="000000"/>
          <w:sz w:val="24"/>
          <w:szCs w:val="24"/>
          <w:highlight w:val="white"/>
          <w:rtl w:val="0"/>
        </w:rPr>
        <w:t>.</w:t>
      </w:r>
    </w:p>
    <w:p w14:paraId="000000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Hay clase, en tiempo de transiciones.  </w:t>
      </w:r>
    </w:p>
    <w:p w14:paraId="000000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¿Qué es una clase? ¿Cómo es significada por los estudiantes ingresantes? ¿Cuáles son las condiciones que la hacen posible? ¿Qué papel ocupa en la construcción de los aprendizajes de los estudiantes? ¿Cuál es la contribución de la clase universitaria a los procesos de ingreso y afiliación a la universidad? Estos y otros interrogantes fueron la brújula que acompañaron el itinerario reflexivo transitado. </w:t>
      </w:r>
    </w:p>
    <w:p w14:paraId="000000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Aproximarnos a la experiencia universitaria desde las voces de los estudiantes puede operar como un analizador institucional en la medida que visibiliza históricas formas de organización de la vida universitaria, sus lógicas y dinámicas, sus propósitos y compromisos. Los particulares modos de nombrar las experiencias en el primer año durante la pandemia y la post pandemia permitieron recorrer un sendero sinuoso y disruptivo, aunque profundamente revelador acerca de la clase como posibilidad de encuentro.</w:t>
      </w:r>
    </w:p>
    <w:p w14:paraId="000000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La clase, en tanto categoría central de la Didáctica, permite aproximarnos a las formas en que los estudiantes construyen aprendizajes y se apropian del espacio universitario, aportando así a la construcción de un pensamiento pedagógico sobre los inicios en la educación superior. Recuperando algunas categorías de análisis propuestas por Edelstein (2023), puede afirmarse que la clase, como expresión de prácticas de enseñanza en la universidad, se configura a partir de dimensiones macro, meso y microestructurales que interactúan entre sí.</w:t>
      </w:r>
    </w:p>
    <w:p w14:paraId="000000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Las prácticas de la enseñanza y los procesos de aprendizajes de los estudiantes, inscriptos en el marco de políticas específicas en pandemia y post pandemia, se configuraron atravesadas por normas, expectativas y sentidos emergentes de las coyunturas específicas. Puede afirmarse que la configuración de las clases no se reduce al despliegue de las actuaciones, necesidades y determinaciones individuales pues sólo pueden entenderse en el marco del contexto social e institucional del que formaron parte, como escenas pedagógicas situadas, históricas, polisémicas y cambiantes.</w:t>
      </w:r>
    </w:p>
    <w:p w14:paraId="000000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Los testimonios de los estudiantes pusieron de manifiesto los atravesamientos macroestructurales del contexto histórico social más amplio que atravesó las clases y sus experiencias. Esto se hizo especialmente visible en el caso de la clase en pandemia, la que de modo particular, planteó desigualdades sociales, económicas y educativas en una clase domiciliada y alterada.</w:t>
      </w:r>
    </w:p>
    <w:p w14:paraId="000000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Así también la clase post pandemia puso en evidencia las resonancias de los acontecimientos recientes y las lentas pero irreversibles transformaciones que empezaron a operar como consecuencia del contexto</w:t>
      </w:r>
      <w:r>
        <w:rPr>
          <w:rFonts w:ascii="Times New Roman" w:hAnsi="Times New Roman" w:eastAsia="Times New Roman" w:cs="Times New Roman"/>
          <w:b/>
          <w:bCs/>
          <w:i w:val="0"/>
          <w:iCs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Las transformaciones en los modos de producción, circulación y recepción del conocimiento asociadas a la preponderancia de las tecnologías de la información y comunicación atravesaron las prácticas institucionales y la configuración de las subjetividades e identidades. </w:t>
      </w:r>
    </w:p>
    <w:p w14:paraId="000000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En este marco, las voces estudiantiles también permitieron advertir el impacto de las políticas educativas y de las decisiones institucionales adoptadas para garantizar la continuidad pedagógica. Se hicieron visibles las tensiones producidas por las redes burocráticas y los mecanismos de regulación que atravesaron las prácticas de enseñanza. La profusa normativa desplegada durante la emergencia sanitaria intentó sostener el derecho a la educación y resguardar las condiciones laborales docentes, aunque no siempre logró evitar la fragilización de los vínculos pedagógicos y de las experiencias formativas.</w:t>
      </w:r>
    </w:p>
    <w:p w14:paraId="000000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En un nivel microanalítico, los relatos estudiantiles permitieron reconocer las complejas dinámicas relacionales e intersubjetivas que se entraman en la clase y los modos en que se construye la relación con el conocimiento. En este recorrido emergen continuidades y rupturas en las formas de experienciar la clase universitaria en el ingreso. La clase en pandemia y pospandemia se presentó como una reconfiguración tensionada del dispositivo pedagógico históricamente instituido. Interrumpida, alterada, desplazada de sus escenarios habituales y en transformación, persiste como espacio necesario de encuentro, sostén y producción de sentido.</w:t>
      </w:r>
    </w:p>
    <w:p w14:paraId="00000046">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Del camino transitado emergen algunas formas comunes de nombrar y significar la experiencia de apropiación del espacio pedagógico en los inicios: </w:t>
      </w:r>
    </w:p>
    <w:p w14:paraId="00000047">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En primer lugar, las clases aparecen tensionadas entre la persistencia de formatos tradicionales de enseñanza y la emergencia de nuevas configuraciones pedagógicas. La irrupción de las tecnologías digitales en el dispositivo clase alteró sus dinámicas, sus condiciones de posibilidad y las formas de relación entre docentes y estudiantes, habilitando una transformación progresiva de los modos de diseñar la enseñanza universitaria. Aunque la presencialidad continúa siendo valorada como la experiencia privilegiada para aprender, los estudiantes reconocen la permanencia de recursos y prácticas incorporadas durante la pandemia —plataformas virtuales, materiales digitales, modalidades sincrónicas y asincrónicas, nuevas formas de comunicación y gestión académica— que diversifican las oportunidades de acceso al conocimiento. Se avizora así una experiencia universitaria caracterizada por procesos de hibridación, en la que la clase trasciende los límites físicos del aula y se expande hacia nuevos escenarios de aprendizaje.</w:t>
      </w:r>
    </w:p>
    <w:p w14:paraId="00000048">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Las experiencias estudiantiles también evidencian que la clase se encuentra atravesada por fragilidades y desigualdades que condicionan el acceso, la participación y la permanencia en la universidad. El carácter dinámico y multidimensional de las desigualdades educativas permite apreciar la interacción de diversos factores, así como las estrategias que los sujetos despliegan en su tránsito por la institución educativa y en el despliegue de las clases. En este marco, se presentaron como espacios donde materializan diversas desigualdades, especialmente en pandemia las distintas brechas analizadas se constituyeron en formas de desigualdad al obstaculizar tanto el desarrollo de las actividades académicas como la construcción de vínculos necesarios para aprender en la universidad.</w:t>
      </w:r>
    </w:p>
    <w:p w14:paraId="00000049">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La digitalización trascendió la mera incorporación de plataformas virtuales para la enseñanza, involucrando una profunda reconfiguración de los dispositivos de acompañamiento estudiantil, los procesos de evaluación y los espacios de participación institucional. Estas transformaciones alteraron las dinámicas académicas preexistentes y pusieron en tensión las formas tradicionales de enseñar, aprender y vincularse con la vida universitaria. Al mismo tiempo, habilitaron nuevos debates en torno a las desigualdades en el acceso y uso de las tecnologías, la calidad de las experiencias formativas y la sostenibilidad de las propuestas híbridas en el escenario post pandémico. </w:t>
      </w:r>
    </w:p>
    <w:p w14:paraId="0000004A">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Por otro lado, la clase se construye alrededor de presencias. Emerge como sentido compartido por todas cohortes, la construcción de la presencia como condición sustantiva para convocar la clase y volverla habitable. La necesidad de encontrarse con otros para aprender y atravesar la emergencia y la post pandemia, generó discursos y prácticas pedagógicas que exigieron la presencia en las clases como requisito para la construcción de procesos de afiliación institucional y  de vínculos pedagógicos. Incluso en la mayor de las incertidumbres y en tiempos transicionales, docentes y estudiantes sostienen, a partir de la presencia, una clase deseante, persistente e imperfecta, profundamente humana. En este contexto, el encuentro pedagógico en los inicios no se reduce únicamente a la transmisión de contenidos, sino que implica la construcción de una presencia compartida que sostiene la escucha, la confianza y el reconocimiento de los otros. </w:t>
      </w:r>
    </w:p>
    <w:p w14:paraId="0000004B">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Las clases se presentan atravesadas por emociones. Los relatos estudiantiles muestran que sentimientos de miedo, ansiedad, inseguridad, soledad e incertidumbre incidieron de manera significativa en las posibilidades de aprender y participar de la vida universitaria. Con especial énfasis, se observa que la pandemia no solo modificó las condiciones materiales de enseñanza, sino que también transformó las experiencias subjetivas de docentes y estudiantes, quienes debieron construir y sostener sus prácticas en escenarios de alta emocionalidad. Los testimonios permiten advertir que las emociones no constituyen elementos periféricos de la experiencia educativa, sino componentes centrales de los procesos de aprendizaje, afiliación y permanencia. La clase en pandemia y postpandemia se configura así como un espacio donde circulan conocimientos, pero también afectos, expectativas, temores y experiencias de reconocimiento o exclusión. Pensar la clase universitaria contemporánea implica, por tanto, reconocer su dimensión afectiva y relacional como condición constitutiva de la experiencia formativa en los inicios. </w:t>
      </w:r>
    </w:p>
    <w:p w14:paraId="0000004C">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Asimismo, la clase adquiere especial relevancia cuando orienta la construcción de aprendizajes comprensivos. La experiencia de un saber en construcción se configura como un escenario de exploración, diálogo y resolución colectiva de dificultades compartidas. Aprender comprensivamente en los inicios adquiere sentido en el proceso de apropiación de las clases. Los estudiantes valoran aquellas propuestas que favorecen la comprensión, la problematización y la producción de sentidos, desplazando concepciones estáticas de la formación universitaria. Desde esta mirada, la clase se constituye en un espacio de recontextualización del conocimiento, donde los saberes se vuelven accesibles a través de múltiples mediaciones y formas de participación. </w:t>
      </w:r>
    </w:p>
    <w:p w14:paraId="0000004D">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Calibri" w:hAnsi="Calibri" w:eastAsia="Calibri" w:cs="Calibri"/>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En estrecha relación con ello, los testimonios expresan una valoración positiva de aquellas prácticas que promueven la participación estudiantil como dimensión constitutiva del aprendizaje. Aprender aparece asociado no solo a recibir información, sino también a la posibilidad de intervenir, debatir, intercambiar perspectivas y construir colectivamente significados acerca de los contenidos enseñados. La participación se presenta, de este modo, como una condición relevante para fortalecer los procesos de afiliación académica y la apropiación de la experiencia universitaria.</w:t>
      </w:r>
    </w:p>
    <w:p w14:paraId="0000004E">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highlight w:val="white"/>
          <w:u w:val="none"/>
          <w:vertAlign w:val="baseline"/>
        </w:rPr>
      </w:pPr>
      <w:r>
        <w:rPr>
          <w:rFonts w:ascii="Times New Roman" w:hAnsi="Times New Roman" w:eastAsia="Times New Roman" w:cs="Times New Roman"/>
          <w:b w:val="0"/>
          <w:bCs w:val="0"/>
          <w:i w:val="0"/>
          <w:iCs w:val="0"/>
          <w:smallCaps w:val="0"/>
          <w:strike w:val="0"/>
          <w:color w:val="000000"/>
          <w:sz w:val="24"/>
          <w:szCs w:val="24"/>
          <w:highlight w:val="white"/>
          <w:u w:val="none"/>
          <w:vertAlign w:val="baseline"/>
          <w:rtl w:val="0"/>
        </w:rPr>
        <w:t>Las experiencias vinculadas con la evaluación constituyen otro aspecto significativo de las transformaciones observadas. Durante la pandemia, las prácticas evaluativas se configuraron como un problema pedagógico y didáctico atravesado por procesos de adaptación institucional frente a la emergencia sanitaria. Los exámenes universitarios permitieron visibilizar tensiones entre las funciones formativas de la evaluación y los mecanismos de regulación y selectividad institucional. Las voces estudiantiles muestran que ciertas prácticas evaluativas favorecen la integración académica y fortalecen las trayectorias educativas, mientras que otras son percibidas como experiencias de control, sanción o injusticia. </w:t>
      </w:r>
    </w:p>
    <w:p w14:paraId="0000004F">
      <w:pPr>
        <w:keepNext w:val="0"/>
        <w:keepLines w:val="0"/>
        <w:pageBreakBefore w:val="0"/>
        <w:widowControl/>
        <w:pBdr>
          <w:top w:val="none" w:color="000000" w:sz="0" w:space="0"/>
          <w:left w:val="none" w:color="000000" w:sz="0" w:space="0"/>
          <w:bottom w:val="none" w:color="000000" w:sz="0" w:space="0"/>
          <w:right w:val="none" w:color="000000" w:sz="0" w:space="0"/>
          <w:between w:val="none" w:color="auto" w:sz="0" w:space="0"/>
        </w:pBdr>
        <w:shd w:val="clear" w:fill="FFFFFF"/>
        <w:spacing w:before="0" w:after="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highlight w:val="white"/>
          <w:u w:val="none"/>
          <w:vertAlign w:val="baseline"/>
        </w:rPr>
      </w:pPr>
    </w:p>
    <w:p w14:paraId="00000050">
      <w:pPr>
        <w:spacing w:line="240" w:lineRule="auto"/>
        <w:rPr>
          <w:rFonts w:ascii="Times New Roman" w:hAnsi="Times New Roman" w:eastAsia="Times New Roman" w:cs="Times New Roman"/>
          <w:b/>
          <w:bCs/>
        </w:rPr>
      </w:pPr>
      <w:r>
        <w:rPr>
          <w:rFonts w:ascii="Times New Roman" w:hAnsi="Times New Roman" w:eastAsia="Times New Roman" w:cs="Times New Roman"/>
          <w:b/>
          <w:bCs/>
          <w:rtl w:val="0"/>
        </w:rPr>
        <w:t>Conclusiones</w:t>
      </w:r>
    </w:p>
    <w:p w14:paraId="000000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Este espacio de reflexión persigue la construcción de un pensamiento pedagógico que pueda </w:t>
      </w:r>
      <w:r>
        <w:rPr>
          <w:rFonts w:ascii="Times New Roman" w:hAnsi="Times New Roman" w:eastAsia="Times New Roman" w:cs="Times New Roman"/>
          <w:rtl w:val="0"/>
        </w:rPr>
        <w:t>comprometerse</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con el tiempo que transitamos y pronunciarse, pues parte de la identidad de</w:t>
      </w:r>
      <w:r>
        <w:rPr>
          <w:rFonts w:ascii="Times New Roman" w:hAnsi="Times New Roman" w:eastAsia="Times New Roman" w:cs="Times New Roman"/>
          <w:rtl w:val="0"/>
        </w:rPr>
        <w:t xml:space="preserve"> este campo</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discursiv</w:t>
      </w:r>
      <w:r>
        <w:rPr>
          <w:rFonts w:ascii="Times New Roman" w:hAnsi="Times New Roman" w:eastAsia="Times New Roman" w:cs="Times New Roman"/>
          <w:rtl w:val="0"/>
        </w:rPr>
        <w:t>o</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se juega en las formas de significar el mundo “porque las palabras tienen un poderoso efecto sobre el mundo, y su uso abre o cierra caminos para las políticas, las prácticas escolares y los deseos de las comunidades de construir proyectos” </w:t>
      </w:r>
      <w:r>
        <w:rPr>
          <w:rFonts w:ascii="Times New Roman" w:hAnsi="Times New Roman" w:eastAsia="Times New Roman" w:cs="Times New Roman"/>
          <w:b w:val="0"/>
          <w:bCs w:val="0"/>
          <w:i w:val="0"/>
          <w:iCs w:val="0"/>
          <w:smallCaps w:val="0"/>
          <w:strike w:val="0"/>
          <w:color w:val="000000"/>
          <w:sz w:val="24"/>
          <w:szCs w:val="24"/>
          <w:u w:val="none"/>
          <w:vertAlign w:val="baseline"/>
          <w:rtl w:val="0"/>
        </w:rPr>
        <w:t>(</w:t>
      </w:r>
      <w:r>
        <w:rPr>
          <w:rFonts w:ascii="Times New Roman" w:hAnsi="Times New Roman" w:eastAsia="Times New Roman" w:cs="Times New Roman"/>
          <w:rtl w:val="0"/>
        </w:rPr>
        <w:t xml:space="preserve">Brailovsky, 2018, </w:t>
      </w:r>
      <w:r>
        <w:rPr>
          <w:rFonts w:ascii="Times New Roman" w:hAnsi="Times New Roman" w:eastAsia="Times New Roman" w:cs="Times New Roman"/>
          <w:b w:val="0"/>
          <w:bCs w:val="0"/>
          <w:i w:val="0"/>
          <w:iCs w:val="0"/>
          <w:smallCaps w:val="0"/>
          <w:strike w:val="0"/>
          <w:color w:val="000000"/>
          <w:sz w:val="24"/>
          <w:szCs w:val="24"/>
          <w:u w:val="none"/>
          <w:vertAlign w:val="baseline"/>
          <w:rtl w:val="0"/>
        </w:rPr>
        <w:t xml:space="preserve">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p. 5). </w:t>
      </w:r>
    </w:p>
    <w:p w14:paraId="000000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Poder narrar la experiencia y hacerla pol</w:t>
      </w:r>
      <w:r>
        <w:rPr>
          <w:rFonts w:ascii="Times New Roman" w:hAnsi="Times New Roman" w:eastAsia="Times New Roman" w:cs="Times New Roman"/>
          <w:rtl w:val="0"/>
        </w:rPr>
        <w:t>íticamente compartible</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comunicable, pensable, aporta formas comunes de construir los espacios que habitamos, lenguajes plurales que permiten nombrar y producir efectos en la vida de las personas. Desde esta perspectiva, las formas de nombrar la clase exploran modos de significar la experiencia de los inicios desde las voces de jóvenes y adultos que escribieron historias singulares, </w:t>
      </w:r>
      <w:r>
        <w:rPr>
          <w:rFonts w:ascii="Times New Roman" w:hAnsi="Times New Roman" w:eastAsia="Times New Roman" w:cs="Times New Roman"/>
          <w:rtl w:val="0"/>
        </w:rPr>
        <w:t>resistiendo,</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en tiempos de profundo desconcierto, temor y transformaciones</w:t>
      </w:r>
      <w:r>
        <w:rPr>
          <w:rFonts w:ascii="Times New Roman" w:hAnsi="Times New Roman" w:eastAsia="Times New Roman" w:cs="Times New Roman"/>
          <w:rtl w:val="0"/>
        </w:rPr>
        <w:t xml:space="preserve">, </w:t>
      </w:r>
    </w:p>
    <w:p w14:paraId="000000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Lejos de la impostura pedagógica, de una Pedagogía que piensa únicamente desde una lógica racional e instrumental del deber ser y del deber hacer en la clase universitaria, se propone una mirada plural que reflexione las clases a partir del encuentro con la alteridad, las diferencias y los afectos, “desprovista de categorías, solo habitada por una certeza fundante y fuente de asombro y atractivo: el otro siempre va a ser distinto a como lo imaginé” (Mancovsky, 2019, p. 207).</w:t>
      </w:r>
    </w:p>
    <w:p w14:paraId="000000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Desde este lugar, se compart</w:t>
      </w:r>
      <w:r>
        <w:rPr>
          <w:rFonts w:ascii="Times New Roman" w:hAnsi="Times New Roman" w:eastAsia="Times New Roman" w:cs="Times New Roman"/>
          <w:rtl w:val="0"/>
        </w:rPr>
        <w:t>ieron</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algunos sentidos sobre la experiencia de las clases en los inicios en la universidad como categoría pedagógica que piensa con el auxilio de los otros y se piensa en situación. Su reconstrucción supuso la capacidad de alternar la posición propia con la del otro, sentipensando las diferencias como riqueza y posibilidad de humanización</w:t>
      </w:r>
      <w:r>
        <w:rPr>
          <w:rFonts w:ascii="Times New Roman" w:hAnsi="Times New Roman" w:eastAsia="Times New Roman" w:cs="Times New Roman"/>
          <w:rtl w:val="0"/>
        </w:rPr>
        <w:t>, habitándola tanto en sus puntos críticos como en su capacidad para ser encuentro y posibilidad.</w:t>
      </w:r>
    </w:p>
    <w:p w14:paraId="000000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Por otro lado, forma parte de este escenario de los inicios pensar “la nueva situacionalidad” (Vercellino, 2023) y los desafíos epocales que </w:t>
      </w:r>
      <w:r>
        <w:rPr>
          <w:rFonts w:ascii="Times New Roman" w:hAnsi="Times New Roman" w:eastAsia="Times New Roman" w:cs="Times New Roman"/>
          <w:rtl w:val="0"/>
        </w:rPr>
        <w:t xml:space="preserve">atraviesan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los aprendizajes y </w:t>
      </w:r>
      <w:r>
        <w:rPr>
          <w:rFonts w:ascii="Times New Roman" w:hAnsi="Times New Roman" w:eastAsia="Times New Roman" w:cs="Times New Roman"/>
          <w:rtl w:val="0"/>
        </w:rPr>
        <w:t>enseñanzas</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rtl w:val="0"/>
        </w:rPr>
        <w:t>Ello</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rtl w:val="0"/>
        </w:rPr>
        <w:t xml:space="preserve">interpela el núcleo duro de la misma universidad y plantea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líneas de  discusión pedagógica en desarrollo, en cla</w:t>
      </w:r>
      <w:r>
        <w:rPr>
          <w:rFonts w:ascii="Times New Roman" w:hAnsi="Times New Roman" w:eastAsia="Times New Roman" w:cs="Times New Roman"/>
          <w:rtl w:val="0"/>
        </w:rPr>
        <w:t xml:space="preserve">ve de aperturas. Se juega la oportunidad para pensar-nos como institución que asume un protagonismo histórico en tiempos difíciles, que se anima a mirar de frente a las contradicciones entre sus muros, mientras se sabe capaz de albergar historias singulares y colectivas. </w:t>
      </w:r>
    </w:p>
    <w:p w14:paraId="000000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Se reafirma que la clase universitaria constituye un espacio pedagógico central en los procesos de apropiación de la vida universitaria y en la construcción de la experiencia en los inicios. Es vivida por los estudiantes como un espacio insustituible de construcción de vínculos, aprendizajes, emociones, sentidos de pertenencia y procesos de afiliación institucional y académica. En ella convergen de manera compleja dimensiones contextuales, humanas y materiales que la configuran como una práctica social, política, subjetiva e instrumental.  </w:t>
      </w:r>
    </w:p>
    <w:p w14:paraId="000000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240" w:lineRule="auto"/>
        <w:ind w:left="0" w:right="0" w:firstLine="0"/>
        <w:jc w:val="both"/>
        <w:rPr>
          <w:rFonts w:ascii="Times New Roman" w:hAnsi="Times New Roman" w:eastAsia="Times New Roman" w:cs="Times New Roman"/>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En este sentido, enseñar en los inicios supone mucho más que transmitir saberes disciplinares: implica generar condiciones pedagógicas y humanizantes que favorezcan la participación, el reconocimiento y la construcción de trayectorias de afiliación al espacio universitario. La experiencia de enseñar y aprender en las clases en los inicios puede entenderse, entonces, como un acto pedagógico y un espacio político en la medida que se juega el reparto de oportunidades que ofrece una cultura. Enseñar y aprender en la universidad</w:t>
      </w:r>
      <w:r>
        <w:rPr>
          <w:rFonts w:ascii="Times New Roman" w:hAnsi="Times New Roman" w:eastAsia="Times New Roman" w:cs="Times New Roman"/>
          <w:rtl w:val="0"/>
        </w:rPr>
        <w:t xml:space="preserve">,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es condición de posibilidad de una sociedad democrática. </w:t>
      </w:r>
    </w:p>
    <w:p w14:paraId="000000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En este marco, se propone una concepción alternativa de la pedagogía en la universidad, afirmando que el docente de los inicios puede acompañar y guiar los comienzos de la vida universitaria, reflexionando sobre lo que hace, piensa y siente en el aula, construyendo así su saber pedagógico situado en los inicios.</w:t>
      </w:r>
    </w:p>
    <w:p w14:paraId="000000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708" w:right="0" w:firstLine="0"/>
        <w:jc w:val="both"/>
        <w:rPr>
          <w:rFonts w:ascii="Times New Roman" w:hAnsi="Times New Roman" w:eastAsia="Times New Roman" w:cs="Times New Roman"/>
          <w:b w:val="0"/>
          <w:bCs w:val="0"/>
          <w:i w:val="0"/>
          <w:iCs w:val="0"/>
          <w:smallCaps w:val="0"/>
          <w:strike w:val="0"/>
          <w:color w:val="000000"/>
          <w:sz w:val="24"/>
          <w:szCs w:val="24"/>
          <w:u w:val="none"/>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Una pedagogía de los inicios involucra tanto el cambio identitario del estudiante como del profesor. </w:t>
      </w:r>
      <w:r>
        <w:rPr>
          <w:rFonts w:ascii="Times New Roman" w:hAnsi="Times New Roman" w:eastAsia="Times New Roman" w:cs="Times New Roman"/>
          <w:rtl w:val="0"/>
        </w:rPr>
        <w:t>(</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Me atrevo a imaginar, entonces, que recibe al estudiante de los inicios y lo acompaña en sus aprendizajes, ofreciéndoles sus saberes atractivos y en abundancia. (...) Se muestra estudiando “junto con” los alumnos que recibe para dar testimonio de sus maneras de elaborar y trabajar los saberes que enseña. En ese trabajar con las ideas, introduce a “los que llegan” al mundo de las disciplinas...” (</w:t>
      </w:r>
      <w:r>
        <w:rPr>
          <w:rFonts w:ascii="Times New Roman" w:hAnsi="Times New Roman" w:eastAsia="Times New Roman" w:cs="Times New Roman"/>
          <w:rtl w:val="0"/>
        </w:rPr>
        <w:t xml:space="preserve">Mancovsky, 2019, </w:t>
      </w:r>
      <w:r>
        <w:rPr>
          <w:rFonts w:ascii="Times New Roman" w:hAnsi="Times New Roman" w:eastAsia="Times New Roman" w:cs="Times New Roman"/>
          <w:b w:val="0"/>
          <w:bCs w:val="0"/>
          <w:i w:val="0"/>
          <w:iCs w:val="0"/>
          <w:smallCaps w:val="0"/>
          <w:strike w:val="0"/>
          <w:color w:val="000000"/>
          <w:sz w:val="24"/>
          <w:szCs w:val="24"/>
          <w:u w:val="none"/>
          <w:vertAlign w:val="baseline"/>
          <w:rtl w:val="0"/>
        </w:rPr>
        <w:t>p. 211).</w:t>
      </w:r>
    </w:p>
    <w:p w14:paraId="000000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Desde esta mirada reflexiva sobre los inicios en la universidad, se revaloriza sustantivamente la dimensión pedagógico-didáctica de la experiencia que se construye con otros significativos y se convierte entonces en  herramienta imprescindible para la democratización de la educación. La consideración de esta dimensión refiere tanto a las estrategias de enseñanza como a las condiciones materiales, las representaciones y los valores con los cuales se desempeñan los actores del proceso pedagógico (Tedesco et al.,</w:t>
      </w:r>
      <w:r>
        <w:rPr>
          <w:rFonts w:ascii="Times New Roman" w:hAnsi="Times New Roman" w:eastAsia="Times New Roman" w:cs="Times New Roman"/>
          <w:rtl w:val="0"/>
        </w:rPr>
        <w:t xml:space="preserve"> </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2014) .</w:t>
      </w:r>
    </w:p>
    <w:p w14:paraId="000000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Finalmente, se piensa y se nombra una Pedagogía del acompañamiento que reconozca y aborde activamente las desigualdades y diversidades que portan los estudiantes ingresantes del norte argentino. </w:t>
      </w:r>
    </w:p>
    <w:p w14:paraId="000000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708"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Se requiere una pedagogía que no solo "enseña", sino que también "acoja" y "guíe" a los estudiantes en su transición hacia la vida universitaria, construyendo puentes entre sus experiencias previas y las nuevas exigencias académicas. Solo así se podrá avanzar hacia una universidad verdaderamente inclusiva y democrática</w:t>
      </w:r>
      <w:r>
        <w:rPr>
          <w:rFonts w:ascii="Times New Roman" w:hAnsi="Times New Roman" w:eastAsia="Times New Roman" w:cs="Times New Roman"/>
          <w:rtl w:val="0"/>
        </w:rPr>
        <w:t>.</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(Sotelo, 2023, p. 239). </w:t>
      </w:r>
    </w:p>
    <w:p w14:paraId="000000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b w:val="0"/>
          <w:bCs w:val="0"/>
          <w:i w:val="0"/>
          <w:iCs w:val="0"/>
          <w:smallCaps w:val="0"/>
          <w:strike w:val="0"/>
          <w:color w:val="231F20"/>
          <w:sz w:val="24"/>
          <w:szCs w:val="24"/>
          <w:u w:val="none"/>
          <w:shd w:val="clear" w:fill="auto"/>
          <w:vertAlign w:val="baseline"/>
        </w:rPr>
      </w:pPr>
      <w:bookmarkStart w:id="0" w:name="_heading=h.98xoouo8rfy6" w:colFirst="0" w:colLast="0"/>
      <w:bookmarkEnd w:id="0"/>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Se proclama </w:t>
      </w:r>
      <w:r>
        <w:rPr>
          <w:rFonts w:ascii="Times New Roman" w:hAnsi="Times New Roman" w:eastAsia="Times New Roman" w:cs="Times New Roman"/>
          <w:rtl w:val="0"/>
        </w:rPr>
        <w:t>así</w:t>
      </w:r>
      <w:r>
        <w:rPr>
          <w:rFonts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 xml:space="preserve"> una experiencia pedagógica que pueda acompañar, cobijar y guiar en los inicios, que se anime a</w:t>
      </w:r>
      <w:r>
        <w:rPr>
          <w:rFonts w:ascii="Times New Roman" w:hAnsi="Times New Roman" w:eastAsia="Times New Roman" w:cs="Times New Roman"/>
          <w:b w:val="0"/>
          <w:bCs w:val="0"/>
          <w:i w:val="0"/>
          <w:iCs w:val="0"/>
          <w:smallCaps w:val="0"/>
          <w:strike w:val="0"/>
          <w:color w:val="231F20"/>
          <w:sz w:val="24"/>
          <w:szCs w:val="24"/>
          <w:u w:val="none"/>
          <w:shd w:val="clear" w:fill="auto"/>
          <w:vertAlign w:val="baseline"/>
          <w:rtl w:val="0"/>
        </w:rPr>
        <w:t xml:space="preserve"> recorrer las aulas de la universidad pública, en sus grietas, en sus aperturas, en sus contradicciones, en sus esperanzas. </w:t>
      </w:r>
    </w:p>
    <w:p w14:paraId="0000005E">
      <w:pPr>
        <w:spacing w:line="240" w:lineRule="auto"/>
        <w:rPr>
          <w:rFonts w:ascii="Times New Roman" w:hAnsi="Times New Roman" w:eastAsia="Times New Roman" w:cs="Times New Roman"/>
          <w:b/>
          <w:bCs/>
        </w:rPr>
      </w:pPr>
    </w:p>
    <w:p w14:paraId="0000005F">
      <w:pPr>
        <w:spacing w:line="240" w:lineRule="auto"/>
        <w:rPr>
          <w:rFonts w:ascii="Times New Roman" w:hAnsi="Times New Roman" w:eastAsia="Times New Roman" w:cs="Times New Roman"/>
          <w:b/>
          <w:bCs/>
        </w:rPr>
      </w:pPr>
      <w:r>
        <w:rPr>
          <w:rFonts w:ascii="Times New Roman" w:hAnsi="Times New Roman" w:eastAsia="Times New Roman" w:cs="Times New Roman"/>
          <w:b/>
          <w:bCs/>
          <w:rtl w:val="0"/>
        </w:rPr>
        <w:t>Referencias Bibliográficas</w:t>
      </w:r>
    </w:p>
    <w:p w14:paraId="00000060">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Ardoino, J. (1991). El análisis multirreferencial. En L. Marmoz (Dir.), </w:t>
      </w:r>
      <w:r>
        <w:rPr>
          <w:rFonts w:ascii="Times New Roman" w:hAnsi="Times New Roman" w:eastAsia="Times New Roman" w:cs="Times New Roman"/>
          <w:i/>
          <w:iCs/>
          <w:rtl w:val="0"/>
        </w:rPr>
        <w:t>Sciences de l’éducation, sciences majeures: actes des Journées d’études tenues à l’occasion des 21 ans des sciences de l’éducation</w:t>
      </w:r>
      <w:r>
        <w:rPr>
          <w:rFonts w:ascii="Times New Roman" w:hAnsi="Times New Roman" w:eastAsia="Times New Roman" w:cs="Times New Roman"/>
          <w:rtl w:val="0"/>
        </w:rPr>
        <w:t xml:space="preserve"> (pp. 1-5). EAP.</w:t>
      </w:r>
    </w:p>
    <w:p w14:paraId="00000061">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Anijovich, R., Cappelletti, G., Mora, S., &amp; Sabelli, M. J. (2016). </w:t>
      </w:r>
      <w:r>
        <w:rPr>
          <w:rFonts w:ascii="Times New Roman" w:hAnsi="Times New Roman" w:eastAsia="Times New Roman" w:cs="Times New Roman"/>
          <w:i/>
          <w:iCs/>
          <w:rtl w:val="0"/>
        </w:rPr>
        <w:t>Transitar la formación pedagógica: Dispositivos y estrategias</w:t>
      </w:r>
      <w:r>
        <w:rPr>
          <w:rFonts w:ascii="Times New Roman" w:hAnsi="Times New Roman" w:eastAsia="Times New Roman" w:cs="Times New Roman"/>
          <w:rtl w:val="0"/>
        </w:rPr>
        <w:t>. Paidós.</w:t>
      </w:r>
    </w:p>
    <w:p w14:paraId="00000062">
      <w:pPr>
        <w:spacing w:before="240" w:after="240" w:line="240" w:lineRule="auto"/>
        <w:jc w:val="both"/>
        <w:rPr>
          <w:rFonts w:ascii="Times New Roman" w:hAnsi="Times New Roman" w:eastAsia="Times New Roman" w:cs="Times New Roman"/>
          <w:color w:val="1155CC"/>
          <w:u w:val="single"/>
        </w:rPr>
      </w:pPr>
      <w:r>
        <w:rPr>
          <w:rFonts w:ascii="Times New Roman" w:hAnsi="Times New Roman" w:eastAsia="Times New Roman" w:cs="Times New Roman"/>
          <w:rtl w:val="0"/>
        </w:rPr>
        <w:t xml:space="preserve">Brailovsky, D. (2018). </w:t>
      </w:r>
      <w:r>
        <w:rPr>
          <w:rFonts w:ascii="Times New Roman" w:hAnsi="Times New Roman" w:eastAsia="Times New Roman" w:cs="Times New Roman"/>
          <w:i/>
          <w:iCs/>
          <w:rtl w:val="0"/>
        </w:rPr>
        <w:t>¿Qué hace la Pedagogía y por qué es importante para los educadores?</w:t>
      </w:r>
      <w:r>
        <w:rPr>
          <w:rFonts w:ascii="Times New Roman" w:hAnsi="Times New Roman" w:eastAsia="Times New Roman" w:cs="Times New Roman"/>
          <w:rtl w:val="0"/>
        </w:rPr>
        <w:t xml:space="preserve"> Deceducando.</w:t>
      </w:r>
      <w:r>
        <w:fldChar w:fldCharType="begin"/>
      </w:r>
      <w:r>
        <w:instrText xml:space="preserve"> HYPERLINK "https://www.google.com/search?q=https://deceducando.org/2018/07/10/que-hace-la-pedagogia-y-por-que-es-importante-para-los-educadores/" \h </w:instrText>
      </w:r>
      <w:r>
        <w:fldChar w:fldCharType="separate"/>
      </w:r>
      <w:r>
        <w:rPr>
          <w:rFonts w:ascii="Times New Roman" w:hAnsi="Times New Roman" w:eastAsia="Times New Roman" w:cs="Times New Roman"/>
          <w:rtl w:val="0"/>
        </w:rPr>
        <w:t xml:space="preserve"> </w:t>
      </w:r>
      <w:r>
        <w:rPr>
          <w:rFonts w:ascii="Times New Roman" w:hAnsi="Times New Roman" w:eastAsia="Times New Roman" w:cs="Times New Roman"/>
          <w:rtl w:val="0"/>
        </w:rPr>
        <w:fldChar w:fldCharType="end"/>
      </w:r>
      <w:r>
        <w:fldChar w:fldCharType="begin"/>
      </w:r>
      <w:r>
        <w:instrText xml:space="preserve"> HYPERLINK "https://www.google.com/search?q=https://deceducando.org/2018/07/10/que-hace-la-pedagogia-y-por-que-es-importante-para-los-educadores/" \h </w:instrText>
      </w:r>
      <w:r>
        <w:fldChar w:fldCharType="separate"/>
      </w:r>
      <w:r>
        <w:rPr>
          <w:rFonts w:ascii="Times New Roman" w:hAnsi="Times New Roman" w:eastAsia="Times New Roman" w:cs="Times New Roman"/>
          <w:color w:val="1155CC"/>
          <w:u w:val="single"/>
          <w:rtl w:val="0"/>
        </w:rPr>
        <w:t>https://deceducando.org/2018/07/10/que-hace-la-pedagogia-y-por-que-es-importante-para-los-educadores/</w:t>
      </w:r>
      <w:r>
        <w:rPr>
          <w:rFonts w:ascii="Times New Roman" w:hAnsi="Times New Roman" w:eastAsia="Times New Roman" w:cs="Times New Roman"/>
          <w:color w:val="1155CC"/>
          <w:u w:val="single"/>
          <w:rtl w:val="0"/>
        </w:rPr>
        <w:fldChar w:fldCharType="end"/>
      </w:r>
    </w:p>
    <w:p w14:paraId="00000063">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Carli, S. (2012). </w:t>
      </w:r>
      <w:r>
        <w:rPr>
          <w:rFonts w:ascii="Times New Roman" w:hAnsi="Times New Roman" w:eastAsia="Times New Roman" w:cs="Times New Roman"/>
          <w:i/>
          <w:iCs/>
          <w:rtl w:val="0"/>
        </w:rPr>
        <w:t>El estudiante universitario: Hacia una historia del presente de la educación pública</w:t>
      </w:r>
      <w:r>
        <w:rPr>
          <w:rFonts w:ascii="Times New Roman" w:hAnsi="Times New Roman" w:eastAsia="Times New Roman" w:cs="Times New Roman"/>
          <w:rtl w:val="0"/>
        </w:rPr>
        <w:t>. Siglo Veintiuno Editores.</w:t>
      </w:r>
    </w:p>
    <w:p w14:paraId="00000064">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Dussel, I., Ferrante, P., &amp; Pulfer, D. (Comps.). (2020). </w:t>
      </w:r>
      <w:r>
        <w:rPr>
          <w:rFonts w:ascii="Times New Roman" w:hAnsi="Times New Roman" w:eastAsia="Times New Roman" w:cs="Times New Roman"/>
          <w:i/>
          <w:iCs/>
          <w:rtl w:val="0"/>
        </w:rPr>
        <w:t>Pensar la educación en tiempos de pandemia: Entre la emergencia, el compromiso y la espera</w:t>
      </w:r>
      <w:r>
        <w:rPr>
          <w:rFonts w:ascii="Times New Roman" w:hAnsi="Times New Roman" w:eastAsia="Times New Roman" w:cs="Times New Roman"/>
          <w:rtl w:val="0"/>
        </w:rPr>
        <w:t>. UNIPE: Editorial Universitaria.</w:t>
      </w:r>
    </w:p>
    <w:p w14:paraId="00000065">
      <w:pPr>
        <w:spacing w:before="240" w:after="240" w:line="240" w:lineRule="auto"/>
        <w:jc w:val="both"/>
        <w:rPr>
          <w:rFonts w:ascii="Times New Roman" w:hAnsi="Times New Roman" w:eastAsia="Times New Roman" w:cs="Times New Roman"/>
          <w:color w:val="1155CC"/>
          <w:u w:val="single"/>
        </w:rPr>
      </w:pPr>
      <w:r>
        <w:rPr>
          <w:rFonts w:ascii="Times New Roman" w:hAnsi="Times New Roman" w:eastAsia="Times New Roman" w:cs="Times New Roman"/>
          <w:rtl w:val="0"/>
        </w:rPr>
        <w:t xml:space="preserve">Fernández Enguita, M. (2020). Una pandemia imprevisible ha traído la brecha previsible. </w:t>
      </w:r>
      <w:r>
        <w:rPr>
          <w:rFonts w:ascii="Times New Roman" w:hAnsi="Times New Roman" w:eastAsia="Times New Roman" w:cs="Times New Roman"/>
          <w:i/>
          <w:iCs/>
          <w:rtl w:val="0"/>
        </w:rPr>
        <w:t>Cuaderno de Campo</w:t>
      </w:r>
      <w:r>
        <w:rPr>
          <w:rFonts w:ascii="Times New Roman" w:hAnsi="Times New Roman" w:eastAsia="Times New Roman" w:cs="Times New Roman"/>
          <w:rtl w:val="0"/>
        </w:rPr>
        <w:t>.</w:t>
      </w:r>
      <w:r>
        <w:fldChar w:fldCharType="begin"/>
      </w:r>
      <w:r>
        <w:instrText xml:space="preserve"> HYPERLINK "https://blog.enguita.info/" \h </w:instrText>
      </w:r>
      <w:r>
        <w:fldChar w:fldCharType="separate"/>
      </w:r>
      <w:r>
        <w:rPr>
          <w:rFonts w:ascii="Times New Roman" w:hAnsi="Times New Roman" w:eastAsia="Times New Roman" w:cs="Times New Roman"/>
          <w:rtl w:val="0"/>
        </w:rPr>
        <w:t xml:space="preserve"> </w:t>
      </w:r>
      <w:r>
        <w:rPr>
          <w:rFonts w:ascii="Times New Roman" w:hAnsi="Times New Roman" w:eastAsia="Times New Roman" w:cs="Times New Roman"/>
          <w:rtl w:val="0"/>
        </w:rPr>
        <w:fldChar w:fldCharType="end"/>
      </w:r>
      <w:r>
        <w:fldChar w:fldCharType="begin"/>
      </w:r>
      <w:r>
        <w:instrText xml:space="preserve"> HYPERLINK "https://blog.enguita.info/" \h </w:instrText>
      </w:r>
      <w:r>
        <w:fldChar w:fldCharType="separate"/>
      </w:r>
      <w:r>
        <w:rPr>
          <w:rFonts w:ascii="Times New Roman" w:hAnsi="Times New Roman" w:eastAsia="Times New Roman" w:cs="Times New Roman"/>
          <w:color w:val="1155CC"/>
          <w:u w:val="single"/>
          <w:rtl w:val="0"/>
        </w:rPr>
        <w:t>https://blog.enguita.info/</w:t>
      </w:r>
      <w:r>
        <w:rPr>
          <w:rFonts w:ascii="Times New Roman" w:hAnsi="Times New Roman" w:eastAsia="Times New Roman" w:cs="Times New Roman"/>
          <w:color w:val="1155CC"/>
          <w:u w:val="single"/>
          <w:rtl w:val="0"/>
        </w:rPr>
        <w:fldChar w:fldCharType="end"/>
      </w:r>
    </w:p>
    <w:p w14:paraId="00000066">
      <w:pPr>
        <w:spacing w:before="240" w:after="240" w:line="240" w:lineRule="auto"/>
        <w:jc w:val="both"/>
        <w:rPr>
          <w:rFonts w:ascii="Times New Roman" w:hAnsi="Times New Roman" w:eastAsia="Times New Roman" w:cs="Times New Roman"/>
          <w:color w:val="1155CC"/>
          <w:u w:val="single"/>
        </w:rPr>
      </w:pPr>
      <w:r>
        <w:rPr>
          <w:rFonts w:ascii="Times New Roman" w:hAnsi="Times New Roman" w:eastAsia="Times New Roman" w:cs="Times New Roman"/>
          <w:rtl w:val="0"/>
        </w:rPr>
        <w:t xml:space="preserve">García, P. (2023). Historia, disputas y políticas en la organización del ingreso a las universidades nacionales en Argentina. </w:t>
      </w:r>
      <w:r>
        <w:rPr>
          <w:rFonts w:ascii="Times New Roman" w:hAnsi="Times New Roman" w:eastAsia="Times New Roman" w:cs="Times New Roman"/>
          <w:i/>
          <w:iCs/>
          <w:rtl w:val="0"/>
        </w:rPr>
        <w:t>Anuario de Historia de la Educación</w:t>
      </w:r>
      <w:r>
        <w:rPr>
          <w:rFonts w:ascii="Times New Roman" w:hAnsi="Times New Roman" w:eastAsia="Times New Roman" w:cs="Times New Roman"/>
          <w:rtl w:val="0"/>
        </w:rPr>
        <w:t xml:space="preserve">, </w:t>
      </w:r>
      <w:r>
        <w:rPr>
          <w:rFonts w:ascii="Times New Roman" w:hAnsi="Times New Roman" w:eastAsia="Times New Roman" w:cs="Times New Roman"/>
          <w:i/>
          <w:iCs/>
          <w:rtl w:val="0"/>
        </w:rPr>
        <w:t>24</w:t>
      </w:r>
      <w:r>
        <w:rPr>
          <w:rFonts w:ascii="Times New Roman" w:hAnsi="Times New Roman" w:eastAsia="Times New Roman" w:cs="Times New Roman"/>
          <w:rtl w:val="0"/>
        </w:rPr>
        <w:t>(2), 159-176.</w:t>
      </w:r>
      <w:r>
        <w:fldChar w:fldCharType="begin"/>
      </w:r>
      <w:r>
        <w:instrText xml:space="preserve"> HYPERLINK "https://doi.org/10.51438/2313-9277.2023.24.2.e011" \h </w:instrText>
      </w:r>
      <w:r>
        <w:fldChar w:fldCharType="separate"/>
      </w:r>
      <w:r>
        <w:rPr>
          <w:rFonts w:ascii="Times New Roman" w:hAnsi="Times New Roman" w:eastAsia="Times New Roman" w:cs="Times New Roman"/>
          <w:rtl w:val="0"/>
        </w:rPr>
        <w:t xml:space="preserve"> </w:t>
      </w:r>
      <w:r>
        <w:rPr>
          <w:rFonts w:ascii="Times New Roman" w:hAnsi="Times New Roman" w:eastAsia="Times New Roman" w:cs="Times New Roman"/>
          <w:rtl w:val="0"/>
        </w:rPr>
        <w:fldChar w:fldCharType="end"/>
      </w:r>
      <w:r>
        <w:fldChar w:fldCharType="begin"/>
      </w:r>
      <w:r>
        <w:instrText xml:space="preserve"> HYPERLINK "https://doi.org/10.51438/2313-9277.2023.24.2.e011" \h </w:instrText>
      </w:r>
      <w:r>
        <w:fldChar w:fldCharType="separate"/>
      </w:r>
      <w:r>
        <w:rPr>
          <w:rFonts w:ascii="Times New Roman" w:hAnsi="Times New Roman" w:eastAsia="Times New Roman" w:cs="Times New Roman"/>
          <w:color w:val="1155CC"/>
          <w:u w:val="single"/>
          <w:rtl w:val="0"/>
        </w:rPr>
        <w:t>https://doi.org/10.51438/2313-9277.2023.24.2.e011</w:t>
      </w:r>
      <w:r>
        <w:rPr>
          <w:rFonts w:ascii="Times New Roman" w:hAnsi="Times New Roman" w:eastAsia="Times New Roman" w:cs="Times New Roman"/>
          <w:color w:val="1155CC"/>
          <w:u w:val="single"/>
          <w:rtl w:val="0"/>
        </w:rPr>
        <w:fldChar w:fldCharType="end"/>
      </w:r>
    </w:p>
    <w:p w14:paraId="0000006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Kap, M. (2022). Didáctica indisciplinada: Transformaciones contrahegemónicas en la enseñanza. En M. Kap (Ed.), </w:t>
      </w:r>
      <w:r>
        <w:rPr>
          <w:rFonts w:ascii="Times New Roman" w:hAnsi="Times New Roman" w:eastAsia="Times New Roman" w:cs="Times New Roman"/>
          <w:i/>
          <w:iCs/>
          <w:rtl w:val="0"/>
        </w:rPr>
        <w:t>Didáctica y tecnología: En</w:t>
      </w:r>
      <w:bookmarkStart w:id="1" w:name="_GoBack"/>
      <w:bookmarkEnd w:id="1"/>
      <w:r>
        <w:rPr>
          <w:rFonts w:ascii="Times New Roman" w:hAnsi="Times New Roman" w:eastAsia="Times New Roman" w:cs="Times New Roman"/>
          <w:i/>
          <w:iCs/>
          <w:rtl w:val="0"/>
        </w:rPr>
        <w:t>crucijadas, debates y desafíos</w:t>
      </w:r>
      <w:r>
        <w:rPr>
          <w:rFonts w:ascii="Times New Roman" w:hAnsi="Times New Roman" w:eastAsia="Times New Roman" w:cs="Times New Roman"/>
          <w:rtl w:val="0"/>
        </w:rPr>
        <w:t>. EUDEM.</w:t>
      </w:r>
    </w:p>
    <w:p w14:paraId="00000068">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Kaplan, C. (Dir.). (2021). </w:t>
      </w:r>
      <w:r>
        <w:rPr>
          <w:rFonts w:ascii="Times New Roman" w:hAnsi="Times New Roman" w:eastAsia="Times New Roman" w:cs="Times New Roman"/>
          <w:i/>
          <w:iCs/>
          <w:rtl w:val="0"/>
        </w:rPr>
        <w:t>Los sentimientos en la escena educativa</w:t>
      </w:r>
      <w:r>
        <w:rPr>
          <w:rFonts w:ascii="Times New Roman" w:hAnsi="Times New Roman" w:eastAsia="Times New Roman" w:cs="Times New Roman"/>
          <w:rtl w:val="0"/>
        </w:rPr>
        <w:t>. Editorial de la Facultad de Filosofía y Letras, Universidad de Buenos Aires.</w:t>
      </w:r>
    </w:p>
    <w:p w14:paraId="00000069">
      <w:pPr>
        <w:spacing w:before="240" w:after="240" w:line="240" w:lineRule="auto"/>
        <w:jc w:val="both"/>
        <w:rPr>
          <w:rFonts w:ascii="Times New Roman" w:hAnsi="Times New Roman" w:eastAsia="Times New Roman" w:cs="Times New Roman"/>
          <w:color w:val="1155CC"/>
          <w:u w:val="single"/>
        </w:rPr>
      </w:pPr>
      <w:r>
        <w:rPr>
          <w:rFonts w:ascii="Times New Roman" w:hAnsi="Times New Roman" w:eastAsia="Times New Roman" w:cs="Times New Roman"/>
          <w:rtl w:val="0"/>
        </w:rPr>
        <w:t xml:space="preserve">Larrosa, J. (2006a). </w:t>
      </w:r>
      <w:r>
        <w:rPr>
          <w:rFonts w:ascii="Times New Roman" w:hAnsi="Times New Roman" w:eastAsia="Times New Roman" w:cs="Times New Roman"/>
          <w:i/>
          <w:iCs/>
          <w:rtl w:val="0"/>
        </w:rPr>
        <w:t>Sobre la experiencia y sus lenguajes</w:t>
      </w:r>
      <w:r>
        <w:rPr>
          <w:rFonts w:ascii="Times New Roman" w:hAnsi="Times New Roman" w:eastAsia="Times New Roman" w:cs="Times New Roman"/>
          <w:rtl w:val="0"/>
        </w:rPr>
        <w:t xml:space="preserve"> [Ponencia]. Ministerio de Educación, Argentina.</w:t>
      </w:r>
      <w:r>
        <w:fldChar w:fldCharType="begin"/>
      </w:r>
      <w:r>
        <w:instrText xml:space="preserve"> HYPERLINK "https://www.google.com/search?q=http://www.me.gov.ar/curriform/publica/oei_20031128/ponencia_larrosa.pdf" \h </w:instrText>
      </w:r>
      <w:r>
        <w:fldChar w:fldCharType="separate"/>
      </w:r>
      <w:r>
        <w:rPr>
          <w:rFonts w:ascii="Times New Roman" w:hAnsi="Times New Roman" w:eastAsia="Times New Roman" w:cs="Times New Roman"/>
          <w:rtl w:val="0"/>
        </w:rPr>
        <w:t xml:space="preserve"> </w:t>
      </w:r>
      <w:r>
        <w:rPr>
          <w:rFonts w:ascii="Times New Roman" w:hAnsi="Times New Roman" w:eastAsia="Times New Roman" w:cs="Times New Roman"/>
          <w:rtl w:val="0"/>
        </w:rPr>
        <w:fldChar w:fldCharType="end"/>
      </w:r>
      <w:r>
        <w:fldChar w:fldCharType="begin"/>
      </w:r>
      <w:r>
        <w:instrText xml:space="preserve"> HYPERLINK "https://www.google.com/search?q=http://www.me.gov.ar/curriform/publica/oei_20031128/ponencia_larrosa.pdf" \h </w:instrText>
      </w:r>
      <w:r>
        <w:fldChar w:fldCharType="separate"/>
      </w:r>
      <w:r>
        <w:rPr>
          <w:rFonts w:ascii="Times New Roman" w:hAnsi="Times New Roman" w:eastAsia="Times New Roman" w:cs="Times New Roman"/>
          <w:color w:val="1155CC"/>
          <w:u w:val="single"/>
          <w:rtl w:val="0"/>
        </w:rPr>
        <w:t>http://www.me.gov.ar/curriform/publica/oei_20031128/ponencia_larrosa.pdf</w:t>
      </w:r>
      <w:r>
        <w:rPr>
          <w:rFonts w:ascii="Times New Roman" w:hAnsi="Times New Roman" w:eastAsia="Times New Roman" w:cs="Times New Roman"/>
          <w:color w:val="1155CC"/>
          <w:u w:val="single"/>
          <w:rtl w:val="0"/>
        </w:rPr>
        <w:fldChar w:fldCharType="end"/>
      </w:r>
    </w:p>
    <w:p w14:paraId="0000006A">
      <w:pPr>
        <w:spacing w:before="240" w:after="240" w:line="240" w:lineRule="auto"/>
        <w:jc w:val="both"/>
        <w:rPr>
          <w:rFonts w:ascii="Times New Roman" w:hAnsi="Times New Roman" w:eastAsia="Times New Roman" w:cs="Times New Roman"/>
          <w:color w:val="1155CC"/>
          <w:u w:val="single"/>
        </w:rPr>
      </w:pPr>
      <w:r>
        <w:rPr>
          <w:rFonts w:ascii="Times New Roman" w:hAnsi="Times New Roman" w:eastAsia="Times New Roman" w:cs="Times New Roman"/>
          <w:rtl w:val="0"/>
        </w:rPr>
        <w:t xml:space="preserve">Larrosa, J. (2006b). Sobre la experiencia. </w:t>
      </w:r>
      <w:r>
        <w:rPr>
          <w:rFonts w:ascii="Times New Roman" w:hAnsi="Times New Roman" w:eastAsia="Times New Roman" w:cs="Times New Roman"/>
          <w:i/>
          <w:iCs/>
          <w:rtl w:val="0"/>
        </w:rPr>
        <w:t>Aloma: Revista de Psicologia, Ciències de l’Educació i de l’Esport Blanquerna</w:t>
      </w:r>
      <w:r>
        <w:rPr>
          <w:rFonts w:ascii="Times New Roman" w:hAnsi="Times New Roman" w:eastAsia="Times New Roman" w:cs="Times New Roman"/>
          <w:rtl w:val="0"/>
        </w:rPr>
        <w:t>, (19), 87-112.</w:t>
      </w:r>
      <w:r>
        <w:fldChar w:fldCharType="begin"/>
      </w:r>
      <w:r>
        <w:instrText xml:space="preserve"> HYPERLINK "https://raco.cat/index.php/Aloma/article/view/103367" \h </w:instrText>
      </w:r>
      <w:r>
        <w:fldChar w:fldCharType="separate"/>
      </w:r>
      <w:r>
        <w:rPr>
          <w:rFonts w:ascii="Times New Roman" w:hAnsi="Times New Roman" w:eastAsia="Times New Roman" w:cs="Times New Roman"/>
          <w:rtl w:val="0"/>
        </w:rPr>
        <w:t xml:space="preserve"> </w:t>
      </w:r>
      <w:r>
        <w:rPr>
          <w:rFonts w:ascii="Times New Roman" w:hAnsi="Times New Roman" w:eastAsia="Times New Roman" w:cs="Times New Roman"/>
          <w:rtl w:val="0"/>
        </w:rPr>
        <w:fldChar w:fldCharType="end"/>
      </w:r>
      <w:r>
        <w:fldChar w:fldCharType="begin"/>
      </w:r>
      <w:r>
        <w:instrText xml:space="preserve"> HYPERLINK "https://raco.cat/index.php/Aloma/article/view/103367" \h </w:instrText>
      </w:r>
      <w:r>
        <w:fldChar w:fldCharType="separate"/>
      </w:r>
      <w:r>
        <w:rPr>
          <w:rFonts w:ascii="Times New Roman" w:hAnsi="Times New Roman" w:eastAsia="Times New Roman" w:cs="Times New Roman"/>
          <w:color w:val="1155CC"/>
          <w:u w:val="single"/>
          <w:rtl w:val="0"/>
        </w:rPr>
        <w:t>https://raco.cat/index.php/Aloma/article/view/103367</w:t>
      </w:r>
      <w:r>
        <w:rPr>
          <w:rFonts w:ascii="Times New Roman" w:hAnsi="Times New Roman" w:eastAsia="Times New Roman" w:cs="Times New Roman"/>
          <w:color w:val="1155CC"/>
          <w:u w:val="single"/>
          <w:rtl w:val="0"/>
        </w:rPr>
        <w:fldChar w:fldCharType="end"/>
      </w:r>
    </w:p>
    <w:p w14:paraId="0000006B">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Latorre Beltrán, A., Del Rincón Igea, E., &amp; Arnal, A. (1996). </w:t>
      </w:r>
      <w:r>
        <w:rPr>
          <w:rFonts w:ascii="Times New Roman" w:hAnsi="Times New Roman" w:eastAsia="Times New Roman" w:cs="Times New Roman"/>
          <w:i/>
          <w:iCs/>
          <w:rtl w:val="0"/>
        </w:rPr>
        <w:t>Bases metodológicas de la investigación educativa</w:t>
      </w:r>
      <w:r>
        <w:rPr>
          <w:rFonts w:ascii="Times New Roman" w:hAnsi="Times New Roman" w:eastAsia="Times New Roman" w:cs="Times New Roman"/>
          <w:rtl w:val="0"/>
        </w:rPr>
        <w:t>. Ediciones Experiencias.</w:t>
      </w:r>
    </w:p>
    <w:p w14:paraId="0000006C">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Maggio, M. (2018). </w:t>
      </w:r>
      <w:r>
        <w:rPr>
          <w:rFonts w:ascii="Times New Roman" w:hAnsi="Times New Roman" w:eastAsia="Times New Roman" w:cs="Times New Roman"/>
          <w:i/>
          <w:iCs/>
          <w:rtl w:val="0"/>
        </w:rPr>
        <w:t>Reinventar la clase en la universidad</w:t>
      </w:r>
      <w:r>
        <w:rPr>
          <w:rFonts w:ascii="Times New Roman" w:hAnsi="Times New Roman" w:eastAsia="Times New Roman" w:cs="Times New Roman"/>
          <w:rtl w:val="0"/>
        </w:rPr>
        <w:t>. Paidós.</w:t>
      </w:r>
    </w:p>
    <w:p w14:paraId="0000006D">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Maggio, M. (2022). </w:t>
      </w:r>
      <w:r>
        <w:rPr>
          <w:rFonts w:ascii="Times New Roman" w:hAnsi="Times New Roman" w:eastAsia="Times New Roman" w:cs="Times New Roman"/>
          <w:i/>
          <w:iCs/>
          <w:rtl w:val="0"/>
        </w:rPr>
        <w:t>Híbrida: Enseñar en la universidad que no vimos venir</w:t>
      </w:r>
      <w:r>
        <w:rPr>
          <w:rFonts w:ascii="Times New Roman" w:hAnsi="Times New Roman" w:eastAsia="Times New Roman" w:cs="Times New Roman"/>
          <w:rtl w:val="0"/>
        </w:rPr>
        <w:t xml:space="preserve">. Tilde Editora. </w:t>
      </w:r>
    </w:p>
    <w:p w14:paraId="0000006E">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Mancovsky, V., &amp; Mas Rocha, S. M. (2019). </w:t>
      </w:r>
      <w:r>
        <w:rPr>
          <w:rFonts w:ascii="Times New Roman" w:hAnsi="Times New Roman" w:eastAsia="Times New Roman" w:cs="Times New Roman"/>
          <w:i/>
          <w:iCs/>
          <w:rtl w:val="0"/>
        </w:rPr>
        <w:t>Por una Pedagogía de “los inicios”: Más allá del ingreso a la vida universitaria</w:t>
      </w:r>
      <w:r>
        <w:rPr>
          <w:rFonts w:ascii="Times New Roman" w:hAnsi="Times New Roman" w:eastAsia="Times New Roman" w:cs="Times New Roman"/>
          <w:rtl w:val="0"/>
        </w:rPr>
        <w:t>. Editorial Biblos.</w:t>
      </w:r>
    </w:p>
    <w:p w14:paraId="0000006F">
      <w:pPr>
        <w:spacing w:before="240" w:after="240" w:line="240" w:lineRule="auto"/>
        <w:jc w:val="both"/>
        <w:rPr>
          <w:rFonts w:ascii="Times New Roman" w:hAnsi="Times New Roman" w:eastAsia="Times New Roman" w:cs="Times New Roman"/>
          <w:color w:val="1155CC"/>
          <w:u w:val="single"/>
        </w:rPr>
      </w:pPr>
      <w:r>
        <w:rPr>
          <w:rFonts w:ascii="Times New Roman" w:hAnsi="Times New Roman" w:eastAsia="Times New Roman" w:cs="Times New Roman"/>
          <w:rtl w:val="0"/>
        </w:rPr>
        <w:t xml:space="preserve">Pierella, P. (2016). Los exámenes en el primer año de la Universidad: ¿Instancias de formación o mecanismos de selectividad social? </w:t>
      </w:r>
      <w:r>
        <w:rPr>
          <w:rFonts w:ascii="Times New Roman" w:hAnsi="Times New Roman" w:eastAsia="Times New Roman" w:cs="Times New Roman"/>
          <w:i/>
          <w:iCs/>
          <w:rtl w:val="0"/>
        </w:rPr>
        <w:t>Trayectorias Universitarias</w:t>
      </w:r>
      <w:r>
        <w:rPr>
          <w:rFonts w:ascii="Times New Roman" w:hAnsi="Times New Roman" w:eastAsia="Times New Roman" w:cs="Times New Roman"/>
          <w:rtl w:val="0"/>
        </w:rPr>
        <w:t xml:space="preserve">, </w:t>
      </w:r>
      <w:r>
        <w:rPr>
          <w:rFonts w:ascii="Times New Roman" w:hAnsi="Times New Roman" w:eastAsia="Times New Roman" w:cs="Times New Roman"/>
          <w:i/>
          <w:iCs/>
          <w:rtl w:val="0"/>
        </w:rPr>
        <w:t>2</w:t>
      </w:r>
      <w:r>
        <w:rPr>
          <w:rFonts w:ascii="Times New Roman" w:hAnsi="Times New Roman" w:eastAsia="Times New Roman" w:cs="Times New Roman"/>
          <w:rtl w:val="0"/>
        </w:rPr>
        <w:t>(2).</w:t>
      </w:r>
      <w:r>
        <w:fldChar w:fldCharType="begin"/>
      </w:r>
      <w:r>
        <w:instrText xml:space="preserve"> HYPERLINK "http://revistas.unlp.edu.ar/TrayectoriasUniversitarias" \h </w:instrText>
      </w:r>
      <w:r>
        <w:fldChar w:fldCharType="separate"/>
      </w:r>
      <w:r>
        <w:rPr>
          <w:rFonts w:ascii="Times New Roman" w:hAnsi="Times New Roman" w:eastAsia="Times New Roman" w:cs="Times New Roman"/>
          <w:rtl w:val="0"/>
        </w:rPr>
        <w:t xml:space="preserve"> </w:t>
      </w:r>
      <w:r>
        <w:rPr>
          <w:rFonts w:ascii="Times New Roman" w:hAnsi="Times New Roman" w:eastAsia="Times New Roman" w:cs="Times New Roman"/>
          <w:rtl w:val="0"/>
        </w:rPr>
        <w:fldChar w:fldCharType="end"/>
      </w:r>
      <w:r>
        <w:fldChar w:fldCharType="begin"/>
      </w:r>
      <w:r>
        <w:instrText xml:space="preserve"> HYPERLINK "http://revistas.unlp.edu.ar/TrayectoriasUniversitarias" \h </w:instrText>
      </w:r>
      <w:r>
        <w:fldChar w:fldCharType="separate"/>
      </w:r>
      <w:r>
        <w:rPr>
          <w:rFonts w:ascii="Times New Roman" w:hAnsi="Times New Roman" w:eastAsia="Times New Roman" w:cs="Times New Roman"/>
          <w:color w:val="1155CC"/>
          <w:u w:val="single"/>
          <w:rtl w:val="0"/>
        </w:rPr>
        <w:t>http://revistas.unlp.edu.ar/TrayectoriasUniversitarias</w:t>
      </w:r>
      <w:r>
        <w:rPr>
          <w:rFonts w:ascii="Times New Roman" w:hAnsi="Times New Roman" w:eastAsia="Times New Roman" w:cs="Times New Roman"/>
          <w:color w:val="1155CC"/>
          <w:u w:val="single"/>
          <w:rtl w:val="0"/>
        </w:rPr>
        <w:fldChar w:fldCharType="end"/>
      </w:r>
    </w:p>
    <w:p w14:paraId="00000070">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Ramallo, S. (2010). </w:t>
      </w:r>
      <w:r>
        <w:rPr>
          <w:rFonts w:ascii="Times New Roman" w:hAnsi="Times New Roman" w:eastAsia="Times New Roman" w:cs="Times New Roman"/>
          <w:i/>
          <w:iCs/>
          <w:rtl w:val="0"/>
        </w:rPr>
        <w:t>Los sistemas de admisión de las universidades en la Argentina</w:t>
      </w:r>
      <w:r>
        <w:rPr>
          <w:rFonts w:ascii="Times New Roman" w:hAnsi="Times New Roman" w:eastAsia="Times New Roman" w:cs="Times New Roman"/>
          <w:rtl w:val="0"/>
        </w:rPr>
        <w:t xml:space="preserve"> (Documento de trabajo N.° 255). Universidad de Belgrano.</w:t>
      </w:r>
    </w:p>
    <w:p w14:paraId="00000071">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Sanjurjo, L. O. (2019). </w:t>
      </w:r>
      <w:r>
        <w:rPr>
          <w:rFonts w:ascii="Times New Roman" w:hAnsi="Times New Roman" w:eastAsia="Times New Roman" w:cs="Times New Roman"/>
          <w:i/>
          <w:iCs/>
          <w:rtl w:val="0"/>
        </w:rPr>
        <w:t>Volver a pensar la clase: Las formas básicas de enseñar</w:t>
      </w:r>
      <w:r>
        <w:rPr>
          <w:rFonts w:ascii="Times New Roman" w:hAnsi="Times New Roman" w:eastAsia="Times New Roman" w:cs="Times New Roman"/>
          <w:rtl w:val="0"/>
        </w:rPr>
        <w:t>. Homo Sapiens Ediciones.</w:t>
      </w:r>
    </w:p>
    <w:p w14:paraId="00000072">
      <w:pPr>
        <w:spacing w:before="240" w:after="240" w:line="240" w:lineRule="auto"/>
        <w:jc w:val="both"/>
        <w:rPr>
          <w:rFonts w:ascii="Times New Roman" w:hAnsi="Times New Roman" w:eastAsia="Times New Roman" w:cs="Times New Roman"/>
          <w:color w:val="1155CC"/>
          <w:u w:val="single"/>
        </w:rPr>
      </w:pPr>
      <w:r>
        <w:rPr>
          <w:rFonts w:ascii="Times New Roman" w:hAnsi="Times New Roman" w:eastAsia="Times New Roman" w:cs="Times New Roman"/>
          <w:rtl w:val="0"/>
        </w:rPr>
        <w:t xml:space="preserve">Souto, M. (2019). Acerca de la noción de dispositivo en la formación universitaria. </w:t>
      </w:r>
      <w:r>
        <w:rPr>
          <w:rFonts w:ascii="Times New Roman" w:hAnsi="Times New Roman" w:eastAsia="Times New Roman" w:cs="Times New Roman"/>
          <w:i/>
          <w:iCs/>
          <w:rtl w:val="0"/>
        </w:rPr>
        <w:t>Educación, Lenguaje y Sociedad</w:t>
      </w:r>
      <w:r>
        <w:rPr>
          <w:rFonts w:ascii="Times New Roman" w:hAnsi="Times New Roman" w:eastAsia="Times New Roman" w:cs="Times New Roman"/>
          <w:rtl w:val="0"/>
        </w:rPr>
        <w:t xml:space="preserve">, </w:t>
      </w:r>
      <w:r>
        <w:rPr>
          <w:rFonts w:ascii="Times New Roman" w:hAnsi="Times New Roman" w:eastAsia="Times New Roman" w:cs="Times New Roman"/>
          <w:i/>
          <w:iCs/>
          <w:rtl w:val="0"/>
        </w:rPr>
        <w:t>16</w:t>
      </w:r>
      <w:r>
        <w:rPr>
          <w:rFonts w:ascii="Times New Roman" w:hAnsi="Times New Roman" w:eastAsia="Times New Roman" w:cs="Times New Roman"/>
          <w:rtl w:val="0"/>
        </w:rPr>
        <w:t>(16), 1–16.</w:t>
      </w:r>
      <w:r>
        <w:fldChar w:fldCharType="begin"/>
      </w:r>
      <w:r>
        <w:instrText xml:space="preserve"> HYPERLINK "https://doi.org/10.19137/els-2019-161602" \h </w:instrText>
      </w:r>
      <w:r>
        <w:fldChar w:fldCharType="separate"/>
      </w:r>
      <w:r>
        <w:rPr>
          <w:rFonts w:ascii="Times New Roman" w:hAnsi="Times New Roman" w:eastAsia="Times New Roman" w:cs="Times New Roman"/>
          <w:rtl w:val="0"/>
        </w:rPr>
        <w:t xml:space="preserve"> </w:t>
      </w:r>
      <w:r>
        <w:rPr>
          <w:rFonts w:ascii="Times New Roman" w:hAnsi="Times New Roman" w:eastAsia="Times New Roman" w:cs="Times New Roman"/>
          <w:rtl w:val="0"/>
        </w:rPr>
        <w:fldChar w:fldCharType="end"/>
      </w:r>
      <w:r>
        <w:fldChar w:fldCharType="begin"/>
      </w:r>
      <w:r>
        <w:instrText xml:space="preserve"> HYPERLINK "https://doi.org/10.19137/els-2019-161602" \h </w:instrText>
      </w:r>
      <w:r>
        <w:fldChar w:fldCharType="separate"/>
      </w:r>
      <w:r>
        <w:rPr>
          <w:rFonts w:ascii="Times New Roman" w:hAnsi="Times New Roman" w:eastAsia="Times New Roman" w:cs="Times New Roman"/>
          <w:color w:val="1155CC"/>
          <w:u w:val="single"/>
          <w:rtl w:val="0"/>
        </w:rPr>
        <w:t>https://doi.org/10.19137/els-2019-161602</w:t>
      </w:r>
      <w:r>
        <w:rPr>
          <w:rFonts w:ascii="Times New Roman" w:hAnsi="Times New Roman" w:eastAsia="Times New Roman" w:cs="Times New Roman"/>
          <w:color w:val="1155CC"/>
          <w:u w:val="single"/>
          <w:rtl w:val="0"/>
        </w:rPr>
        <w:fldChar w:fldCharType="end"/>
      </w:r>
    </w:p>
    <w:p w14:paraId="00000073">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Sotelo, L. A. (2023). Estrategias de acompañamiento a la vida universitaria. </w:t>
      </w:r>
      <w:r>
        <w:rPr>
          <w:rFonts w:ascii="Times New Roman" w:hAnsi="Times New Roman" w:eastAsia="Times New Roman" w:cs="Times New Roman"/>
          <w:i/>
          <w:iCs/>
          <w:rtl w:val="0"/>
        </w:rPr>
        <w:t>RAES: Revista Argentina de Educación Superior</w:t>
      </w:r>
      <w:r>
        <w:rPr>
          <w:rFonts w:ascii="Times New Roman" w:hAnsi="Times New Roman" w:eastAsia="Times New Roman" w:cs="Times New Roman"/>
          <w:rtl w:val="0"/>
        </w:rPr>
        <w:t>, (27), 78-91.</w:t>
      </w:r>
    </w:p>
    <w:p w14:paraId="00000074">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Spiegel, A. (2022). Los desafíos de educar en una época de transiciones: Mojones para recorrer un territorio escarpado. En </w:t>
      </w:r>
      <w:r>
        <w:rPr>
          <w:rFonts w:ascii="Times New Roman" w:hAnsi="Times New Roman" w:eastAsia="Times New Roman" w:cs="Times New Roman"/>
          <w:i/>
          <w:iCs/>
          <w:rtl w:val="0"/>
        </w:rPr>
        <w:t>Las prácticas sociales en la producción, distribución y acceso a la información mediadas por las tecnologías digitales</w:t>
      </w:r>
      <w:r>
        <w:rPr>
          <w:rFonts w:ascii="Times New Roman" w:hAnsi="Times New Roman" w:eastAsia="Times New Roman" w:cs="Times New Roman"/>
          <w:rtl w:val="0"/>
        </w:rPr>
        <w:t>. IIBI.</w:t>
      </w:r>
    </w:p>
    <w:p w14:paraId="00000075">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Tedesco, J. C., Aberbuj, C., &amp; Zacarías, I. (2014). </w:t>
      </w:r>
      <w:r>
        <w:rPr>
          <w:rFonts w:ascii="Times New Roman" w:hAnsi="Times New Roman" w:eastAsia="Times New Roman" w:cs="Times New Roman"/>
          <w:i/>
          <w:iCs/>
          <w:rtl w:val="0"/>
        </w:rPr>
        <w:t>Pedagogía y democratización de la universidad</w:t>
      </w:r>
      <w:r>
        <w:rPr>
          <w:rFonts w:ascii="Times New Roman" w:hAnsi="Times New Roman" w:eastAsia="Times New Roman" w:cs="Times New Roman"/>
          <w:rtl w:val="0"/>
        </w:rPr>
        <w:t>. Aique Grupo Editor.</w:t>
      </w:r>
    </w:p>
    <w:p w14:paraId="00000076">
      <w:pPr>
        <w:spacing w:before="240" w:after="240" w:line="240" w:lineRule="auto"/>
        <w:jc w:val="both"/>
        <w:rPr>
          <w:rFonts w:ascii="Times New Roman" w:hAnsi="Times New Roman" w:eastAsia="Times New Roman" w:cs="Times New Roman"/>
          <w:color w:val="1155CC"/>
          <w:u w:val="single"/>
        </w:rPr>
      </w:pPr>
      <w:r>
        <w:rPr>
          <w:rFonts w:ascii="Times New Roman" w:hAnsi="Times New Roman" w:eastAsia="Times New Roman" w:cs="Times New Roman"/>
          <w:rtl w:val="0"/>
        </w:rPr>
        <w:t xml:space="preserve">Vera de Flachs, M. C. (2019). Contribución al estudio de la educación superior de la República Argentina: Un recorrido a través de la Historia de la Universidad Nacional de Córdoba. </w:t>
      </w:r>
      <w:r>
        <w:rPr>
          <w:rFonts w:ascii="Times New Roman" w:hAnsi="Times New Roman" w:eastAsia="Times New Roman" w:cs="Times New Roman"/>
          <w:i/>
          <w:iCs/>
          <w:rtl w:val="0"/>
        </w:rPr>
        <w:t>Revista Historia de la Educación Latinoamericana</w:t>
      </w:r>
      <w:r>
        <w:rPr>
          <w:rFonts w:ascii="Times New Roman" w:hAnsi="Times New Roman" w:eastAsia="Times New Roman" w:cs="Times New Roman"/>
          <w:rtl w:val="0"/>
        </w:rPr>
        <w:t xml:space="preserve">, </w:t>
      </w:r>
      <w:r>
        <w:rPr>
          <w:rFonts w:ascii="Times New Roman" w:hAnsi="Times New Roman" w:eastAsia="Times New Roman" w:cs="Times New Roman"/>
          <w:i/>
          <w:iCs/>
          <w:rtl w:val="0"/>
        </w:rPr>
        <w:t>21</w:t>
      </w:r>
      <w:r>
        <w:rPr>
          <w:rFonts w:ascii="Times New Roman" w:hAnsi="Times New Roman" w:eastAsia="Times New Roman" w:cs="Times New Roman"/>
          <w:rtl w:val="0"/>
        </w:rPr>
        <w:t>(32), 85-108.</w:t>
      </w:r>
      <w:r>
        <w:fldChar w:fldCharType="begin"/>
      </w:r>
      <w:r>
        <w:instrText xml:space="preserve"> HYPERLINK "https://doi.org/10.19053/01227238.9382" \h </w:instrText>
      </w:r>
      <w:r>
        <w:fldChar w:fldCharType="separate"/>
      </w:r>
      <w:r>
        <w:rPr>
          <w:rFonts w:ascii="Times New Roman" w:hAnsi="Times New Roman" w:eastAsia="Times New Roman" w:cs="Times New Roman"/>
          <w:rtl w:val="0"/>
        </w:rPr>
        <w:t xml:space="preserve"> </w:t>
      </w:r>
      <w:r>
        <w:rPr>
          <w:rFonts w:ascii="Times New Roman" w:hAnsi="Times New Roman" w:eastAsia="Times New Roman" w:cs="Times New Roman"/>
          <w:rtl w:val="0"/>
        </w:rPr>
        <w:fldChar w:fldCharType="end"/>
      </w:r>
      <w:r>
        <w:fldChar w:fldCharType="begin"/>
      </w:r>
      <w:r>
        <w:instrText xml:space="preserve"> HYPERLINK "https://doi.org/10.19053/01227238.9382" \h </w:instrText>
      </w:r>
      <w:r>
        <w:fldChar w:fldCharType="separate"/>
      </w:r>
      <w:r>
        <w:rPr>
          <w:rFonts w:ascii="Times New Roman" w:hAnsi="Times New Roman" w:eastAsia="Times New Roman" w:cs="Times New Roman"/>
          <w:color w:val="1155CC"/>
          <w:u w:val="single"/>
          <w:rtl w:val="0"/>
        </w:rPr>
        <w:t>https://doi.org/10.19053/01227238.9382</w:t>
      </w:r>
      <w:r>
        <w:rPr>
          <w:rFonts w:ascii="Times New Roman" w:hAnsi="Times New Roman" w:eastAsia="Times New Roman" w:cs="Times New Roman"/>
          <w:color w:val="1155CC"/>
          <w:u w:val="single"/>
          <w:rtl w:val="0"/>
        </w:rPr>
        <w:fldChar w:fldCharType="end"/>
      </w:r>
    </w:p>
    <w:p w14:paraId="000000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Vercellino, S., Gibelli, T. I., &amp; Chironi, J. M. (2022). Caracterización de los/as ingresantes a carreras de ciencias aplicadas de la Universidad Nacional de Río Negro. </w:t>
      </w:r>
      <w:r>
        <w:rPr>
          <w:rFonts w:ascii="Times New Roman" w:hAnsi="Times New Roman" w:eastAsia="Times New Roman" w:cs="Times New Roman"/>
          <w:i/>
          <w:iCs/>
          <w:rtl w:val="0"/>
        </w:rPr>
        <w:t>Revista Argentina de Educación Superior</w:t>
      </w:r>
      <w:r>
        <w:rPr>
          <w:rFonts w:ascii="Times New Roman" w:hAnsi="Times New Roman" w:eastAsia="Times New Roman" w:cs="Times New Roman"/>
          <w:rtl w:val="0"/>
        </w:rPr>
        <w:t>, (24), 25-45.</w:t>
      </w:r>
    </w:p>
    <w:p w14:paraId="00000078">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Yuni, J. A., &amp; Urbano, C. A. (2016). </w:t>
      </w:r>
      <w:r>
        <w:rPr>
          <w:rFonts w:ascii="Times New Roman" w:hAnsi="Times New Roman" w:eastAsia="Times New Roman" w:cs="Times New Roman"/>
          <w:i/>
          <w:iCs/>
          <w:rtl w:val="0"/>
        </w:rPr>
        <w:t>Técnicas para investigar: Recursos metodológicos para la preparación de proyectos de investigación</w:t>
      </w:r>
      <w:r>
        <w:rPr>
          <w:rFonts w:ascii="Times New Roman" w:hAnsi="Times New Roman" w:eastAsia="Times New Roman" w:cs="Times New Roman"/>
          <w:rtl w:val="0"/>
        </w:rPr>
        <w:t>. Brujas.</w:t>
      </w:r>
    </w:p>
    <w:p w14:paraId="00000079">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Zárate, J. (2019, octubre). </w:t>
      </w:r>
      <w:r>
        <w:rPr>
          <w:rFonts w:ascii="Times New Roman" w:hAnsi="Times New Roman" w:eastAsia="Times New Roman" w:cs="Times New Roman"/>
          <w:i/>
          <w:iCs/>
          <w:rtl w:val="0"/>
        </w:rPr>
        <w:t>La democratización social de la universidad pública argentina: Reflexiones a 70 años del establecimiento de la gratuidad de la enseñanza universitaria</w:t>
      </w:r>
      <w:r>
        <w:rPr>
          <w:rFonts w:ascii="Times New Roman" w:hAnsi="Times New Roman" w:eastAsia="Times New Roman" w:cs="Times New Roman"/>
          <w:rtl w:val="0"/>
        </w:rPr>
        <w:t xml:space="preserve"> [Presentación de documento]. 1.º Congreso Internacional de Ciencias Humanas - Humanidades entre pasado y futuro, General San Martín, Argentina.</w:t>
      </w:r>
    </w:p>
    <w:p w14:paraId="0000007A">
      <w:pPr>
        <w:spacing w:line="240" w:lineRule="auto"/>
        <w:jc w:val="both"/>
        <w:rPr>
          <w:rFonts w:ascii="Times New Roman" w:hAnsi="Times New Roman" w:eastAsia="Times New Roman" w:cs="Times New Roman"/>
          <w:color w:val="231F20"/>
        </w:rPr>
      </w:pPr>
    </w:p>
    <w:p w14:paraId="0000007B">
      <w:pPr>
        <w:spacing w:line="240" w:lineRule="auto"/>
        <w:jc w:val="both"/>
        <w:rPr>
          <w:rFonts w:ascii="Times New Roman" w:hAnsi="Times New Roman" w:eastAsia="Times New Roman" w:cs="Times New Roman"/>
          <w:color w:val="231F20"/>
        </w:rPr>
      </w:pPr>
    </w:p>
    <w:p w14:paraId="0000007C">
      <w:pPr>
        <w:spacing w:line="240" w:lineRule="auto"/>
        <w:jc w:val="both"/>
        <w:rPr>
          <w:rFonts w:ascii="Times New Roman" w:hAnsi="Times New Roman" w:eastAsia="Times New Roman" w:cs="Times New Roman"/>
          <w:color w:val="231F20"/>
        </w:rPr>
      </w:pPr>
    </w:p>
    <w:p w14:paraId="0000007D">
      <w:pPr>
        <w:spacing w:line="240" w:lineRule="auto"/>
        <w:jc w:val="center"/>
        <w:rPr>
          <w:rFonts w:ascii="Times New Roman" w:hAnsi="Times New Roman" w:eastAsia="Times New Roman" w:cs="Times New Roman"/>
        </w:rPr>
      </w:pPr>
    </w:p>
    <w:sectPr>
      <w:headerReference r:id="rId5" w:type="default"/>
      <w:footerReference r:id="rId6" w:type="default"/>
      <w:pgSz w:w="11906" w:h="16838"/>
      <w:pgMar w:top="2410" w:right="1701" w:bottom="1843" w:left="1700" w:header="284" w:footer="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75C8AEF2-7902-4DF8-9434-15A823063AB3}"/>
  </w:font>
  <w:font w:name="Courier New">
    <w:panose1 w:val="02070309020205020404"/>
    <w:charset w:val="00"/>
    <w:family w:val="modern"/>
    <w:pitch w:val="default"/>
    <w:sig w:usb0="E0002EFF" w:usb1="C0007843" w:usb2="00000009" w:usb3="00000000" w:csb0="400001FF" w:csb1="FFFF0000"/>
    <w:embedRegular r:id="rId2" w:fontKey="{7F65E83D-6F43-4FA2-B2F1-6B2641DDA207}"/>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3" w:fontKey="{C3E1E60A-13F1-4188-A801-46547751CF7C}"/>
  </w:font>
  <w:font w:name="Calibri">
    <w:panose1 w:val="020F0502020204030204"/>
    <w:charset w:val="86"/>
    <w:family w:val="swiss"/>
    <w:pitch w:val="default"/>
    <w:sig w:usb0="E4002EFF" w:usb1="C200247B" w:usb2="00000009" w:usb3="00000000" w:csb0="200001FF" w:csb1="00000000"/>
    <w:embedRegular r:id="rId4" w:fontKey="{EB69C31F-FCC9-47D2-AEA6-75241F32198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firstLine="0"/>
      <w:jc w:val="left"/>
      <w:rPr>
        <w:rFonts w:ascii="Calibri" w:hAnsi="Calibri" w:eastAsia="Calibri" w:cs="Calibri"/>
        <w:b w:val="0"/>
        <w:bCs w:val="0"/>
        <w:i w:val="0"/>
        <w:iCs w:val="0"/>
        <w:smallCaps w:val="0"/>
        <w:strike w:val="0"/>
        <w:color w:val="000000"/>
        <w:sz w:val="24"/>
        <w:szCs w:val="24"/>
        <w:u w:val="none"/>
        <w:shd w:val="clear" w:fill="auto"/>
        <w:vertAlign w:val="baseline"/>
      </w:rPr>
    </w:pPr>
    <w:r>
      <w:rPr>
        <w:rFonts w:ascii="Calibri" w:hAnsi="Calibri" w:eastAsia="Calibri" w:cs="Calibri"/>
        <w:b w:val="0"/>
        <w:bCs w:val="0"/>
        <w:i w:val="0"/>
        <w:iCs w:val="0"/>
        <w:smallCaps w:val="0"/>
        <w:strike w:val="0"/>
        <w:color w:val="000000"/>
        <w:sz w:val="24"/>
        <w:szCs w:val="24"/>
        <w:u w:val="none"/>
        <w:shd w:val="clear" w:fill="auto"/>
        <w:vertAlign w:val="baseline"/>
      </w:rPr>
      <w:drawing>
        <wp:inline distT="0" distB="0" distL="0" distR="0">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400040" cy="428625"/>
                  </a:xfrm>
                  <a:prstGeom prst="rect">
                    <a:avLst/>
                  </a:prstGeom>
                </pic:spPr>
              </pic:pic>
            </a:graphicData>
          </a:graphic>
        </wp:inline>
      </w:drawing>
    </w:r>
  </w:p>
  <w:p w14:paraId="000000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firstLine="0"/>
      <w:jc w:val="left"/>
      <w:rPr>
        <w:rFonts w:ascii="Calibri" w:hAnsi="Calibri" w:eastAsia="Calibri" w:cs="Calibri"/>
        <w:b w:val="0"/>
        <w:bCs w:val="0"/>
        <w:i w:val="0"/>
        <w:iCs w:val="0"/>
        <w:smallCaps w:val="0"/>
        <w:strike w:val="0"/>
        <w:color w:val="000000"/>
        <w:sz w:val="24"/>
        <w:szCs w:val="24"/>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firstLine="0"/>
      <w:jc w:val="center"/>
      <w:rPr>
        <w:rFonts w:ascii="Calibri" w:hAnsi="Calibri" w:eastAsia="Calibri" w:cs="Calibri"/>
        <w:b w:val="0"/>
        <w:bCs w:val="0"/>
        <w:i w:val="0"/>
        <w:iCs w:val="0"/>
        <w:smallCaps w:val="0"/>
        <w:strike w:val="0"/>
        <w:color w:val="000000"/>
        <w:sz w:val="24"/>
        <w:szCs w:val="24"/>
        <w:u w:val="none"/>
        <w:shd w:val="clear" w:fill="auto"/>
        <w:vertAlign w:val="baseline"/>
      </w:rPr>
    </w:pPr>
    <w:r>
      <w:rPr>
        <w:rFonts w:ascii="Calibri" w:hAnsi="Calibri" w:eastAsia="Calibri" w:cs="Calibri"/>
        <w:b w:val="0"/>
        <w:bCs w:val="0"/>
        <w:i w:val="0"/>
        <w:iCs w:val="0"/>
        <w:smallCaps w:val="0"/>
        <w:strike w:val="0"/>
        <w:color w:val="000000"/>
        <w:sz w:val="24"/>
        <w:szCs w:val="24"/>
        <w:u w:val="none"/>
        <w:shd w:val="clear" w:fill="auto"/>
        <w:vertAlign w:val="baseline"/>
      </w:rPr>
      <w:drawing>
        <wp:inline distT="0" distB="0" distL="0" distR="0">
          <wp:extent cx="2617470" cy="10909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1"/>
                  <a:srcRect/>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057E21AB"/>
    <w:rsid w:val="21A768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160" w:line="278" w:lineRule="auto"/>
    </w:pPr>
    <w:rPr>
      <w:rFonts w:ascii="Calibri" w:hAnsi="Calibri" w:eastAsia="Calibri" w:cs="Calibri"/>
      <w:sz w:val="24"/>
      <w:szCs w:val="24"/>
      <w:lang w:val="en"/>
    </w:rPr>
  </w:style>
  <w:style w:type="paragraph" w:styleId="2">
    <w:name w:val="heading 1"/>
    <w:basedOn w:val="1"/>
    <w:next w:val="1"/>
    <w:qFormat/>
    <w:uiPriority w:val="0"/>
    <w:pPr>
      <w:keepNext/>
      <w:keepLines/>
      <w:spacing w:before="360" w:after="80"/>
    </w:pPr>
    <w:rPr>
      <w:rFonts w:ascii="Calibri" w:hAnsi="Calibri" w:eastAsia="Calibri" w:cs="Calibri"/>
      <w:color w:val="2F5496"/>
      <w:sz w:val="40"/>
      <w:szCs w:val="40"/>
    </w:rPr>
  </w:style>
  <w:style w:type="paragraph" w:styleId="3">
    <w:name w:val="heading 2"/>
    <w:basedOn w:val="1"/>
    <w:next w:val="1"/>
    <w:qFormat/>
    <w:uiPriority w:val="0"/>
    <w:pPr>
      <w:keepNext/>
      <w:keepLines/>
      <w:spacing w:before="160" w:after="80"/>
    </w:pPr>
    <w:rPr>
      <w:rFonts w:ascii="Calibri" w:hAnsi="Calibri" w:eastAsia="Calibri" w:cs="Calibri"/>
      <w:color w:val="2F5496"/>
      <w:sz w:val="32"/>
      <w:szCs w:val="32"/>
    </w:rPr>
  </w:style>
  <w:style w:type="paragraph" w:styleId="4">
    <w:name w:val="heading 3"/>
    <w:basedOn w:val="1"/>
    <w:next w:val="1"/>
    <w:qFormat/>
    <w:uiPriority w:val="0"/>
    <w:pPr>
      <w:keepNext/>
      <w:keepLines/>
      <w:spacing w:before="160" w:after="80"/>
    </w:pPr>
    <w:rPr>
      <w:color w:val="2F5496"/>
      <w:sz w:val="28"/>
      <w:szCs w:val="28"/>
    </w:rPr>
  </w:style>
  <w:style w:type="paragraph" w:styleId="5">
    <w:name w:val="heading 4"/>
    <w:basedOn w:val="1"/>
    <w:next w:val="1"/>
    <w:qFormat/>
    <w:uiPriority w:val="0"/>
    <w:pPr>
      <w:keepNext/>
      <w:keepLines/>
      <w:spacing w:before="80" w:after="40"/>
    </w:pPr>
    <w:rPr>
      <w:i/>
      <w:iCs/>
      <w:color w:val="2F5496"/>
    </w:rPr>
  </w:style>
  <w:style w:type="paragraph" w:styleId="6">
    <w:name w:val="heading 5"/>
    <w:basedOn w:val="1"/>
    <w:next w:val="1"/>
    <w:qFormat/>
    <w:uiPriority w:val="0"/>
    <w:pPr>
      <w:keepNext/>
      <w:keepLines/>
      <w:spacing w:before="80" w:after="40"/>
    </w:pPr>
    <w:rPr>
      <w:color w:val="2F5496"/>
    </w:rPr>
  </w:style>
  <w:style w:type="paragraph" w:styleId="7">
    <w:name w:val="heading 6"/>
    <w:basedOn w:val="1"/>
    <w:next w:val="1"/>
    <w:qFormat/>
    <w:uiPriority w:val="0"/>
    <w:pPr>
      <w:keepNext/>
      <w:keepLines/>
      <w:spacing w:before="40" w:after="0"/>
    </w:pPr>
    <w:rPr>
      <w:i/>
      <w:iCs/>
      <w:color w:val="595959"/>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qFormat/>
    <w:uiPriority w:val="0"/>
    <w:rPr>
      <w:color w:val="595959"/>
      <w:sz w:val="28"/>
      <w:szCs w:val="28"/>
    </w:rPr>
  </w:style>
  <w:style w:type="paragraph" w:styleId="11">
    <w:name w:val="Title"/>
    <w:basedOn w:val="1"/>
    <w:next w:val="1"/>
    <w:qFormat/>
    <w:uiPriority w:val="0"/>
    <w:pPr>
      <w:spacing w:after="80" w:line="240" w:lineRule="auto"/>
    </w:pPr>
    <w:rPr>
      <w:rFonts w:ascii="Calibri" w:hAnsi="Calibri" w:eastAsia="Calibri" w:cs="Calibri"/>
      <w:sz w:val="56"/>
      <w:szCs w:val="56"/>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NQVBZEH4AGm+/t8gnVy3jrjY5w==">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</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15</Pages>
  <Words>2306</Words>
  <Characters>14003</Characters>
  <TotalTime>2</TotalTime>
  <ScaleCrop>false</ScaleCrop>
  <LinksUpToDate>false</LinksUpToDate>
  <CharactersWithSpaces>16295</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2026-06-30T21:24:48Z</dcterms:created>
  <dc:creator>fliaf</dc:creator>
  <cp:lastModifiedBy>WPS_1781113264</cp:lastModifiedBy>
  <dcterms:modified xsi:type="dcterms:W3CDTF">2026-06-30T21:27:23Z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3082-12.1.0.26880</vt:lpwstr>
  </property>
  <property fmtid="{D5CDD505-2E9C-101B-9397-08002B2CF9AE}" pid="3" name="ICV">
    <vt:lpwstr>858008782F86436C8B25EAB5EED89F23_13</vt:lpwstr>
  </property>
  <property fmtid="{D5CDD505-2E9C-101B-9397-08002B2CF9AE}" pid="4" name="KSOTemplateDocerSaveRecord">
    <vt:lpwstr>eyJoZGlkIjoiMmQyOTk5YWExYzUxNzlkMTVjODhlMjZjYjhkMWIwZDEiLCJ1c2VySWQiOiIxNTM5MzE2NDI3ODEzNCJ9</vt:lpwstr>
  </property>
</Properties>
</file>