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CE3762">
      <w:pPr>
        <w:jc w:val="right"/>
        <w:rPr>
          <w:rFonts w:ascii="Times New Roman" w:hAnsi="Times New Roman" w:cs="Times New Roman"/>
        </w:rPr>
      </w:pPr>
    </w:p>
    <w:p w14:paraId="43C49479" w14:textId="266754D8" w:rsidR="005F3B2E" w:rsidRPr="00BA642E" w:rsidRDefault="00CE3762" w:rsidP="001923DC">
      <w:pPr>
        <w:jc w:val="center"/>
        <w:rPr>
          <w:rFonts w:ascii="Times New Roman" w:hAnsi="Times New Roman" w:cs="Times New Roman"/>
        </w:rPr>
      </w:pPr>
      <w:r w:rsidRPr="00CE3762">
        <w:rPr>
          <w:rFonts w:ascii="Times New Roman" w:hAnsi="Times New Roman" w:cs="Times New Roman"/>
          <w:b/>
          <w:bCs/>
        </w:rPr>
        <w:t>Codiseño y transformaciones pedagógicas en la Enseñanza Universitaria de Farmacia y Bioquímica (UBA)</w:t>
      </w:r>
    </w:p>
    <w:p w14:paraId="4E738780" w14:textId="72D7F64F" w:rsidR="005F3B2E" w:rsidRPr="00BA642E" w:rsidRDefault="00CE3762" w:rsidP="005F3B2E">
      <w:pPr>
        <w:spacing w:after="0" w:line="240" w:lineRule="auto"/>
        <w:jc w:val="right"/>
        <w:rPr>
          <w:rFonts w:ascii="Times New Roman" w:hAnsi="Times New Roman" w:cs="Times New Roman"/>
        </w:rPr>
      </w:pPr>
      <w:r>
        <w:rPr>
          <w:rFonts w:ascii="Times New Roman" w:hAnsi="Times New Roman" w:cs="Times New Roman"/>
        </w:rPr>
        <w:t>Lipsman, Marilina</w:t>
      </w:r>
    </w:p>
    <w:p w14:paraId="6C2AECCA" w14:textId="1A809CB4" w:rsidR="005F3B2E" w:rsidRPr="00BA642E" w:rsidRDefault="00CE3762"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7D0026CD" w14:textId="3CA8674B" w:rsidR="005F3B2E" w:rsidRPr="00BA642E" w:rsidRDefault="00CE3762" w:rsidP="005F3B2E">
      <w:pPr>
        <w:spacing w:after="0" w:line="240" w:lineRule="auto"/>
        <w:jc w:val="right"/>
        <w:rPr>
          <w:rFonts w:ascii="Times New Roman" w:hAnsi="Times New Roman" w:cs="Times New Roman"/>
        </w:rPr>
      </w:pPr>
      <w:r w:rsidRPr="00CE3762">
        <w:rPr>
          <w:rFonts w:ascii="Times New Roman" w:hAnsi="Times New Roman" w:cs="Times New Roman"/>
        </w:rPr>
        <w:t>mgmarilinalipsman@gmail.com</w:t>
      </w:r>
    </w:p>
    <w:p w14:paraId="1FA0F857" w14:textId="77777777" w:rsidR="005F3B2E" w:rsidRPr="00BA642E" w:rsidRDefault="005F3B2E" w:rsidP="005F3B2E">
      <w:pPr>
        <w:rPr>
          <w:rFonts w:ascii="Times New Roman" w:hAnsi="Times New Roman" w:cs="Times New Roman"/>
        </w:rPr>
      </w:pPr>
    </w:p>
    <w:p w14:paraId="1275A9C7" w14:textId="388BBECC" w:rsidR="005F3B2E" w:rsidRPr="00BA642E" w:rsidRDefault="00CE3762" w:rsidP="005F3B2E">
      <w:pPr>
        <w:spacing w:after="0" w:line="240" w:lineRule="auto"/>
        <w:jc w:val="right"/>
        <w:rPr>
          <w:rFonts w:ascii="Times New Roman" w:hAnsi="Times New Roman" w:cs="Times New Roman"/>
        </w:rPr>
      </w:pPr>
      <w:r>
        <w:rPr>
          <w:rFonts w:ascii="Times New Roman" w:hAnsi="Times New Roman" w:cs="Times New Roman"/>
        </w:rPr>
        <w:t>Necuzzi, Constanza</w:t>
      </w:r>
    </w:p>
    <w:p w14:paraId="46FEEBE4" w14:textId="048B35EE" w:rsidR="005F3B2E" w:rsidRPr="00BA642E" w:rsidRDefault="00CE3762"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3CAC774D" w14:textId="19C76D3A" w:rsidR="005F3B2E" w:rsidRPr="00BA642E" w:rsidRDefault="00CE3762" w:rsidP="005F3B2E">
      <w:pPr>
        <w:spacing w:after="0" w:line="240" w:lineRule="auto"/>
        <w:jc w:val="right"/>
        <w:rPr>
          <w:rFonts w:ascii="Times New Roman" w:hAnsi="Times New Roman" w:cs="Times New Roman"/>
        </w:rPr>
      </w:pPr>
      <w:r w:rsidRPr="00CE3762">
        <w:rPr>
          <w:rFonts w:ascii="Times New Roman" w:hAnsi="Times New Roman" w:cs="Times New Roman"/>
        </w:rPr>
        <w:t>constanzanecuzzi@gmail.com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226ACF4D"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CE3762">
        <w:rPr>
          <w:rFonts w:ascii="Times New Roman" w:hAnsi="Times New Roman" w:cs="Times New Roman"/>
        </w:rPr>
        <w:t>Izquierdo, Lia Fernanda</w:t>
      </w:r>
    </w:p>
    <w:p w14:paraId="4E696C7D" w14:textId="20B06503" w:rsidR="005F3B2E" w:rsidRPr="00BA642E" w:rsidRDefault="00CE3762"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3D73DB11" w14:textId="048A33A2" w:rsidR="005F3B2E" w:rsidRPr="00BA642E" w:rsidRDefault="00CE3762" w:rsidP="005F3B2E">
      <w:pPr>
        <w:spacing w:after="0" w:line="240" w:lineRule="auto"/>
        <w:jc w:val="right"/>
        <w:rPr>
          <w:rFonts w:ascii="Times New Roman" w:hAnsi="Times New Roman" w:cs="Times New Roman"/>
        </w:rPr>
      </w:pPr>
      <w:r>
        <w:rPr>
          <w:rFonts w:ascii="Times New Roman" w:hAnsi="Times New Roman" w:cs="Times New Roman"/>
        </w:rPr>
        <w:t>liaizquierdo</w:t>
      </w:r>
      <w:r w:rsidRPr="00CE3762">
        <w:rPr>
          <w:rFonts w:ascii="Times New Roman" w:hAnsi="Times New Roman" w:cs="Times New Roman"/>
        </w:rPr>
        <w:t>@</w:t>
      </w:r>
      <w:r>
        <w:rPr>
          <w:rFonts w:ascii="Times New Roman" w:hAnsi="Times New Roman" w:cs="Times New Roman"/>
        </w:rPr>
        <w:t>gmail.com</w:t>
      </w:r>
    </w:p>
    <w:p w14:paraId="1B43FD84" w14:textId="77777777" w:rsidR="001923DC" w:rsidRPr="00BA642E" w:rsidRDefault="001923DC" w:rsidP="001923DC">
      <w:pPr>
        <w:jc w:val="center"/>
        <w:rPr>
          <w:rFonts w:ascii="Times New Roman" w:hAnsi="Times New Roman" w:cs="Times New Roman"/>
        </w:rPr>
      </w:pPr>
    </w:p>
    <w:p w14:paraId="60EB1CC4" w14:textId="175A492B" w:rsidR="003F5834" w:rsidRDefault="00BA642E" w:rsidP="003F5834">
      <w:pPr>
        <w:spacing w:line="240" w:lineRule="auto"/>
        <w:jc w:val="both"/>
        <w:rPr>
          <w:rFonts w:ascii="Times New Roman" w:hAnsi="Times New Roman" w:cs="Times New Roman"/>
        </w:rPr>
      </w:pPr>
      <w:r w:rsidRPr="00666B76">
        <w:rPr>
          <w:rFonts w:ascii="Times New Roman" w:hAnsi="Times New Roman" w:cs="Times New Roman"/>
          <w:b/>
          <w:bCs/>
          <w:lang w:val="es-AR"/>
        </w:rPr>
        <w:t>Resumen:</w:t>
      </w:r>
      <w:r w:rsidR="007B5B5F" w:rsidRPr="00666B76">
        <w:rPr>
          <w:rFonts w:ascii="Times New Roman" w:hAnsi="Times New Roman" w:cs="Times New Roman"/>
          <w:b/>
          <w:bCs/>
          <w:lang w:val="es-AR"/>
        </w:rPr>
        <w:t xml:space="preserve"> </w:t>
      </w:r>
      <w:r w:rsidR="003F5834" w:rsidRPr="003F5834">
        <w:rPr>
          <w:rFonts w:ascii="Times New Roman" w:hAnsi="Times New Roman" w:cs="Times New Roman"/>
        </w:rPr>
        <w:t xml:space="preserve">Este trabajo presenta avances de una investigación en curso sobre propuestas de enseñanza desarrolladas mediante procesos de codiseño y colaboración en la Facultad de Farmacia y Bioquímica de la Universidad de Buenos Aires, con el objeto de comprender cómo se reconfiguran las prácticas docentes y los diseños curriculares en un contexto de consolidación de modalidades híbridas, mediación tecnológica y transformaciones culturales en el trabajo académico. El estudio se inscribe en la didáctica universitaria y considera las prácticas de enseñanza como un objeto privilegiado para analizar cambios estructurales en la formación superior, articulando decisiones curriculares, mediaciones digitales y colaboración interdisciplinaria y en red entre docentes especialistas en las áreas, pedagogos y tecnólogos. Desde un enfoque cualitativo hermenéutico-interpretativo, la investigación analiza propuestas desarrolladas colaborativamente por equipos docentes, responsables de cátedra y especialistas del área pedagógica, incluyendo colaboración interdisciplinaria como eje central. El corpus inicial incluyó el análisis temático de 36 relatos presentados en las IV Jornadas de relatos de experiencias (2022), publicados en un libro digital; actualmente se seleccionan casos para profundizar el análisis mediante entrevistas, observaciones de clases y relevamiento de aulas virtuales. Los hallazgos permiten pensar que las transformaciones recientes en la enseñanza universitaria no solo responden a la incorporación de tecnologías, sino a una reconfiguración cultural del trabajo académico. El codiseño emerge como práctica que articula saberes pedagógicos, disciplinares y tecnológicos, favoreciendo la producción colectiva de conocimiento y el aprendizaje situado, desafiando la estructura tradicional de las cátedras al promover una organización más horizontal, experimental y reflexiva. La colaboración interdisciplinaria impulsada desde el Área Pedagógica ha contribuido a consolidar una comunidad de práctica que sostiene la innovación en el tiempo. En este marco, la integración de la Inteligencia Artificial Generativa plantea nuevos desafíos éticos y didácticos, al mismo tiempo que abre oportunidades para volver a pensar la mediación docente y la construcción del conocimiento en clave humanista y crítica. Este </w:t>
      </w:r>
      <w:r w:rsidR="003F5834" w:rsidRPr="003F5834">
        <w:rPr>
          <w:rFonts w:ascii="Times New Roman" w:hAnsi="Times New Roman" w:cs="Times New Roman"/>
        </w:rPr>
        <w:lastRenderedPageBreak/>
        <w:t>análisis evidencia que las transformaciones en la enseñanza no constituyen un ajuste temporal sino una reconfiguración estructural que articula colaboración, reflexión docente y mediación tecnológica, ofreciendo insumos relevantes para pensar los desafíos contemporáneos de la enseñanza y el aprendizaje en la universidad.</w:t>
      </w:r>
    </w:p>
    <w:p w14:paraId="2994BAB3" w14:textId="6C315AF5" w:rsidR="00BA642E" w:rsidRPr="007B5B5F" w:rsidRDefault="00BA642E" w:rsidP="003F5834">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3F5834" w:rsidRPr="003F5834">
        <w:rPr>
          <w:rFonts w:ascii="Times New Roman" w:hAnsi="Times New Roman" w:cs="Times New Roman"/>
        </w:rPr>
        <w:t>ENSEÑANZA UNIVERSITARIA, CODISEÑO, COLABORACIÓN, HIBRIDACIÓN, DIDÁCTICA UNIVERSITARIA</w:t>
      </w:r>
      <w:r w:rsidRPr="007B5B5F">
        <w:rPr>
          <w:rFonts w:ascii="Times New Roman" w:hAnsi="Times New Roman" w:cs="Times New Roman"/>
        </w:rPr>
        <w:t xml:space="preserve">. </w:t>
      </w:r>
    </w:p>
    <w:p w14:paraId="7A21833B" w14:textId="7BC867A0" w:rsidR="003F5834" w:rsidRPr="003F5834" w:rsidRDefault="00BA642E" w:rsidP="003F5834">
      <w:pPr>
        <w:spacing w:line="240" w:lineRule="auto"/>
        <w:jc w:val="both"/>
        <w:rPr>
          <w:rFonts w:ascii="Times New Roman" w:hAnsi="Times New Roman" w:cs="Times New Roman"/>
          <w:b/>
          <w:bCs/>
        </w:rPr>
      </w:pPr>
      <w:r w:rsidRPr="007B5B5F">
        <w:rPr>
          <w:rFonts w:ascii="Times New Roman" w:hAnsi="Times New Roman" w:cs="Times New Roman"/>
          <w:b/>
          <w:bCs/>
        </w:rPr>
        <w:t>Introducción</w:t>
      </w:r>
      <w:r w:rsidR="003F5834">
        <w:rPr>
          <w:rFonts w:ascii="Times New Roman" w:hAnsi="Times New Roman" w:cs="Times New Roman"/>
          <w:b/>
          <w:bCs/>
        </w:rPr>
        <w:t xml:space="preserve">: </w:t>
      </w:r>
      <w:r w:rsidR="003F5834" w:rsidRPr="003F5834">
        <w:rPr>
          <w:rFonts w:ascii="Times New Roman" w:hAnsi="Times New Roman" w:cs="Times New Roman"/>
          <w:b/>
          <w:bCs/>
        </w:rPr>
        <w:t>La reconfiguración cultural como respuesta a la complejidad</w:t>
      </w:r>
    </w:p>
    <w:p w14:paraId="331CFD42" w14:textId="77777777" w:rsid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 xml:space="preserve">La enseñanza en la Facultad de Farmacia y Bioquímica de la Universidad de Buenos Aires (FFyB-UBA) no es un objeto de estudio estático, sino un territorio en permanente tensión y reconstrucción. Esta afirmación, que hoy puede leerse como el punto de llegada de una larga trayectoria de investigación, se sostiene sobre una identidad institucional consolidada por el Área Pedagógica, que desde 1992 impulsa líneas de formación e investigación didáctica. Esta trayectoria, formalizada en Programaciones Científicas UBACyT ininterrumpidas desde 2001, ha permitido construir una perspectiva propia sobre la didáctica de las Ciencias de la Salud, basada en un principio epistemológico central: la recuperación de los saberes de los protagonistas en sus contextos reales. La acumulación de este capital pedagógico transforma la investigación didáctica en una </w:t>
      </w:r>
      <w:bookmarkStart w:id="0" w:name="_GoBack"/>
      <w:bookmarkEnd w:id="0"/>
      <w:r w:rsidRPr="003F5834">
        <w:rPr>
          <w:rFonts w:ascii="Times New Roman" w:hAnsi="Times New Roman" w:cs="Times New Roman"/>
        </w:rPr>
        <w:t>herramienta para la innovación de "buenas prácticas" y sienta las bases para que el codiseño se naturalice como práctica cotidiana, y no como una imposición técnica o una reacción puntual a la tecnología.</w:t>
      </w:r>
    </w:p>
    <w:p w14:paraId="4B894BFC" w14:textId="77777777" w:rsid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escenario contemporáneo, que este trabajo analiza, marca una transición crítica entre el "ajuste temporal" de la emergencia sanitaria (2020-2022) y una reconfiguración estructural (2024-2026). Esta transición está atravesada por dos catalizadores: la consolidación de modelos híbridos intencionales y la irrupción de la Inteligencia Artificial Generativa (IAGen). Frente a este panorama, el problema central que orienta nuestra indagación no es meramente técnico –cómo integrar herramientas– sino que se constituye como una mutación cultural que obliga a definir, en la práctica y en la reflexión, qué aspectos son irreductiblemente humanos en la enseñanza superior. Cuando la tecnología comienza a automatizar la transmisión de contenidos, el rol docente se desplaza hacia la curaduría crítica, la mediación pedagógica y la construcción de un vínculo ético y sensible con el conocimiento.</w:t>
      </w:r>
    </w:p>
    <w:p w14:paraId="1F40AD13" w14:textId="1A22FE7A" w:rsid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Las transformaciones documentadas en la FFyB no constituyen reacciones espasmódicas ante la novedad, sino el resultado de una cultura académica sostenida en el tiempo. En este marco, el codiseño emerge como una práctica que tensa la estructura tradicional y piramidal de las cátedras. La producción colectiva de conocimiento entre docentes de distintas jerarquías, pedagogos y tecnólogos promueve una organización más horizontal y reflexiva, generando una comunidad de práctica que sostiene la innovación de manera resiliente y situada. Este estudio representa la madurez de dos décadas de investigación sobre la enseñanza en FFyB: desde el reconocimiento de las "propuestas de autor" (2001-2003) hasta la consolidación de la colaboración interdisciplinaria como eje central del diseño pedagógico (2014-2022), pasando por la integración de tradición e innovación (2004-2007) y la conceptualización de las TIC como lazos de colaboración (2011-2014).</w:t>
      </w:r>
    </w:p>
    <w:p w14:paraId="1BA6C280" w14:textId="77777777" w:rsid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lastRenderedPageBreak/>
        <w:t>El análisis que aquí se presenta se basa en un corpus central de 36 relatos de experiencias docentes presentados en las IV Jornadas de Relatos de Experiencias (2022), junto con avances del proyecto UBACyT 2002020300223BA (2023-2026). El ecosistema híbrido y colaborativo actual que estos relatos evidencian refleja la activación de una reserva de saberes institucionales, donde la tecnología se subordina al propósito pedagógico y humano, y la innovación se sostiene sobre la experiencia acumulada, el trabajo en red y la reflexión docente continua.</w:t>
      </w:r>
    </w:p>
    <w:p w14:paraId="2101326B" w14:textId="77777777" w:rsidR="003F5834" w:rsidRDefault="003F5834" w:rsidP="003F5834">
      <w:pPr>
        <w:spacing w:line="240" w:lineRule="auto"/>
        <w:jc w:val="both"/>
        <w:rPr>
          <w:rFonts w:ascii="Times New Roman" w:hAnsi="Times New Roman" w:cs="Times New Roman"/>
          <w:b/>
          <w:bCs/>
        </w:rPr>
      </w:pPr>
      <w:r w:rsidRPr="003F5834">
        <w:rPr>
          <w:rFonts w:ascii="Times New Roman" w:hAnsi="Times New Roman" w:cs="Times New Roman"/>
          <w:b/>
          <w:bCs/>
        </w:rPr>
        <w:t>II. Marco Metodológico: La doble hermenéutica como fundamento</w:t>
      </w:r>
    </w:p>
    <w:p w14:paraId="60753C0D" w14:textId="77777777" w:rsid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presente investigación se desarrolla desde un paradigma hermenéutico-interpretativo orientado a la generación conceptual. Adoptamos esta postura porque consideramos los hechos sociales, y particularmente los educativos, como estructuras de significado que se construyen en la interacción de los actores. Nuestro interés no es medir variables aisladas, sino comprender e interpretar las lógicas, tensiones y sentidos que los docentes atribuyen a sus propias prácticas en el contexto del codiseño y la colaboración. Este enfoque se alinea con la perspectiva de Litwin (2008) sobre la didáctica universitaria, que enfatiza la reflexión docente como herramienta central para la mejora de la práctica educativa. Para captar esta mutación en tiempo real, la investigación asume un diseño de fases secuenciales. La primera etapa (2022) analiza la hibridación intencional a través del corpus de los 36 relatos; mientras que la segunda fase (2024-2025) incorpora la dimensión de la Inteligencia Artificial Generativa mediante las entrevistas y observaciones de aula en curso, permitiendo un análisis longitudinal de la reconfiguración estructural</w:t>
      </w:r>
      <w:r>
        <w:rPr>
          <w:rFonts w:ascii="Times New Roman" w:hAnsi="Times New Roman" w:cs="Times New Roman"/>
        </w:rPr>
        <w:t xml:space="preserve">. </w:t>
      </w:r>
    </w:p>
    <w:p w14:paraId="19F29205" w14:textId="3189C24F"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metodología se caracteriza por lo que la tradición hermenéutica denomina una doble hermenéutica: el investigador interpreta la interpretación que los docentes hacen de sus propias prácticas. Este enfoque nos permite validar el uso de los relatos de experiencias como corpus científico, superando la mera descripción y otorgando un fundamento académico riguroso a los hallazgos. En este sentido, seguimos a Sirvent y Rigal (2023) cuando señalan que en el modo de "generación conceptual" el hecho social es concebido como una estructura de significados que se nutre y construye en las interacciones sociales productoras de sentido, buscando una aproximación comprensiva desde su singularidad.</w:t>
      </w:r>
      <w:r>
        <w:rPr>
          <w:rFonts w:ascii="Times New Roman" w:hAnsi="Times New Roman" w:cs="Times New Roman"/>
        </w:rPr>
        <w:t xml:space="preserve"> </w:t>
      </w:r>
      <w:r w:rsidRPr="003F5834">
        <w:rPr>
          <w:rFonts w:ascii="Times New Roman" w:hAnsi="Times New Roman" w:cs="Times New Roman"/>
        </w:rPr>
        <w:t>El proceso metodológico combina diversas técnicas complementarias, articuladas para capturar la complejidad de las prácticas docentes:</w:t>
      </w:r>
    </w:p>
    <w:p w14:paraId="55E8E2C4"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1.  Análisis documental: Revisión de los 36 relatos de experiencias publicados en el libro digital resultado de las IV Jornadas de relatos de experiencias (Lipsman, 2023), junto con programas, memorias institucionales y publicaciones de cátedras. Esto permitió reconstruir la historia de las propuestas y su evolución, evidenciando patrones, recurrencias y cambios en las prácticas de enseñanza.</w:t>
      </w:r>
    </w:p>
    <w:p w14:paraId="3DA00967" w14:textId="6C4D881D"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2.  Observación de clases y aulas virtuales: Realizada tanto en espacios presenciales como en entornos digitales (Campus Virtual FFyB, plataformas como Discord, e-porfolios), posibilitando capturar la dinámica del ecosistema híbrido y cómo la mediación tecnológica se integra en las prácticas pedagógicas.</w:t>
      </w:r>
    </w:p>
    <w:p w14:paraId="7E0BB40C" w14:textId="5DECEDCC"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 xml:space="preserve">3.  Entrevistas en profundidad: A docentes de distintas jerarquías y roles (titulares, jefes de trabajos prácticos, ayudantes), así como a pedagogos y tecnólogos del Área </w:t>
      </w:r>
      <w:r w:rsidRPr="003F5834">
        <w:rPr>
          <w:rFonts w:ascii="Times New Roman" w:hAnsi="Times New Roman" w:cs="Times New Roman"/>
        </w:rPr>
        <w:lastRenderedPageBreak/>
        <w:t>Pedagógica de la Facultad de Farmacia y Bioquímica de la UBA. Las entrevistas permiten recuperar los significados que los actores atribuyen a sus acciones y decisiones, destacando cómo se produce la colaboración, el codiseño y la integración de tecnologías emergentes.</w:t>
      </w:r>
    </w:p>
    <w:p w14:paraId="220738F5"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4.  Triangulación de datos: La combinación de múltiples fuentes y perspectivas asegura la coherencia interpretativa y fortalece la validez del análisis. Esta estrategia permite contrastar relatos de experiencias con observaciones y documentos, identificando convergencias y divergencias que enriquecen la interpretación sobre las reconfiguraciones en curso.</w:t>
      </w:r>
    </w:p>
    <w:p w14:paraId="26953190"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Este enfoque metodológico nos permite recuperar los saberes situados de los actores y analizar cómo la colaboración interdisciplinaria, el codiseño y la mediación tecnológica configuran una nueva cultura del trabajo académico, caracterizada por prácticas reflexivas, horizontales y resilientes. Asimismo, proporciona una base sólida para vincular las evidencias empíricas con el hilo teórico de la reconfiguración cultural del trabajo académico, mostrando cómo las prácticas docentes actuales constituyen un ecosistema educativo maduro y sostenible.</w:t>
      </w:r>
    </w:p>
    <w:p w14:paraId="18DD9DB3"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III. Análisis y resultados: cinco dimensiones de una nueva gramática universitaria</w:t>
      </w:r>
    </w:p>
    <w:p w14:paraId="1CD8D31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análisis temático cualitativo de las 36 experiencias docentes relevadas, junto con las observaciones y entrevistas posteriores, permite construir cinco dimensiones analíticas. Estas dimensiones no son categorías cerradas, sino ejes interpretativos que, en su articulación, dan cuenta de la profundidad de la transformación cultural en curso.</w:t>
      </w:r>
    </w:p>
    <w:p w14:paraId="635A7B4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1. Ecosistema híbrido intencional: la superación de la dicotomía</w:t>
      </w:r>
    </w:p>
    <w:p w14:paraId="66959CC0"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ecosistema híbrido no representa un simple retorno a la presencialidad, sino una reconfiguración deliberada del espacio-tiempo educativo, donde los docentes redefinen qué contenidos permanecen en línea y cuáles requieren interacción presencial. Los relatos analizados muestran que esta decisión no es meramente logística, sino que responde a una reflexión estratégica sobre la eficacia pedagógica, la autonomía del estudiante y la maximización del tiempo presencial de alto valor formativo. En este marco, el aula deja de ser un espacio delimitado físicamente y se concibe como un ecosistema extendido, con nodos sincrónicos y asincrónicos que se articulan con los objetivos de aprendizaje.</w:t>
      </w:r>
    </w:p>
    <w:p w14:paraId="0E178825"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 xml:space="preserve">El análisis documental de los relatos muestra una tendencia clara: el abandono del "relleno" horario presencial. Las herramientas como Discord para interacción asincrónica, e-portfolios para seguimiento de proyectos y la lógica de la clase invertida se utilizan para dedicar el valioso tiempo presencial a actividades prácticas de alto valor formativo. Los ejemplos de la cátedra de Bioquímica Clínica I evidencian esta lógica: las clases expositivas se transformaron en talleres invertidos, destinando la presencialidad a prácticas de laboratorio complejas y a la interacción directa entre estudiantes y docentes. En paralelo, Animales de Laboratorio implementó un e-portfolio semanal para guiar y evaluar los proyectos de investigación, promoviendo la construcción continua de conocimiento y no solo la entrega final de productos. Esta estrategia introduce una tensión significativa: las y los estudiantes asumen un rol activo como gestoras y gestores de su </w:t>
      </w:r>
      <w:r w:rsidRPr="003F5834">
        <w:rPr>
          <w:rFonts w:ascii="Times New Roman" w:hAnsi="Times New Roman" w:cs="Times New Roman"/>
        </w:rPr>
        <w:lastRenderedPageBreak/>
        <w:t>aprendizaje, mientras que el o la docente transita entre la supervisión y la mediación crítica, generando un equilibrio dinámico entre control y autonomía. </w:t>
      </w:r>
    </w:p>
    <w:p w14:paraId="37CEBE7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análisis de los relatos permite identificar varios dilemas y decisiones recurrentes:</w:t>
      </w:r>
    </w:p>
    <w:p w14:paraId="116CEE70" w14:textId="77777777" w:rsidR="003F5834" w:rsidRPr="003F5834" w:rsidRDefault="003F5834" w:rsidP="003F5834">
      <w:pPr>
        <w:numPr>
          <w:ilvl w:val="0"/>
          <w:numId w:val="1"/>
        </w:numPr>
        <w:spacing w:line="240" w:lineRule="auto"/>
        <w:jc w:val="both"/>
        <w:rPr>
          <w:rFonts w:ascii="Times New Roman" w:hAnsi="Times New Roman" w:cs="Times New Roman"/>
        </w:rPr>
      </w:pPr>
      <w:r w:rsidRPr="003F5834">
        <w:rPr>
          <w:rFonts w:ascii="Times New Roman" w:hAnsi="Times New Roman" w:cs="Times New Roman"/>
        </w:rPr>
        <w:t>La elección de herramientas digitales (Discord, e-portfolios, plataformas institucionales) no solo responde a disponibilidad tecnológica, sino a criterios pedagógicos sobre cómo favorecer la interacción, el seguimiento del aprendizaje y la retroalimentación continua.</w:t>
      </w:r>
    </w:p>
    <w:p w14:paraId="1B03FC0E" w14:textId="77777777" w:rsidR="003F5834" w:rsidRPr="003F5834" w:rsidRDefault="003F5834" w:rsidP="003F5834">
      <w:pPr>
        <w:numPr>
          <w:ilvl w:val="0"/>
          <w:numId w:val="1"/>
        </w:numPr>
        <w:spacing w:line="240" w:lineRule="auto"/>
        <w:jc w:val="both"/>
        <w:rPr>
          <w:rFonts w:ascii="Times New Roman" w:hAnsi="Times New Roman" w:cs="Times New Roman"/>
        </w:rPr>
      </w:pPr>
      <w:r w:rsidRPr="003F5834">
        <w:rPr>
          <w:rFonts w:ascii="Times New Roman" w:hAnsi="Times New Roman" w:cs="Times New Roman"/>
        </w:rPr>
        <w:t>Las y los docentes deben evaluar qué contenidos son apropiados para la virtualidad y cuáles requieren la presencia física para garantizar la adquisición de habilidades prácticas o el desarrollo de competencias profesionales.</w:t>
      </w:r>
    </w:p>
    <w:p w14:paraId="02E975DD" w14:textId="77777777" w:rsidR="003F5834" w:rsidRPr="003F5834" w:rsidRDefault="003F5834" w:rsidP="003F5834">
      <w:pPr>
        <w:numPr>
          <w:ilvl w:val="0"/>
          <w:numId w:val="1"/>
        </w:numPr>
        <w:spacing w:line="240" w:lineRule="auto"/>
        <w:jc w:val="both"/>
        <w:rPr>
          <w:rFonts w:ascii="Times New Roman" w:hAnsi="Times New Roman" w:cs="Times New Roman"/>
        </w:rPr>
      </w:pPr>
      <w:r w:rsidRPr="003F5834">
        <w:rPr>
          <w:rFonts w:ascii="Times New Roman" w:hAnsi="Times New Roman" w:cs="Times New Roman"/>
        </w:rPr>
        <w:t>Cada decisión implica un desplazamiento de poder significativo: se reduce la centralidad del expositor tradicional y se amplía la responsabilidad de los estudiantes como agentes activos del aprendizaje. La tecnología se integra al propósito pedagógico. </w:t>
      </w:r>
    </w:p>
    <w:p w14:paraId="515B4B6B"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decisión sobre qué queda en virtualidad y qué se realiza de forma presencial es una decisión didáctica y política, que descentra la figura docente como expositor o expositora y ubica a las y los estudiantes gestionando su propio aprendizaje en un ecosistema extendido que trasciende los límites físicos del aula.</w:t>
      </w:r>
    </w:p>
    <w:p w14:paraId="36692130"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consolidación del “modelo híbrido intencional” constituye un marco estructural para la innovación. Las decisiones no son episódicas ni superficiales; reflejan un cambio cultural profundo en la manera en que se entiende la enseñanza universitaria: el espacio no determina la enseñanza, sino que la enseñanza diseña el espacio, incluyendo tanto el aula física como los entornos digitales.</w:t>
      </w:r>
    </w:p>
    <w:p w14:paraId="7A2B0CB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Desde la perspectiva de la reconfiguración cultural del trabajo académico, esta dimensión evidencia que la integración tecnológica no se limita a la adopción de herramientas; es un mecanismo de transformación de la práctica docente y de los roles en el aula. La tecnología potencia la mediación pedagógica, pero no la sustituye; habilita nuevas formas de colaboración entre estudiantes, nuevas dinámicas de supervisión docente y espacios de reflexión colectiva. La horizontalidad y la co-construcción del aprendizaje emergen como resultados culturales, no como efectos secundarios de la pandemia o de la incorporación de plataformas digitales.</w:t>
      </w:r>
    </w:p>
    <w:p w14:paraId="6092F5D5"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síntesis, el ecosistema híbrido intencional en la FFyB-UBA es un laboratorio de innovación educativa: articula autonomía estudiantil, mediación docente y decisiones estratégicas sobre presencialidad y virtualidad. Esta configuración no solo optimiza el aprendizaje, sino que también contribuye a consolidar la cultura de colaboración, reflexión y codiseño que atraviesa toda la institución. Las tensiones que surgen —sobre control, participación y autoridad— se convierten en zonas de aprendizaje para docentes y estudiantes, reafirmando que el diseño híbrido no es un ajuste temporal, sino un componente estructural de la reconfiguración cultural del trabajo académico.</w:t>
      </w:r>
    </w:p>
    <w:p w14:paraId="0F7F8CCB" w14:textId="77777777" w:rsidR="003F5834" w:rsidRDefault="003F5834" w:rsidP="003F5834">
      <w:pPr>
        <w:spacing w:line="240" w:lineRule="auto"/>
        <w:jc w:val="both"/>
        <w:rPr>
          <w:rFonts w:ascii="Times New Roman" w:hAnsi="Times New Roman" w:cs="Times New Roman"/>
          <w:b/>
          <w:bCs/>
        </w:rPr>
      </w:pPr>
      <w:r w:rsidRPr="003F5834">
        <w:rPr>
          <w:rFonts w:ascii="Times New Roman" w:hAnsi="Times New Roman" w:cs="Times New Roman"/>
          <w:b/>
          <w:bCs/>
        </w:rPr>
        <w:t>2. La colaboración como núcleo del trabajo académico: tensiones y horizontes</w:t>
      </w:r>
    </w:p>
    <w:p w14:paraId="409A38D2" w14:textId="054A53DA"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lastRenderedPageBreak/>
        <w:t>El codiseño y la colaboración interdisciplinaria se revelan como elementos nucleares del trabajo docente en FFyB, no solo como un procedimiento técnico sino como un mecanismo de reconfiguración cultural que tensiona la estructura tradicional de la cátedra universitaria. Esta dimensión permite observar cómo las jerarquías históricas —donde el titular concentra autoridad y los auxiliares ejecutan— se transforman hacia un modelo más horizontal, reflexivo y distribuido, aunque no sin generar conflictos y negociaciones constantes.</w:t>
      </w:r>
    </w:p>
    <w:p w14:paraId="7782AE5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Los relatos muestran tres niveles de colaboración: entre estudiantes, como objetivo formativo; entre docentes, como forma de planificación y codiseño; y entre las cátedras y la comunidad, como vínculo extensionista que articula la formación universitaria con demandas externas. La colaboración docente es la más relevante para la reconfiguración estructural, pues genera un desplazamiento de poder simbólico y práctico dentro de la cátedra.</w:t>
      </w:r>
    </w:p>
    <w:p w14:paraId="6B6689E1"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Área Pedagógica actúa como facilitadora de estos procesos, ofreciendo soporte y mediación metodológica, pero los equipos de cátedra son los motores del cambio: incluyen titulares, jefes de trabajos prácticos y auxiliares docentes, quienes participan activamente en la concepción de materiales, planificación de actividades y estrategias evaluativas. Por ejemplo, la cátedra de Óptica reconoce que la construcción de los materiales se realizó durante la cursada con la colaboración plena de todos los auxiliares, quienes reportan sentirse motivados y valorados en su rol profesional. De manera similar, la cátedra de Química Orgánica II documenta explícitamente los aportes de los ayudantes, que utilizan su perfil de “nativos digitales” para introducir innovaciones tecnológicas y pedagógicas que redefinen las prácticas de enseñanza.</w:t>
      </w:r>
    </w:p>
    <w:p w14:paraId="57C473F3"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Sin embargo, esta horizontalidad no es pacífica. Se generan zonas de contacto pedagógico donde los diferentes actores negocian el sentido de la clase y los criterios de validación del conocimiento. Los auxiliares no solo ejecutan tareas, sino que tensionan la autoridad tradicional al proponer arquitecturas de aprendizaje que desafían la linealidad del modelo experto-novato. Las entrevistas en profundidad permiten identificar tensiones emergentes: la colaboración requiere tiempos que la estructura jerárquica tradicional no contempla, y la distribución de la autoridad en el diseño puede chocar con normas departamentales o con la cultura de la “cátedra autor”.</w:t>
      </w:r>
    </w:p>
    <w:p w14:paraId="26A10AD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codiseño, en este sentido, no elimina las jerarquías: las tensa, las problematiza y las convierte en un espacio de negociación continua sobre qué saber es legítimo para organizar la enseñanza. La colaboración se vuelve un campo de disputa por el significado de la “buena enseñanza”, donde los saberes pedagógicos y tecnológicos de auxiliares y asesores adquieren nuevo estatuto frente a la autoridad disciplinar del titular. Esta dimensión evidencia que la horizontalidad y el codiseño no son meramente procedimientos de eficiencia: son procesos culturales y políticos, que configuran la identidad profesional de las y los docentes, legitiman nuevas competencias y generan resiliencia institucional frente a la complejidad de la enseñanza híbrida y la irrupción tecnológica.</w:t>
      </w:r>
    </w:p>
    <w:p w14:paraId="0B28D017"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lastRenderedPageBreak/>
        <w:t>Finalmente, la práctica del codiseño horizontal permite que las decisiones sobre estrategias de enseñanza y evaluación sean co-construidas, reflexionadas y validadas por múltiples actores. Esta dinámica, aunque más compleja y demandante de tiempo, fortalece la sostenibilidad de la innovación pedagógica, consolida la colaboración interdisciplinaria y establece un precedente institucional sobre cómo pueden organizarse colectivamente las prácticas docentes en un entorno universitario contemporáneo y tecnológicamente mediado.</w:t>
      </w:r>
    </w:p>
    <w:p w14:paraId="37C3C5DE"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3. La reflexión docente como investigación: del instructor al docente-investigador</w:t>
      </w:r>
    </w:p>
    <w:p w14:paraId="6C8AA25F"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Un número significativo de experiencias documentadas incluye elementos de relevamiento de datos, análisis sistemático y formulación de hipótesis sobre la relación entre el rendimiento académico y las innovaciones pedagógicas implementadas. Esta dimensión evidencia un traslado del rol docente desde el instructor tradicional hacia el docente-investigador, capaz de integrar información empírica, observaciones de aula y retroalimentación de estudiantes para ajustar y mejorar continuamente sus estrategias de enseñanza.</w:t>
      </w:r>
    </w:p>
    <w:p w14:paraId="1D8416B7"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Los relatos permiten identificar múltiples modalidades de esta reflexividad. La cátedra de Anatomía e Histología, por ejemplo, realizó un análisis comparativo del rendimiento académico antes, durante y después de la pandemia, detectando una caída inesperada en la regularización de 2022. Este hallazgo generó un interrogante sobre la modificación de hábitos de estudio y estrategias de aprendizaje de las y los estudiantes, cuestionando supuestos previos sobre la continuidad de las prácticas pedagógicas tradicionales. La cátedra de Matemática Aplicada, por su parte, cruzó datos de los estudiantes de 2019 a 2022 y observó que la vuelta a la presencialidad se acompañó de un incremento significativo de desaprobaciones. Esta evidencia llevó a los docentes a reflexionar sobre las dificultades de los estudiantes para organizar su ritmo de estudio, gestionar la carga académica y desarrollar un sentido de pertenencia al curso, planteando una perspectiva más amplia sobre las condiciones de aprendizaje y las necesidades de acompañamiento.</w:t>
      </w:r>
    </w:p>
    <w:p w14:paraId="6F683C3A"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Otras experiencias, como las de Fisicoquímica, incorporaron instrumentos formales de recolección de datos, como encuestas con escalas de Likert, para evaluar la efectividad de las actividades experimentales individuales y de la confección colaborativa de informes. Estas metodologías permitieron analizar patrones de desempeño, identificar fortalezas y debilidades en la comprensión de los contenidos y generar ajustes pedagógicos fundamentados en evidencia.</w:t>
      </w:r>
    </w:p>
    <w:p w14:paraId="0CDB5D6E"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Este enfoque transforma el aula en un laboratorio de indagación didáctica, donde el docente no solo implementa actividades, sino que observa sus efectos, interpreta los resultados, produce datos significativos y modifica sus estrategias en consecuencia. La práctica docente deja de ser una rutina de transmisión de contenidos y se convierte en un proceso reflexivo, iterativo y situado, en el que cada decisión se revisa y ajusta en función de la evidencia y de los objetivos formativos.</w:t>
      </w:r>
    </w:p>
    <w:p w14:paraId="569C0F37"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 xml:space="preserve">El análisis de los relatos revela que este modelo genera un desplazamiento de poder simbólico: la autoridad disciplinar deja de ser el único referente para organizar la enseñanza, cediendo espacio a un saber pedagógico basado en evidencia y colaboración. </w:t>
      </w:r>
      <w:r w:rsidRPr="003F5834">
        <w:rPr>
          <w:rFonts w:ascii="Times New Roman" w:hAnsi="Times New Roman" w:cs="Times New Roman"/>
        </w:rPr>
        <w:lastRenderedPageBreak/>
        <w:t>La reflexión docente, en este contexto, deja de ser un acto privado o un cierre de ciclo; se convierte en motor del diseño, codiseño y rediseño continuos, promoviendo innovación sostenible, aprendizaje situado y una cultura institucional donde la investigación sobre la enseñanza se integra de manera orgánica en la práctica cotidiana.</w:t>
      </w:r>
    </w:p>
    <w:p w14:paraId="3C008B0B"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suma, la dimensión de la reflexión docente como investigación evidencia que el saber sobre la enseñanza se produce y legitima en la práctica, y que la capacidad de observar, interpretar y ajustar la propia acción docente es un componente central de la reconfiguración cultural del trabajo académico. Este enfoque refuerza la horizontalidad, la colaboración interdisciplinaria y la integración tecnológica, asegurando que la innovación pedagógica no dependa únicamente de la planificación formal sino de la interacción crítica entre docentes, estudiantes y recursos tecnológicos.</w:t>
      </w:r>
    </w:p>
    <w:p w14:paraId="7BE30B9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4. Arquitecturas de aprendizaje y puentes profesionales: el diseño como estructura</w:t>
      </w:r>
    </w:p>
    <w:p w14:paraId="503FD36E" w14:textId="2B48FCDF"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Esta dimensión enfatiza el diseño intencional de la enseñanza como un recorrido estructurado que combina teoría, práctica y autoevaluación, generando pertinencia profesional y promoviendo un aprendizaje situado. Las y los docentes actúan como arquitectas y arquitectos de la experiencia educativa, definiendo un camino con etapas claras, guías, soportes y recursos explícitos que permiten a las y los estudiantes integrar contenidos y habilidades de manera progresiva. La arquitectura de aprendizaje se constituye como un marco regulador de la práctica pedagógica, que articula los objetivos disciplinarios con las competencias profesionales esperadas y los tiempos de mediación docente.</w:t>
      </w:r>
    </w:p>
    <w:p w14:paraId="3B9EF250"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análisis de los 36 relatos muestra que esta arquitectura permite detectar y cubrir vacíos curriculares históricos, identificando áreas donde los contenidos tradicionales no alcanzan a preparar a las y los estudiantes para los desafíos de la práctica profesional real. La integración de problemas complejos, como los casos clínicos de medicina de precisión, refleja la intención de vincular el conocimiento teórico con la incertidumbre y la complejidad de los escenarios profesionales. Las y los docentes implementan hojas de ruta, cronogramas detallados, organización modular de contenidos y secuencias de aprendizaje en varias fases —material previo, actividades presenciales, consolidación posterior— asegurando coherencia y continuidad en la experiencia formativa.</w:t>
      </w:r>
    </w:p>
    <w:p w14:paraId="5BC2A840"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conciencia curricular se evidencia en la justificación pedagógica que las y los docentes ofrecen sobre cada actividad. La cátedra de Genética y Genómica Farmacéuticas, por ejemplo, conecta los casos clínicos reales con la futura práctica profesional de las y los estudiantes, garantizando la pertinencia y el impacto de la enseñanza. La cátedra de Química Biológica Vegetal fundamenta la inclusión de prácticas presenciales al reconocer que "las plantas no son estudiadas durante toda la carrera y el manejo del material vegetal para su análisis es desconocido para los alumnos", evidenciando una sensibilidad hacia los vacíos curriculares y la necesidad de construir puentes educativos que mitiguen dichas carencias.</w:t>
      </w:r>
    </w:p>
    <w:p w14:paraId="55BD7A23"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 xml:space="preserve">El desplazamiento de poder en esta dimensión se manifiesta en dos niveles: primero, la autoridad del docente en la interacción presencial se ve parcialmente trasladada al diseño mismo de la experiencia educativa, incluyendo materiales, guías y portfolios; segundo, al </w:t>
      </w:r>
      <w:r w:rsidRPr="003F5834">
        <w:rPr>
          <w:rFonts w:ascii="Times New Roman" w:hAnsi="Times New Roman" w:cs="Times New Roman"/>
        </w:rPr>
        <w:lastRenderedPageBreak/>
        <w:t>anclar las actividades en problemas y casos profesionales reales, se legitima un saber profesional situado, que opera como mediador entre el currículo formal y la complejidad del ejercicio profesional. Este doble desplazamiento permite que el aprendizaje se transforme en un proceso co-construido, donde las y los estudiantes se convierten en agentes activos y las y los docentes mediadores críticos de su desarrollo profesional.</w:t>
      </w:r>
    </w:p>
    <w:p w14:paraId="61037737"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Además, esta dimensión revela tensiones y negociaciones constantes. La planificación detallada y modular requiere coordinación, revisión y ajuste continuo, lo que puede generar fricciones entre docentes sobre la distribución de roles y la definición de prioridades pedagógicas. Estas tensiones son, en sí mismas, elementos de aprendizaje institucional: impulsan la reflexión, la innovación y la consolidación de prácticas colaborativas. La arquitectura de aprendizaje no solo organiza contenidos y actividades, sino que también constituye un espacio de negociación cultural y epistemológica, donde se redefinen competencias, se legitima conocimiento colectivo y se construye una cultura pedagógica sostenible.</w:t>
      </w:r>
    </w:p>
    <w:p w14:paraId="5D016566"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síntesis, la Dimensión 4 evidencia que las arquitecturas de aprendizaje funcionan como dispositivos de mediación estructural: conectan teoría y práctica, redistribuyen autoridad, fortalecen la colaboración interdisciplinaria y aseguran que el diseño de la enseñanza responda a las demandas reales de la formación profesional, integrando de manera explícita la experiencia de las y los estudiantes y la reflexión crítica docente. Esta dimensión, por lo tanto, se constituye como un pilar central en la reconfiguración cultural del trabajo académico, mostrando cómo la planificación intencional y reflexiva permite sostener innovación, pertinencia y cohesión institucional en un entorno educativo complejo y tecnológicamente mediado.</w:t>
      </w:r>
    </w:p>
    <w:p w14:paraId="199BF3E4"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5. Humanización y vínculo pedagógico: la resistencia lúdica y sensible</w:t>
      </w:r>
    </w:p>
    <w:p w14:paraId="0EE832A5"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Más allá de los aspectos técnicos y disciplinares, esta dimensión evidencia cómo la humanización de la enseñanza se convierte en un eje central de la práctica docente en FFyB. La integración de la sensibilidad, la ética y el vínculo afectivo con las y los estudiantes no es un complemento, sino un componente constitutivo de la enseñanza universitaria, particularmente frente a la automatización y la proliferación de herramientas digitales que podrían reducir la mediación humana a funciones rutinarias.</w:t>
      </w:r>
    </w:p>
    <w:p w14:paraId="7CEB9BFC"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Los relatos muestran que los docentes introducen estrategias lúdicas, artísticas y simbólicas para mantener la motivación, estimular la creatividad y reforzar el interés activo de los estudiantes. Por ejemplo:</w:t>
      </w:r>
    </w:p>
    <w:p w14:paraId="75CC0DA7" w14:textId="77777777" w:rsidR="003F5834" w:rsidRPr="003F5834" w:rsidRDefault="003F5834" w:rsidP="003F5834">
      <w:pPr>
        <w:numPr>
          <w:ilvl w:val="0"/>
          <w:numId w:val="2"/>
        </w:numPr>
        <w:spacing w:line="240" w:lineRule="auto"/>
        <w:jc w:val="both"/>
        <w:rPr>
          <w:rFonts w:ascii="Times New Roman" w:hAnsi="Times New Roman" w:cs="Times New Roman"/>
        </w:rPr>
      </w:pPr>
      <w:r w:rsidRPr="003F5834">
        <w:rPr>
          <w:rFonts w:ascii="Times New Roman" w:hAnsi="Times New Roman" w:cs="Times New Roman"/>
        </w:rPr>
        <w:t>La cátedra de Microbiología incorporó arte y música durante el retorno a la presencialidad, generando cercanía y facilitando la integración de estudiantes que habían experimentado interrupciones en sus trayectorias académicas.</w:t>
      </w:r>
    </w:p>
    <w:p w14:paraId="3034AA4B" w14:textId="77777777" w:rsidR="003F5834" w:rsidRPr="003F5834" w:rsidRDefault="003F5834" w:rsidP="003F5834">
      <w:pPr>
        <w:numPr>
          <w:ilvl w:val="0"/>
          <w:numId w:val="2"/>
        </w:numPr>
        <w:spacing w:line="240" w:lineRule="auto"/>
        <w:jc w:val="both"/>
        <w:rPr>
          <w:rFonts w:ascii="Times New Roman" w:hAnsi="Times New Roman" w:cs="Times New Roman"/>
        </w:rPr>
      </w:pPr>
      <w:r w:rsidRPr="003F5834">
        <w:rPr>
          <w:rFonts w:ascii="Times New Roman" w:hAnsi="Times New Roman" w:cs="Times New Roman"/>
        </w:rPr>
        <w:t>La cátedra de Genética Molecular Humana utilizó un juego estilo “Jeopardy” como forma de evaluación, promoviendo participación, reflexión rápida y consolidación de conceptos de manera dinámica.</w:t>
      </w:r>
    </w:p>
    <w:p w14:paraId="6F75C500" w14:textId="77777777" w:rsidR="003F5834" w:rsidRPr="003F5834" w:rsidRDefault="003F5834" w:rsidP="003F5834">
      <w:pPr>
        <w:numPr>
          <w:ilvl w:val="0"/>
          <w:numId w:val="2"/>
        </w:numPr>
        <w:spacing w:line="240" w:lineRule="auto"/>
        <w:jc w:val="both"/>
        <w:rPr>
          <w:rFonts w:ascii="Times New Roman" w:hAnsi="Times New Roman" w:cs="Times New Roman"/>
        </w:rPr>
      </w:pPr>
      <w:r w:rsidRPr="003F5834">
        <w:rPr>
          <w:rFonts w:ascii="Times New Roman" w:hAnsi="Times New Roman" w:cs="Times New Roman"/>
        </w:rPr>
        <w:lastRenderedPageBreak/>
        <w:t>La cátedra de Fisiología organizó un “Concurso de Memes Fisiológicos”, integrando un formato culturalmente relevante para las y los estudiantes y resignificándolo como herramienta pedagógica, favoreciendo la apropiación de conceptos complejos a través de la creatividad y la colaboración.</w:t>
      </w:r>
    </w:p>
    <w:p w14:paraId="14139554"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Estas prácticas no se limitan a generar entretenimiento: constituyen un contrapunto crítico frente a discursos tecnocráticos, donde el énfasis en la eficiencia, la automatización y la replicación de contenidos podría deshumanizar la enseñanza. La dimensión humanista reconoce al estudiante como sujeto integral, con emociones, historia y creatividad, e incorpora estos elementos en la construcción del aprendizaje.</w:t>
      </w:r>
    </w:p>
    <w:p w14:paraId="4E546299"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desplazamiento de poder en esta dimensión es simbólico pero profundo. El docente ya no es únicamente la autoridad del saber disciplinar; se posiciona como un adulto culturalmente relevante, capaz de interpretar, reconocer y validar los códigos culturales y simbólicos que las y los estudiantes utilizan para construir significado. Memes, juegos y expresiones artísticas se convierten en herramientas de mediación pedagógica, habilitando la participación activa y significativa de los estudiantes en el aprendizaje.</w:t>
      </w:r>
    </w:p>
    <w:p w14:paraId="1657726F" w14:textId="3391F62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el contexto de la Inteligencia Artificial Generativa, esta dimensión adquiere un valor aún mayor. Las herramientas automatizadas pueden generar contenidos, ejercicios y materiales, pero no pueden replicar la sensibilidad, la ética, el humor o la empatía que sostienen la relación educativa. La humanización y el vínculo pedagógico se consolidan como garantía de la pertinencia ética y formativa, asegurando que la enseñanza no se limite a la transmisión de información, sino que construya aprendizajes significativos, situados y humanamente responsables.</w:t>
      </w:r>
    </w:p>
    <w:p w14:paraId="33CDC08D" w14:textId="77777777" w:rsid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síntesis, la Dimensión 5 muestra que la humanización de la enseñanza constituye un espacio de resistencia cultural frente a la tecnificación, consolidando la dimensión ética, lúdica y afectiva de la práctica docente. Este enfoque refuerza la reconfiguración cultural del trabajo académico, evidenciando cómo la mediación docente, el reconocimiento de la diversidad de las y los estudiantes y la sensibilidad frente a sus códigos culturales son componentes irreductiblemente humanos que sostienen la innovación pedagógica y la pertinencia educativa en la FFyB.</w:t>
      </w:r>
    </w:p>
    <w:p w14:paraId="3A4F4363"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IV. Discusión: mediación tecnológica, Inteligencia Artificial Generativa y el lugar de lo humano</w:t>
      </w:r>
    </w:p>
    <w:p w14:paraId="0DD8FC2B"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análisis de los 36 relatos de experiencias docentes, recopilados en 2022 durante las IV Jornadas de Relatos de Experiencias, constituye la línea de base de la cultura de codiseño y colaboración interdisciplinaria en la FFyB-UBA. Esta evidencia empírica muestra cómo los equipos de cátedra ya habían desarrollado mecanismos de coordinación, negociación de roles y estrategias de enseñanza híbrida antes de la irrupción de la Inteligencia Artificial Generativa (IAGen). Los relatos documentan decisiones deliberadas sobre selección de contenidos, uso de herramientas digitales y diseño de actividades, revelando una reconfiguración cultural en curso, caracterizada por horizontalidad, participación activa de auxiliares y mediación pedagógica distribuida.</w:t>
      </w:r>
    </w:p>
    <w:p w14:paraId="584EB0DF"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lastRenderedPageBreak/>
        <w:t>La horizontalidad, aunque consolidada en estas experiencias, no es pacífica: genera zonas de contacto pedagógico donde surgen disputas sobre prioridades curriculares, sentido de la clase y definición de objetivos formativos. La evidencia de 2022 permite observar cómo estas tensiones se resolvían mediante negociación entre titulares, auxiliares y pedagogos, construyendo un modelo de autoridad compartida que legitima la distribución del saber pedagógico frente al saber disciplinar tradicional.</w:t>
      </w:r>
    </w:p>
    <w:p w14:paraId="5DE43E24"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A partir de esta línea de base, los análisis prospectivos sobre la IAGen (2024-2026) se interpretan como una evaluación de la capacidad de la cultura de codiseño preexistente para absorber nuevas tecnologías disruptivas. La irrupción de la IAGen no se evidencia directamente en los relatos de 2022, pero permite discutir cómo los docentes podrían integrar herramientas automatizadas sin perder control pedagógico. En este contexto, la curaduría crítica del docente se vuelve central: decidir qué competencias, contenidos y prácticas son irreductiblemente humanas y deben preservarse frente a la automatización. Esto incluye la selección de contenidos, la validación de saberes y la definición de objetivos curriculares, asegurando que el currículum refleje tanto pertinencia disciplinar como formación ética y profesional.</w:t>
      </w:r>
    </w:p>
    <w:p w14:paraId="1830D0D5"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análisis muestra que los efectos de la IAGen se median por la estructura colaborativa preexistente. Los equipos de cátedra acostumbrados a codiseñar, negociar roles y reflexionar sistemáticamente sobre su práctica son más capaces de evaluar críticamente los contenidos generados automáticamente, ajustar estrategias y mantener coherencia curricular. Por el contrario, la adopción de la IAGen en entornos sin cultura colaborativa podría conducir a una automatización superficial, desconectada de los objetivos formativos y de la construcción de sentido.</w:t>
      </w:r>
    </w:p>
    <w:p w14:paraId="23C8487B"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este sentido, la integración prospectiva de la IAGen debe leerse como una extensión del ecosistema híbrido intencional, que combina planificación, selección de contenidos y mediación docente con la tecnología emergente. La horizontalidad y las zonas de disputa observadas en 2022 proporcionan un marco de resiliencia institucional, donde los conflictos no son debilidades, sino oportunidades de ajuste, negociación y aprendizaje colectivo.</w:t>
      </w:r>
    </w:p>
    <w:p w14:paraId="55916D00"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Finalmente, la discusión evidencia que la reconfiguración cultural del trabajo académico no depende únicamente de la tecnología ni de la IA, sino de la capacidad del equipo docente para integrar evidencia empírica, criterios curriculares y mediación ética. La línea de base de 2022 permite evaluar cómo los principios de codiseño, colaboración interdisciplinaria y reflexión docente constituyen garantías de sostenibilidad e innovación pedagógica, asegurando que la IAGen se incorpore como herramienta de apoyo y no como sustituto de la mediación humana ni del juicio profesional.</w:t>
      </w:r>
    </w:p>
    <w:p w14:paraId="470F7C6E"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b/>
          <w:bCs/>
        </w:rPr>
        <w:t>V. Conclusiones: Hacia una nueva gramática universitaria. </w:t>
      </w:r>
    </w:p>
    <w:p w14:paraId="0D5C64B1"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 xml:space="preserve">El análisis de los 36 relatos de 2022 evidencia que la reconfiguración cultural del trabajo académico ya estaba en marcha antes de la irrupción de la Inteligencia Artificial Generativa. Esta línea de base muestra que los equipos de cátedra habían desarrollado prácticas sostenidas de codiseño, colaboración interdisciplinaria y reflexión docente que permiten redistribuir autoridad, integrar saberes pedagógicos y disciplinarios, y generar </w:t>
      </w:r>
      <w:r w:rsidRPr="003F5834">
        <w:rPr>
          <w:rFonts w:ascii="Times New Roman" w:hAnsi="Times New Roman" w:cs="Times New Roman"/>
        </w:rPr>
        <w:lastRenderedPageBreak/>
        <w:t>innovación educativa continua. La evidencia empírica indica que estas prácticas crean estructuras capaces de absorber nuevas tecnologías disruptivas sin comprometer los objetivos pedagógicos ni la pertinencia del currículum.</w:t>
      </w:r>
    </w:p>
    <w:p w14:paraId="2C8F8BC1"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introducción prospectiva de la IAGen (2024-2026) permite analizar cómo una cultura de codiseño previa facilita la incorporación crítica de herramientas automatizadas. La Inteligencia Artificial Generativa plantea desafíos sobre selección de contenidos, validación de saberes y construcción de competencias irreductiblemente humanas. La capacidad de las y los docentes para integrar estas herramientas de manera reflexiva depende directamente de la existencia de mecanismos previos de colaboración, negociación de roles y revisión continua de la práctica docente.</w:t>
      </w:r>
    </w:p>
    <w:p w14:paraId="19F14076"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La dimensión curricular adquiere centralidad en esta discusión: cada innovación documentada redefine lo que vale la pena ser enseñado, asegurando que los contenidos, actividades y evaluaciones estén alineados con la formación profesional y con las competencias éticas y críticas de las y los estudiantes. Los relatos de cátedras como Química Biológica Vegetal o Genética y Genómica Farmacéuticas muestran cómo la detección de vacíos curriculares y la construcción de puentes con la práctica profesional son el resultado de decisiones deliberadas y colaborativas, no de improvisaciones puntuales.</w:t>
      </w:r>
    </w:p>
    <w:p w14:paraId="57429E12"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El análisis confirma que la horizontalidad y el conflicto de poder son condiciones constitutivas de la innovación. La redistribución de autoridad entre titulares, auxiliares y pedagogos no elimina jerarquías, sino que las tensa y las convierte en espacios de negociación continua. Estas “zonas de contacto pedagógico” permiten que los saberes pedagógicos y tecnológicos adquieran un nuevo estatuto frente a la autoridad disciplinar, fortaleciendo la sustentabilidad de la innovación y la resiliencia institucional.</w:t>
      </w:r>
    </w:p>
    <w:p w14:paraId="31B70303"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En síntesis, las conclusiones de este trabajo permiten afirmar que la innovación educativa en la FFyB no depende de la tecnología ni de la IA, sino de una cultura institucional sólida que integra codiseño, colaboración interdisciplinaria, reflexión docente y mediación ética. La combinación de evidencia empírica de 2022 y análisis prospectivo sobre la IAGen permite proyectar que esta cultura puede sostener la incorporación de nuevas herramientas, asegurando que la enseñanza universitaria siga siendo humanamente relevante, éticamente responsable y curricularmente pertinente.</w:t>
      </w:r>
    </w:p>
    <w:p w14:paraId="54FB6833" w14:textId="77777777" w:rsidR="003F5834" w:rsidRPr="003F5834" w:rsidRDefault="003F5834" w:rsidP="003F5834">
      <w:pPr>
        <w:spacing w:line="240" w:lineRule="auto"/>
        <w:jc w:val="both"/>
        <w:rPr>
          <w:rFonts w:ascii="Times New Roman" w:hAnsi="Times New Roman" w:cs="Times New Roman"/>
        </w:rPr>
      </w:pPr>
      <w:r w:rsidRPr="003F5834">
        <w:rPr>
          <w:rFonts w:ascii="Times New Roman" w:hAnsi="Times New Roman" w:cs="Times New Roman"/>
        </w:rPr>
        <w:t>Finalmente, este estudio aporta a la Mesa 9 un modelo concreto de cómo el codiseño institucional, la selección deliberada de contenidos y la mediación crítica frente a tecnologías emergentes pueden servir como guía para otras facultades o universidades. La evidencia sugiere que la innovación curricular duradera se construye mediante prácticas colaborativas que redistribuyen autoridad, fortalecen la reflexión docente y posicionan al currículum como eje de la formación profesional y ética, asegurando que la enseñanza universitaria siga siendo un espacio de producción colectiva de conocimiento y de desarrollo de competencias profundas.</w:t>
      </w:r>
    </w:p>
    <w:p w14:paraId="6C31C470" w14:textId="77777777" w:rsidR="003F5834" w:rsidRPr="003F5834" w:rsidRDefault="003F5834" w:rsidP="003F5834">
      <w:pPr>
        <w:spacing w:line="240" w:lineRule="auto"/>
        <w:jc w:val="both"/>
        <w:rPr>
          <w:rFonts w:ascii="Times New Roman" w:hAnsi="Times New Roman" w:cs="Times New Roman"/>
        </w:rPr>
      </w:pPr>
    </w:p>
    <w:p w14:paraId="5265E672" w14:textId="77777777" w:rsidR="003F5834" w:rsidRDefault="003F5834" w:rsidP="007B5B5F">
      <w:pPr>
        <w:spacing w:line="240" w:lineRule="auto"/>
        <w:rPr>
          <w:rFonts w:ascii="Times New Roman" w:hAnsi="Times New Roman" w:cs="Times New Roman"/>
          <w:b/>
          <w:bCs/>
        </w:rPr>
      </w:pPr>
    </w:p>
    <w:p w14:paraId="39B57161" w14:textId="2FAE1728"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 xml:space="preserve">Referencias Bibliográficas </w:t>
      </w:r>
    </w:p>
    <w:p w14:paraId="155B64E1" w14:textId="77777777" w:rsidR="002E4AE3" w:rsidRDefault="002E4AE3" w:rsidP="002E4AE3">
      <w:pPr>
        <w:spacing w:line="240" w:lineRule="auto"/>
        <w:jc w:val="both"/>
        <w:rPr>
          <w:rFonts w:ascii="Times New Roman" w:hAnsi="Times New Roman" w:cs="Times New Roman"/>
        </w:rPr>
      </w:pPr>
      <w:r w:rsidRPr="002E4AE3">
        <w:rPr>
          <w:rFonts w:ascii="Times New Roman" w:hAnsi="Times New Roman" w:cs="Times New Roman"/>
          <w:b/>
          <w:bCs/>
        </w:rPr>
        <w:t xml:space="preserve">Lipsman, M., Salvatierra, F., Rodríguez Fermepín, M., Necuzzi, C., Augustovski, I., </w:t>
      </w:r>
      <w:proofErr w:type="spellStart"/>
      <w:r w:rsidRPr="002E4AE3">
        <w:rPr>
          <w:rFonts w:ascii="Times New Roman" w:hAnsi="Times New Roman" w:cs="Times New Roman"/>
          <w:b/>
          <w:bCs/>
        </w:rPr>
        <w:t>Maesschalck</w:t>
      </w:r>
      <w:proofErr w:type="spellEnd"/>
      <w:r w:rsidRPr="002E4AE3">
        <w:rPr>
          <w:rFonts w:ascii="Times New Roman" w:hAnsi="Times New Roman" w:cs="Times New Roman"/>
          <w:b/>
          <w:bCs/>
        </w:rPr>
        <w:t xml:space="preserve">, V., </w:t>
      </w:r>
      <w:proofErr w:type="spellStart"/>
      <w:r w:rsidRPr="002E4AE3">
        <w:rPr>
          <w:rFonts w:ascii="Times New Roman" w:hAnsi="Times New Roman" w:cs="Times New Roman"/>
          <w:b/>
          <w:bCs/>
        </w:rPr>
        <w:t>Hara</w:t>
      </w:r>
      <w:proofErr w:type="spellEnd"/>
      <w:r w:rsidRPr="002E4AE3">
        <w:rPr>
          <w:rFonts w:ascii="Times New Roman" w:hAnsi="Times New Roman" w:cs="Times New Roman"/>
          <w:b/>
          <w:bCs/>
        </w:rPr>
        <w:t>, G., Thiery, M., &amp; Izquierdo, L. (Comp.). (2023).</w:t>
      </w:r>
      <w:r w:rsidRPr="002E4AE3">
        <w:rPr>
          <w:rFonts w:ascii="Times New Roman" w:hAnsi="Times New Roman" w:cs="Times New Roman"/>
        </w:rPr>
        <w:t xml:space="preserve"> </w:t>
      </w:r>
      <w:r w:rsidRPr="002E4AE3">
        <w:rPr>
          <w:rFonts w:ascii="Times New Roman" w:hAnsi="Times New Roman" w:cs="Times New Roman"/>
          <w:i/>
          <w:iCs/>
        </w:rPr>
        <w:t>Enseñar en la universidad.</w:t>
      </w:r>
      <w:r w:rsidRPr="002E4AE3">
        <w:rPr>
          <w:rFonts w:ascii="Times New Roman" w:hAnsi="Times New Roman" w:cs="Times New Roman"/>
        </w:rPr>
        <w:t xml:space="preserve"> Área Pedagógica FFyB, Universidad de Buenos Aires.</w:t>
      </w:r>
    </w:p>
    <w:p w14:paraId="372D40E1" w14:textId="77777777" w:rsidR="002E4AE3" w:rsidRDefault="002E4AE3" w:rsidP="002E4AE3">
      <w:pPr>
        <w:spacing w:line="240" w:lineRule="auto"/>
        <w:jc w:val="both"/>
        <w:rPr>
          <w:rFonts w:ascii="Times New Roman" w:hAnsi="Times New Roman" w:cs="Times New Roman"/>
        </w:rPr>
      </w:pPr>
      <w:r w:rsidRPr="002E4AE3">
        <w:rPr>
          <w:rFonts w:ascii="Times New Roman" w:hAnsi="Times New Roman" w:cs="Times New Roman"/>
          <w:b/>
          <w:bCs/>
        </w:rPr>
        <w:t>Lipsman, M. (Comp.). (2022).</w:t>
      </w:r>
      <w:r w:rsidRPr="002E4AE3">
        <w:rPr>
          <w:rFonts w:ascii="Times New Roman" w:hAnsi="Times New Roman" w:cs="Times New Roman"/>
        </w:rPr>
        <w:t xml:space="preserve"> </w:t>
      </w:r>
      <w:r w:rsidRPr="002E4AE3">
        <w:rPr>
          <w:rFonts w:ascii="Times New Roman" w:hAnsi="Times New Roman" w:cs="Times New Roman"/>
          <w:i/>
          <w:iCs/>
        </w:rPr>
        <w:t>Las prácticas de la enseñanza en la Facultad de Farmacia y Bioquímica de la Universidad de Buenos Aires en el marco de la pandemia por el COVID-19 de 2020. III Jornadas de Relatos de Experiencias: Tecnologías, Innovación y Enseñanza en la Universidad.</w:t>
      </w:r>
      <w:r w:rsidRPr="002E4AE3">
        <w:rPr>
          <w:rFonts w:ascii="Times New Roman" w:hAnsi="Times New Roman" w:cs="Times New Roman"/>
        </w:rPr>
        <w:t xml:space="preserve"> Eudeba. </w:t>
      </w:r>
    </w:p>
    <w:p w14:paraId="3282F5CC" w14:textId="77777777" w:rsidR="002E4AE3" w:rsidRPr="002E4AE3" w:rsidRDefault="002E4AE3" w:rsidP="002E4AE3">
      <w:pPr>
        <w:spacing w:line="240" w:lineRule="auto"/>
        <w:jc w:val="both"/>
        <w:rPr>
          <w:rFonts w:ascii="Times New Roman" w:hAnsi="Times New Roman" w:cs="Times New Roman"/>
        </w:rPr>
      </w:pPr>
      <w:r w:rsidRPr="002E4AE3">
        <w:rPr>
          <w:rFonts w:ascii="Times New Roman" w:hAnsi="Times New Roman" w:cs="Times New Roman"/>
          <w:b/>
          <w:bCs/>
        </w:rPr>
        <w:t>Litwin, E. (2008).</w:t>
      </w:r>
      <w:r w:rsidRPr="002E4AE3">
        <w:rPr>
          <w:rFonts w:ascii="Times New Roman" w:hAnsi="Times New Roman" w:cs="Times New Roman"/>
        </w:rPr>
        <w:t xml:space="preserve"> </w:t>
      </w:r>
      <w:r w:rsidRPr="002E4AE3">
        <w:rPr>
          <w:rFonts w:ascii="Times New Roman" w:hAnsi="Times New Roman" w:cs="Times New Roman"/>
          <w:i/>
          <w:iCs/>
        </w:rPr>
        <w:t>El oficio de enseñar: Condiciones y contextos.</w:t>
      </w:r>
      <w:r w:rsidRPr="002E4AE3">
        <w:rPr>
          <w:rFonts w:ascii="Times New Roman" w:hAnsi="Times New Roman" w:cs="Times New Roman"/>
        </w:rPr>
        <w:t xml:space="preserve"> Paidós.</w:t>
      </w:r>
    </w:p>
    <w:p w14:paraId="651C6EBF" w14:textId="23AF9F37" w:rsidR="002E4AE3" w:rsidRPr="002E4AE3" w:rsidRDefault="002E4AE3" w:rsidP="002E4AE3">
      <w:pPr>
        <w:spacing w:line="240" w:lineRule="auto"/>
        <w:jc w:val="both"/>
        <w:rPr>
          <w:rFonts w:ascii="Times New Roman" w:hAnsi="Times New Roman" w:cs="Times New Roman"/>
        </w:rPr>
      </w:pPr>
      <w:r w:rsidRPr="002E4AE3">
        <w:rPr>
          <w:rFonts w:ascii="Times New Roman" w:hAnsi="Times New Roman" w:cs="Times New Roman"/>
          <w:b/>
          <w:bCs/>
        </w:rPr>
        <w:t>Sirvent, M. T., &amp; Rigal, L. (2014).</w:t>
      </w:r>
      <w:r w:rsidRPr="002E4AE3">
        <w:rPr>
          <w:rFonts w:ascii="Times New Roman" w:hAnsi="Times New Roman" w:cs="Times New Roman"/>
        </w:rPr>
        <w:t xml:space="preserve"> La investigación-acción participativa como un modo de hacer ciencia de lo social. </w:t>
      </w:r>
      <w:r w:rsidRPr="002E4AE3">
        <w:rPr>
          <w:rFonts w:ascii="Times New Roman" w:hAnsi="Times New Roman" w:cs="Times New Roman"/>
          <w:i/>
          <w:iCs/>
        </w:rPr>
        <w:t xml:space="preserve">Revista </w:t>
      </w:r>
      <w:proofErr w:type="spellStart"/>
      <w:r w:rsidRPr="002E4AE3">
        <w:rPr>
          <w:rFonts w:ascii="Times New Roman" w:hAnsi="Times New Roman" w:cs="Times New Roman"/>
          <w:i/>
          <w:iCs/>
        </w:rPr>
        <w:t>Decisio</w:t>
      </w:r>
      <w:proofErr w:type="spellEnd"/>
      <w:r w:rsidRPr="002E4AE3">
        <w:rPr>
          <w:rFonts w:ascii="Times New Roman" w:hAnsi="Times New Roman" w:cs="Times New Roman"/>
          <w:i/>
          <w:iCs/>
        </w:rPr>
        <w:t>,</w:t>
      </w:r>
      <w:r>
        <w:rPr>
          <w:rFonts w:ascii="Times New Roman" w:hAnsi="Times New Roman" w:cs="Times New Roman"/>
          <w:i/>
          <w:iCs/>
        </w:rPr>
        <w:t xml:space="preserve"> </w:t>
      </w:r>
      <w:r w:rsidRPr="002E4AE3">
        <w:rPr>
          <w:rFonts w:ascii="Times New Roman" w:hAnsi="Times New Roman" w:cs="Times New Roman"/>
          <w:i/>
          <w:iCs/>
        </w:rPr>
        <w:t>(38)</w:t>
      </w:r>
      <w:r w:rsidRPr="002E4AE3">
        <w:rPr>
          <w:rFonts w:ascii="Times New Roman" w:hAnsi="Times New Roman" w:cs="Times New Roman"/>
        </w:rPr>
        <w:t>.</w:t>
      </w:r>
    </w:p>
    <w:p w14:paraId="2225A8F0" w14:textId="77777777" w:rsidR="002E4AE3" w:rsidRPr="003F5834" w:rsidRDefault="002E4AE3" w:rsidP="003F5834">
      <w:pPr>
        <w:spacing w:line="240" w:lineRule="auto"/>
        <w:jc w:val="both"/>
        <w:rPr>
          <w:rFonts w:ascii="Times New Roman" w:hAnsi="Times New Roman" w:cs="Times New Roman"/>
        </w:rPr>
      </w:pPr>
    </w:p>
    <w:sectPr w:rsidR="002E4AE3" w:rsidRPr="003F5834"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261A3" w14:textId="77777777" w:rsidR="004A15DA" w:rsidRPr="00BA642E" w:rsidRDefault="004A15DA" w:rsidP="00C802F5">
      <w:pPr>
        <w:spacing w:after="0" w:line="240" w:lineRule="auto"/>
      </w:pPr>
      <w:r w:rsidRPr="00BA642E">
        <w:separator/>
      </w:r>
    </w:p>
  </w:endnote>
  <w:endnote w:type="continuationSeparator" w:id="0">
    <w:p w14:paraId="13DD7407" w14:textId="77777777" w:rsidR="004A15DA" w:rsidRPr="00BA642E" w:rsidRDefault="004A15D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5FA0B" w14:textId="77777777" w:rsidR="004A15DA" w:rsidRPr="00BA642E" w:rsidRDefault="004A15DA" w:rsidP="00C802F5">
      <w:pPr>
        <w:spacing w:after="0" w:line="240" w:lineRule="auto"/>
      </w:pPr>
      <w:r w:rsidRPr="00BA642E">
        <w:separator/>
      </w:r>
    </w:p>
  </w:footnote>
  <w:footnote w:type="continuationSeparator" w:id="0">
    <w:p w14:paraId="5C78D817" w14:textId="77777777" w:rsidR="004A15DA" w:rsidRPr="00BA642E" w:rsidRDefault="004A15DA"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83544"/>
    <w:multiLevelType w:val="multilevel"/>
    <w:tmpl w:val="729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F96BCF"/>
    <w:multiLevelType w:val="multilevel"/>
    <w:tmpl w:val="4352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F4A55"/>
    <w:rsid w:val="00153E7D"/>
    <w:rsid w:val="001816D6"/>
    <w:rsid w:val="00185F5E"/>
    <w:rsid w:val="001923DC"/>
    <w:rsid w:val="002327C3"/>
    <w:rsid w:val="002E4AE3"/>
    <w:rsid w:val="00312392"/>
    <w:rsid w:val="003F5834"/>
    <w:rsid w:val="004040C0"/>
    <w:rsid w:val="00437E9C"/>
    <w:rsid w:val="004A15DA"/>
    <w:rsid w:val="00550766"/>
    <w:rsid w:val="005F3B2E"/>
    <w:rsid w:val="00666B76"/>
    <w:rsid w:val="00701F64"/>
    <w:rsid w:val="007B5B5F"/>
    <w:rsid w:val="007D233B"/>
    <w:rsid w:val="0085070B"/>
    <w:rsid w:val="00A17247"/>
    <w:rsid w:val="00AE22A3"/>
    <w:rsid w:val="00BA642E"/>
    <w:rsid w:val="00BA69BC"/>
    <w:rsid w:val="00BC236F"/>
    <w:rsid w:val="00BF4F1D"/>
    <w:rsid w:val="00C802F5"/>
    <w:rsid w:val="00C96B2C"/>
    <w:rsid w:val="00CC04C1"/>
    <w:rsid w:val="00CE3762"/>
    <w:rsid w:val="00D843EC"/>
    <w:rsid w:val="00EF56C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0CBC4-05D2-41A2-AC6B-20A662FA4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5535</Words>
  <Characters>34046</Characters>
  <Application>Microsoft Office Word</Application>
  <DocSecurity>0</DocSecurity>
  <Lines>508</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Admin</cp:lastModifiedBy>
  <cp:revision>4</cp:revision>
  <cp:lastPrinted>2026-06-16T19:46:00Z</cp:lastPrinted>
  <dcterms:created xsi:type="dcterms:W3CDTF">2026-06-16T19:46:00Z</dcterms:created>
  <dcterms:modified xsi:type="dcterms:W3CDTF">2026-06-19T12:27:00Z</dcterms:modified>
</cp:coreProperties>
</file>