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7F53D708" w:rsidR="005F3B2E" w:rsidRPr="00BA642E" w:rsidRDefault="00B963C4" w:rsidP="001923DC">
      <w:pPr>
        <w:jc w:val="center"/>
        <w:rPr>
          <w:rFonts w:ascii="Times New Roman" w:hAnsi="Times New Roman" w:cs="Times New Roman"/>
        </w:rPr>
      </w:pPr>
      <w:r w:rsidRPr="00B963C4">
        <w:rPr>
          <w:rFonts w:ascii="Times New Roman" w:hAnsi="Times New Roman" w:cs="Times New Roman"/>
          <w:b/>
          <w:bCs/>
        </w:rPr>
        <w:t xml:space="preserve">Español </w:t>
      </w:r>
      <w:r w:rsidR="00BE255D">
        <w:rPr>
          <w:rFonts w:ascii="Times New Roman" w:hAnsi="Times New Roman" w:cs="Times New Roman"/>
          <w:b/>
          <w:bCs/>
        </w:rPr>
        <w:t>para</w:t>
      </w:r>
      <w:r w:rsidRPr="00B963C4">
        <w:rPr>
          <w:rFonts w:ascii="Times New Roman" w:hAnsi="Times New Roman" w:cs="Times New Roman"/>
          <w:b/>
          <w:bCs/>
        </w:rPr>
        <w:t xml:space="preserve"> la Tercera Edad: experiencias en literacidad y prácticas preprofesionales en una licenciatura.</w:t>
      </w:r>
    </w:p>
    <w:p w14:paraId="4E738780" w14:textId="47514FEE" w:rsidR="005F3B2E" w:rsidRDefault="00072214" w:rsidP="005F3B2E">
      <w:pPr>
        <w:spacing w:after="0" w:line="240" w:lineRule="auto"/>
        <w:jc w:val="right"/>
        <w:rPr>
          <w:rFonts w:ascii="Times New Roman" w:hAnsi="Times New Roman" w:cs="Times New Roman"/>
        </w:rPr>
      </w:pPr>
      <w:r>
        <w:rPr>
          <w:rFonts w:ascii="Times New Roman" w:hAnsi="Times New Roman" w:cs="Times New Roman"/>
        </w:rPr>
        <w:t>Amaral Santos, Geovani</w:t>
      </w:r>
    </w:p>
    <w:p w14:paraId="6284D35F" w14:textId="77777777" w:rsidR="00BE255D" w:rsidRPr="00BA642E" w:rsidRDefault="00BE255D" w:rsidP="005F3B2E">
      <w:pPr>
        <w:spacing w:after="0" w:line="240" w:lineRule="auto"/>
        <w:jc w:val="right"/>
        <w:rPr>
          <w:rFonts w:ascii="Times New Roman" w:hAnsi="Times New Roman" w:cs="Times New Roman"/>
        </w:rPr>
      </w:pPr>
    </w:p>
    <w:p w14:paraId="381FB236" w14:textId="2EA453A1" w:rsidR="005114A4" w:rsidRDefault="005114A4" w:rsidP="005114A4">
      <w:pPr>
        <w:spacing w:line="240" w:lineRule="auto"/>
        <w:jc w:val="both"/>
        <w:rPr>
          <w:rFonts w:ascii="Times New Roman" w:hAnsi="Times New Roman" w:cs="Times New Roman"/>
          <w:lang w:val="es-ES"/>
        </w:rPr>
      </w:pPr>
      <w:r w:rsidRPr="0059771E">
        <w:rPr>
          <w:rFonts w:ascii="Times New Roman" w:hAnsi="Times New Roman" w:cs="Times New Roman"/>
          <w:lang w:val="es-ES"/>
        </w:rPr>
        <w:t xml:space="preserve">El presente artículo analiza el proyecto de extensión "Filmes e </w:t>
      </w:r>
      <w:proofErr w:type="spellStart"/>
      <w:r w:rsidRPr="0059771E">
        <w:rPr>
          <w:rFonts w:ascii="Times New Roman" w:hAnsi="Times New Roman" w:cs="Times New Roman"/>
          <w:lang w:val="es-ES"/>
        </w:rPr>
        <w:t>Língua</w:t>
      </w:r>
      <w:proofErr w:type="spellEnd"/>
      <w:r w:rsidRPr="0059771E">
        <w:rPr>
          <w:rFonts w:ascii="Times New Roman" w:hAnsi="Times New Roman" w:cs="Times New Roman"/>
          <w:lang w:val="es-ES"/>
        </w:rPr>
        <w:t xml:space="preserve"> </w:t>
      </w:r>
      <w:proofErr w:type="spellStart"/>
      <w:r w:rsidRPr="0059771E">
        <w:rPr>
          <w:rFonts w:ascii="Times New Roman" w:hAnsi="Times New Roman" w:cs="Times New Roman"/>
          <w:lang w:val="es-ES"/>
        </w:rPr>
        <w:t>Espanhola</w:t>
      </w:r>
      <w:proofErr w:type="spellEnd"/>
      <w:r w:rsidRPr="0059771E">
        <w:rPr>
          <w:rFonts w:ascii="Times New Roman" w:hAnsi="Times New Roman" w:cs="Times New Roman"/>
          <w:lang w:val="es-ES"/>
        </w:rPr>
        <w:t xml:space="preserve">: </w:t>
      </w:r>
      <w:proofErr w:type="spellStart"/>
      <w:r w:rsidR="00CF1B72">
        <w:rPr>
          <w:rFonts w:ascii="Times New Roman" w:hAnsi="Times New Roman" w:cs="Times New Roman"/>
          <w:lang w:val="es-ES"/>
        </w:rPr>
        <w:t>u</w:t>
      </w:r>
      <w:r w:rsidRPr="0059771E">
        <w:rPr>
          <w:rFonts w:ascii="Times New Roman" w:hAnsi="Times New Roman" w:cs="Times New Roman"/>
          <w:lang w:val="es-ES"/>
        </w:rPr>
        <w:t>ma</w:t>
      </w:r>
      <w:proofErr w:type="spellEnd"/>
      <w:r w:rsidRPr="0059771E">
        <w:rPr>
          <w:rFonts w:ascii="Times New Roman" w:hAnsi="Times New Roman" w:cs="Times New Roman"/>
          <w:lang w:val="es-ES"/>
        </w:rPr>
        <w:t xml:space="preserve"> </w:t>
      </w:r>
      <w:proofErr w:type="spellStart"/>
      <w:r w:rsidR="00CF1B72">
        <w:rPr>
          <w:rFonts w:ascii="Times New Roman" w:hAnsi="Times New Roman" w:cs="Times New Roman"/>
          <w:lang w:val="es-ES"/>
        </w:rPr>
        <w:t>c</w:t>
      </w:r>
      <w:r w:rsidRPr="0059771E">
        <w:rPr>
          <w:rFonts w:ascii="Times New Roman" w:hAnsi="Times New Roman" w:cs="Times New Roman"/>
          <w:lang w:val="es-ES"/>
        </w:rPr>
        <w:t>onstrução</w:t>
      </w:r>
      <w:proofErr w:type="spellEnd"/>
      <w:r w:rsidRPr="0059771E">
        <w:rPr>
          <w:rFonts w:ascii="Times New Roman" w:hAnsi="Times New Roman" w:cs="Times New Roman"/>
          <w:lang w:val="es-ES"/>
        </w:rPr>
        <w:t xml:space="preserve"> </w:t>
      </w:r>
      <w:r w:rsidR="00CF1B72">
        <w:rPr>
          <w:rFonts w:ascii="Times New Roman" w:hAnsi="Times New Roman" w:cs="Times New Roman"/>
          <w:lang w:val="es-ES"/>
        </w:rPr>
        <w:t>c</w:t>
      </w:r>
      <w:r w:rsidRPr="0059771E">
        <w:rPr>
          <w:rFonts w:ascii="Times New Roman" w:hAnsi="Times New Roman" w:cs="Times New Roman"/>
          <w:lang w:val="es-ES"/>
        </w:rPr>
        <w:t xml:space="preserve">rítica para a </w:t>
      </w:r>
      <w:proofErr w:type="spellStart"/>
      <w:r w:rsidR="00CF1B72">
        <w:rPr>
          <w:rFonts w:ascii="Times New Roman" w:hAnsi="Times New Roman" w:cs="Times New Roman"/>
          <w:lang w:val="es-ES"/>
        </w:rPr>
        <w:t>p</w:t>
      </w:r>
      <w:r w:rsidRPr="0059771E">
        <w:rPr>
          <w:rFonts w:ascii="Times New Roman" w:hAnsi="Times New Roman" w:cs="Times New Roman"/>
          <w:lang w:val="es-ES"/>
        </w:rPr>
        <w:t>essoa</w:t>
      </w:r>
      <w:proofErr w:type="spellEnd"/>
      <w:r w:rsidRPr="0059771E">
        <w:rPr>
          <w:rFonts w:ascii="Times New Roman" w:hAnsi="Times New Roman" w:cs="Times New Roman"/>
          <w:lang w:val="es-ES"/>
        </w:rPr>
        <w:t xml:space="preserve"> </w:t>
      </w:r>
      <w:proofErr w:type="spellStart"/>
      <w:r w:rsidR="00CF1B72">
        <w:rPr>
          <w:rFonts w:ascii="Times New Roman" w:hAnsi="Times New Roman" w:cs="Times New Roman"/>
          <w:lang w:val="es-ES"/>
        </w:rPr>
        <w:t>i</w:t>
      </w:r>
      <w:r w:rsidRPr="0059771E">
        <w:rPr>
          <w:rFonts w:ascii="Times New Roman" w:hAnsi="Times New Roman" w:cs="Times New Roman"/>
          <w:lang w:val="es-ES"/>
        </w:rPr>
        <w:t>dosa</w:t>
      </w:r>
      <w:proofErr w:type="spellEnd"/>
      <w:r w:rsidRPr="0059771E">
        <w:rPr>
          <w:rFonts w:ascii="Times New Roman" w:hAnsi="Times New Roman" w:cs="Times New Roman"/>
          <w:lang w:val="es-ES"/>
        </w:rPr>
        <w:t xml:space="preserve">", desarrollado en el Instituto Federal de </w:t>
      </w:r>
      <w:proofErr w:type="spellStart"/>
      <w:r w:rsidRPr="0059771E">
        <w:rPr>
          <w:rFonts w:ascii="Times New Roman" w:hAnsi="Times New Roman" w:cs="Times New Roman"/>
          <w:lang w:val="es-ES"/>
        </w:rPr>
        <w:t>Brasília</w:t>
      </w:r>
      <w:proofErr w:type="spellEnd"/>
      <w:r w:rsidRPr="0059771E">
        <w:rPr>
          <w:rFonts w:ascii="Times New Roman" w:hAnsi="Times New Roman" w:cs="Times New Roman"/>
          <w:lang w:val="es-ES"/>
        </w:rPr>
        <w:t xml:space="preserve">, Campus </w:t>
      </w:r>
      <w:proofErr w:type="spellStart"/>
      <w:r w:rsidRPr="0059771E">
        <w:rPr>
          <w:rFonts w:ascii="Times New Roman" w:hAnsi="Times New Roman" w:cs="Times New Roman"/>
          <w:lang w:val="es-ES"/>
        </w:rPr>
        <w:t>Ceilândia</w:t>
      </w:r>
      <w:proofErr w:type="spellEnd"/>
      <w:r w:rsidRPr="0059771E">
        <w:rPr>
          <w:rFonts w:ascii="Times New Roman" w:hAnsi="Times New Roman" w:cs="Times New Roman"/>
          <w:lang w:val="es-ES"/>
        </w:rPr>
        <w:t xml:space="preserve">, enmarcado en las políticas de educación a lo largo de la vida ante el envejecimiento demográfico en Brasil. El estudio planteó un doble objetivo: enriquecer la formación inicial de los estudiantes de la licenciatura en Letras-Español y posibilitar el acceso de la población de la tercera edad al aprendizaje de una segunda lengua (L2) desde una perspectiva crítica. Metodológicamente, se adoptó un enfoque cualitativo fundamentado en la investigación-acción y la etnografía, con una muestra regular de 18 adultos mayores durante un periodo de seis meses. El diseño curricular incluyó el uso de recursos audiovisuales y plataformas digitales adaptadas, culminando en la realización conjunta de un documental. Los resultados cuantitativos y cualitativos revelaron que el 94% de los participantes calificó las sesiones de forma positiva y el 90% reportó mejoras en su bienestar y felicidad; asimismo, más del 80% percibió un aprendizaje lingüístico efectivo, respaldando los principios de la </w:t>
      </w:r>
      <w:proofErr w:type="spellStart"/>
      <w:r w:rsidRPr="0059771E">
        <w:rPr>
          <w:rFonts w:ascii="Times New Roman" w:hAnsi="Times New Roman" w:cs="Times New Roman"/>
          <w:lang w:val="es-ES"/>
        </w:rPr>
        <w:t>neuroplasticidad</w:t>
      </w:r>
      <w:proofErr w:type="spellEnd"/>
      <w:r w:rsidRPr="0059771E">
        <w:rPr>
          <w:rFonts w:ascii="Times New Roman" w:hAnsi="Times New Roman" w:cs="Times New Roman"/>
          <w:lang w:val="es-ES"/>
        </w:rPr>
        <w:t xml:space="preserve"> en la vejez. Los principales obstáculos —como las brechas digitales y de infraestructura— se gestionaron mediante adaptaciones metodológicas y el uso estratégico de la lengua materna en los debates de literacidad crítica. Se concluye que el proyecto cumplió sus metas al priorizar la función social y afectiva del lenguaje, promoviendo la autonomía del adulto mayor y transformando la formación docente en una praxis reflexiva, política y sensible a la alteridad.</w:t>
      </w:r>
    </w:p>
    <w:p w14:paraId="33048A99" w14:textId="77777777" w:rsidR="005114A4" w:rsidRPr="0059771E" w:rsidRDefault="005114A4" w:rsidP="005114A4">
      <w:pPr>
        <w:spacing w:line="240" w:lineRule="auto"/>
        <w:jc w:val="both"/>
        <w:rPr>
          <w:rFonts w:ascii="Times New Roman" w:hAnsi="Times New Roman" w:cs="Times New Roman"/>
          <w:lang w:val="es-ES"/>
        </w:rPr>
      </w:pPr>
      <w:r w:rsidRPr="001778B4">
        <w:rPr>
          <w:rFonts w:ascii="Times New Roman" w:hAnsi="Times New Roman" w:cs="Times New Roman"/>
          <w:b/>
          <w:bCs/>
          <w:lang w:val="es-ES"/>
        </w:rPr>
        <w:t>Palabras clave</w:t>
      </w:r>
      <w:r>
        <w:rPr>
          <w:rFonts w:ascii="Times New Roman" w:hAnsi="Times New Roman" w:cs="Times New Roman"/>
          <w:lang w:val="es-ES"/>
        </w:rPr>
        <w:t xml:space="preserve">: </w:t>
      </w:r>
      <w:r w:rsidRPr="001778B4">
        <w:rPr>
          <w:rFonts w:ascii="Times New Roman" w:hAnsi="Times New Roman" w:cs="Times New Roman"/>
          <w:lang w:val="es-ES"/>
        </w:rPr>
        <w:t>Formación docente</w:t>
      </w:r>
      <w:r>
        <w:rPr>
          <w:rFonts w:ascii="Times New Roman" w:hAnsi="Times New Roman" w:cs="Times New Roman"/>
          <w:lang w:val="es-ES"/>
        </w:rPr>
        <w:t>.</w:t>
      </w:r>
      <w:r w:rsidRPr="001778B4">
        <w:rPr>
          <w:rFonts w:ascii="Times New Roman" w:hAnsi="Times New Roman" w:cs="Times New Roman"/>
          <w:lang w:val="es-ES"/>
        </w:rPr>
        <w:t xml:space="preserve">  Educación de adultos mayores</w:t>
      </w:r>
      <w:r>
        <w:rPr>
          <w:rFonts w:ascii="Times New Roman" w:hAnsi="Times New Roman" w:cs="Times New Roman"/>
          <w:lang w:val="es-ES"/>
        </w:rPr>
        <w:t>.</w:t>
      </w:r>
      <w:r w:rsidRPr="001778B4">
        <w:rPr>
          <w:rFonts w:ascii="Times New Roman" w:hAnsi="Times New Roman" w:cs="Times New Roman"/>
          <w:lang w:val="es-ES"/>
        </w:rPr>
        <w:t xml:space="preserve">  Enseñanza del español</w:t>
      </w:r>
      <w:r>
        <w:rPr>
          <w:rFonts w:ascii="Times New Roman" w:hAnsi="Times New Roman" w:cs="Times New Roman"/>
          <w:lang w:val="es-ES"/>
        </w:rPr>
        <w:t>.</w:t>
      </w:r>
      <w:r w:rsidRPr="001778B4">
        <w:rPr>
          <w:rFonts w:ascii="Times New Roman" w:hAnsi="Times New Roman" w:cs="Times New Roman"/>
          <w:lang w:val="es-ES"/>
        </w:rPr>
        <w:t xml:space="preserve">  </w:t>
      </w:r>
    </w:p>
    <w:p w14:paraId="5045E646" w14:textId="77777777" w:rsidR="005114A4" w:rsidRPr="0000771B" w:rsidRDefault="005114A4" w:rsidP="005114A4">
      <w:pPr>
        <w:spacing w:line="240" w:lineRule="auto"/>
        <w:jc w:val="both"/>
        <w:rPr>
          <w:rFonts w:ascii="Times New Roman" w:hAnsi="Times New Roman" w:cs="Times New Roman"/>
          <w:b/>
          <w:bCs/>
          <w:lang w:val="es-ES"/>
        </w:rPr>
      </w:pPr>
      <w:r w:rsidRPr="0000771B">
        <w:rPr>
          <w:rFonts w:ascii="Times New Roman" w:hAnsi="Times New Roman" w:cs="Times New Roman"/>
          <w:b/>
          <w:bCs/>
          <w:lang w:val="es-ES"/>
        </w:rPr>
        <w:t>INTRODUCCIÓN</w:t>
      </w:r>
    </w:p>
    <w:p w14:paraId="249FEB57" w14:textId="77777777" w:rsidR="005114A4" w:rsidRPr="00FB035D" w:rsidRDefault="005114A4" w:rsidP="005114A4">
      <w:pPr>
        <w:spacing w:line="240" w:lineRule="auto"/>
        <w:ind w:firstLine="709"/>
        <w:jc w:val="both"/>
        <w:rPr>
          <w:rFonts w:ascii="Times New Roman" w:hAnsi="Times New Roman" w:cs="Times New Roman"/>
          <w:lang w:val="es-ES_tradnl"/>
        </w:rPr>
      </w:pPr>
      <w:r w:rsidRPr="00FB035D">
        <w:rPr>
          <w:rFonts w:ascii="Times New Roman" w:hAnsi="Times New Roman" w:cs="Times New Roman"/>
          <w:lang w:val="es-ES"/>
        </w:rPr>
        <w:t>El Instituto Brasileño de Geografía y Estadística (2023) señala un crecimiento significativo de la población mayor en Brasil, comprendida como aquella que tiene 60 años o más en los países en desarrollo. Entre los años 2000 y 2023 la población de personas mayores subió de 15,2 millones a 33 millones de personas. Esto representa</w:t>
      </w:r>
      <w:r w:rsidRPr="00FB035D">
        <w:rPr>
          <w:rFonts w:ascii="Times New Roman" w:hAnsi="Times New Roman" w:cs="Times New Roman"/>
          <w:lang w:val="es-ES_tradnl"/>
        </w:rPr>
        <w:t xml:space="preserve"> una de las transformaciones demográficas más significativas del siglo XXI </w:t>
      </w:r>
      <w:r>
        <w:rPr>
          <w:rFonts w:ascii="Times New Roman" w:hAnsi="Times New Roman" w:cs="Times New Roman"/>
          <w:lang w:val="es-ES_tradnl"/>
        </w:rPr>
        <w:t xml:space="preserve">ya </w:t>
      </w:r>
      <w:r w:rsidRPr="00FB035D">
        <w:rPr>
          <w:rFonts w:ascii="Times New Roman" w:hAnsi="Times New Roman" w:cs="Times New Roman"/>
          <w:lang w:val="es-ES_tradnl"/>
        </w:rPr>
        <w:t xml:space="preserve">que apunta </w:t>
      </w:r>
      <w:r>
        <w:rPr>
          <w:rFonts w:ascii="Times New Roman" w:hAnsi="Times New Roman" w:cs="Times New Roman"/>
          <w:lang w:val="es-ES_tradnl"/>
        </w:rPr>
        <w:t xml:space="preserve">a </w:t>
      </w:r>
      <w:r w:rsidRPr="00FB035D">
        <w:rPr>
          <w:rFonts w:ascii="Times New Roman" w:hAnsi="Times New Roman" w:cs="Times New Roman"/>
          <w:lang w:val="es-ES_tradnl"/>
        </w:rPr>
        <w:t xml:space="preserve">un envejecimiento nunca visto en la población brasileña. Las proyecciones recientes </w:t>
      </w:r>
      <w:r>
        <w:rPr>
          <w:rFonts w:ascii="Times New Roman" w:hAnsi="Times New Roman" w:cs="Times New Roman"/>
          <w:lang w:val="es-ES_tradnl"/>
        </w:rPr>
        <w:t xml:space="preserve">de la </w:t>
      </w:r>
      <w:r w:rsidRPr="003C5AA4">
        <w:rPr>
          <w:rFonts w:ascii="Times New Roman" w:hAnsi="Times New Roman" w:cs="Times New Roman"/>
          <w:lang w:val="es-ES_tradnl"/>
        </w:rPr>
        <w:t>Organización Mundial de la Salud</w:t>
      </w:r>
      <w:r>
        <w:rPr>
          <w:rFonts w:ascii="Times New Roman" w:hAnsi="Times New Roman" w:cs="Times New Roman"/>
          <w:lang w:val="es-ES_tradnl"/>
        </w:rPr>
        <w:t xml:space="preserve"> (2005) </w:t>
      </w:r>
      <w:r w:rsidRPr="00FB035D">
        <w:rPr>
          <w:rFonts w:ascii="Times New Roman" w:hAnsi="Times New Roman" w:cs="Times New Roman"/>
          <w:lang w:val="es-ES_tradnl"/>
        </w:rPr>
        <w:t xml:space="preserve">indican que, para el año 2030, una de cada seis personas tendrá 60 años o más y que, para 2050, la población mundial de este grupo de edad podría alcanzar los 2100 millones de personas. Este escenario plantea tanto desafíos como oportunidades para las políticas públicas, especialmente en </w:t>
      </w:r>
      <w:r>
        <w:rPr>
          <w:rFonts w:ascii="Times New Roman" w:hAnsi="Times New Roman" w:cs="Times New Roman"/>
          <w:lang w:val="es-ES_tradnl"/>
        </w:rPr>
        <w:t>e</w:t>
      </w:r>
      <w:r w:rsidRPr="00FB035D">
        <w:rPr>
          <w:rFonts w:ascii="Times New Roman" w:hAnsi="Times New Roman" w:cs="Times New Roman"/>
          <w:lang w:val="es-ES_tradnl"/>
        </w:rPr>
        <w:t xml:space="preserve">l ámbito de la educación, pues exige formular estrategias que promuevan no solo la longevidad, sino también la calidad de vida, la autonomía y la participación social de las personas mayores. </w:t>
      </w:r>
    </w:p>
    <w:p w14:paraId="26142F44" w14:textId="77777777" w:rsidR="005114A4" w:rsidRPr="00FB035D" w:rsidRDefault="005114A4" w:rsidP="005114A4">
      <w:pPr>
        <w:spacing w:line="240" w:lineRule="auto"/>
        <w:ind w:firstLine="709"/>
        <w:jc w:val="both"/>
        <w:rPr>
          <w:rFonts w:ascii="Times New Roman" w:hAnsi="Times New Roman" w:cs="Times New Roman"/>
          <w:lang w:val="es-ES"/>
        </w:rPr>
      </w:pPr>
      <w:r w:rsidRPr="00FB035D">
        <w:rPr>
          <w:rFonts w:ascii="Times New Roman" w:hAnsi="Times New Roman" w:cs="Times New Roman"/>
          <w:lang w:val="es-ES"/>
        </w:rPr>
        <w:lastRenderedPageBreak/>
        <w:t xml:space="preserve">El Estado brasileño cuenta con una legislación relativamente robusta que abarca los derechos de las personas mayores. El artículo 230 de la Constitución Federal (Brasil, 1988) establece que la familia, la sociedad y el Estado tienen el deber de apoyar a las personas mayores, garantizando su participación en la comunidad y velando por su dignidad y bienestar. A partir de esta disposición, se han promulgado diversas leyes con el objetivo de proteger los derechos de los adultos mayores. </w:t>
      </w:r>
    </w:p>
    <w:p w14:paraId="6F660231" w14:textId="77777777" w:rsidR="005114A4" w:rsidRPr="00C503C5" w:rsidRDefault="005114A4" w:rsidP="005114A4">
      <w:pPr>
        <w:spacing w:line="240" w:lineRule="auto"/>
        <w:ind w:firstLine="709"/>
        <w:jc w:val="both"/>
        <w:rPr>
          <w:rFonts w:ascii="Times New Roman" w:hAnsi="Times New Roman" w:cs="Times New Roman"/>
          <w:lang w:val="es-ES"/>
        </w:rPr>
      </w:pPr>
      <w:r w:rsidRPr="00FB035D">
        <w:rPr>
          <w:rFonts w:ascii="Times New Roman" w:hAnsi="Times New Roman" w:cs="Times New Roman"/>
          <w:lang w:val="es-ES"/>
        </w:rPr>
        <w:t xml:space="preserve">La Política Nacional de la Persona Mayor </w:t>
      </w:r>
      <w:r w:rsidRPr="00C503C5">
        <w:rPr>
          <w:rFonts w:ascii="Times New Roman" w:hAnsi="Times New Roman" w:cs="Times New Roman"/>
          <w:lang w:val="es-ES"/>
        </w:rPr>
        <w:t>(</w:t>
      </w:r>
      <w:r w:rsidRPr="00FB035D">
        <w:rPr>
          <w:rFonts w:ascii="Times New Roman" w:hAnsi="Times New Roman" w:cs="Times New Roman"/>
          <w:lang w:val="es-ES"/>
        </w:rPr>
        <w:t xml:space="preserve">Brasil, </w:t>
      </w:r>
      <w:r w:rsidRPr="00C503C5">
        <w:rPr>
          <w:rFonts w:ascii="Times New Roman" w:hAnsi="Times New Roman" w:cs="Times New Roman"/>
          <w:lang w:val="es-ES"/>
        </w:rPr>
        <w:t xml:space="preserve">1994) estableció las </w:t>
      </w:r>
      <w:proofErr w:type="spellStart"/>
      <w:r w:rsidRPr="00C503C5">
        <w:rPr>
          <w:rFonts w:ascii="Times New Roman" w:hAnsi="Times New Roman" w:cs="Times New Roman"/>
          <w:lang w:val="es-ES"/>
        </w:rPr>
        <w:t>primeiras</w:t>
      </w:r>
      <w:proofErr w:type="spellEnd"/>
      <w:r w:rsidRPr="00C503C5">
        <w:rPr>
          <w:rFonts w:ascii="Times New Roman" w:hAnsi="Times New Roman" w:cs="Times New Roman"/>
          <w:lang w:val="es-ES"/>
        </w:rPr>
        <w:t xml:space="preserve"> directrices para la creación de políticas públicas dirigidas a la inserción de contenidos sobre el envejecimiento en todos los niveles de enseñanza, así como de cursos de extensión y programas orientados a la integración de las personas mayores en la comunidad académica. La </w:t>
      </w:r>
      <w:r w:rsidRPr="00FB035D">
        <w:rPr>
          <w:rFonts w:ascii="Times New Roman" w:hAnsi="Times New Roman" w:cs="Times New Roman"/>
          <w:lang w:val="es-ES"/>
        </w:rPr>
        <w:t>Ley de Directrices y Bases de la Educación Nacional (</w:t>
      </w:r>
      <w:r w:rsidRPr="00C503C5">
        <w:rPr>
          <w:rFonts w:ascii="Times New Roman" w:hAnsi="Times New Roman" w:cs="Times New Roman"/>
          <w:lang w:val="es-ES"/>
        </w:rPr>
        <w:t>Brasil, 1996</w:t>
      </w:r>
      <w:r w:rsidRPr="00FB035D">
        <w:rPr>
          <w:rFonts w:ascii="Times New Roman" w:hAnsi="Times New Roman" w:cs="Times New Roman"/>
          <w:lang w:val="es-ES"/>
        </w:rPr>
        <w:t xml:space="preserve">) incluye dos dispositivos importantes para esa temática: el </w:t>
      </w:r>
      <w:r w:rsidRPr="00C503C5">
        <w:rPr>
          <w:rFonts w:ascii="Times New Roman" w:hAnsi="Times New Roman" w:cs="Times New Roman"/>
          <w:lang w:val="es-ES"/>
        </w:rPr>
        <w:t xml:space="preserve">inciso XIII del artículo 3 trata de la educación a lo largo de toda la vida, garantizando el derecho al aprendizaje continuo. El artículo 37, a su vez, constituye la vía principal para integrar a los adultos mayores en el sistema escolar ya que menciona la Educación de Jóvenes y Adultos – EJA, modalidad educativa que asegura plazas y metodologías adecuadas para aquellas personas que no pudieron alfabetizarse o completar la educación básica a la edad habitual. </w:t>
      </w:r>
    </w:p>
    <w:p w14:paraId="376EFE5F" w14:textId="77777777" w:rsidR="005114A4" w:rsidRPr="00FB035D" w:rsidRDefault="005114A4" w:rsidP="005114A4">
      <w:pPr>
        <w:spacing w:line="240" w:lineRule="auto"/>
        <w:jc w:val="both"/>
        <w:rPr>
          <w:rFonts w:ascii="Times New Roman" w:hAnsi="Times New Roman" w:cs="Times New Roman"/>
          <w:lang w:val="es-ES_tradnl"/>
        </w:rPr>
      </w:pPr>
      <w:r w:rsidRPr="00FB035D">
        <w:rPr>
          <w:rFonts w:ascii="Times New Roman" w:hAnsi="Times New Roman" w:cs="Times New Roman"/>
          <w:lang w:val="es-ES_tradnl"/>
        </w:rPr>
        <w:t>Cabe mencionar, también, el Estatuto de las Personas Mayores (</w:t>
      </w:r>
      <w:r w:rsidRPr="00FB035D">
        <w:rPr>
          <w:rFonts w:ascii="Times New Roman" w:hAnsi="Times New Roman" w:cs="Times New Roman"/>
          <w:lang w:val="es-ES"/>
        </w:rPr>
        <w:t xml:space="preserve">Brasil, </w:t>
      </w:r>
      <w:r w:rsidRPr="00FB035D">
        <w:rPr>
          <w:rFonts w:ascii="Times New Roman" w:hAnsi="Times New Roman" w:cs="Times New Roman"/>
          <w:lang w:val="es-ES_tradnl"/>
        </w:rPr>
        <w:t xml:space="preserve">2003) en cuyo capítulo V se encuentran temas relacionados </w:t>
      </w:r>
      <w:r>
        <w:rPr>
          <w:rFonts w:ascii="Times New Roman" w:hAnsi="Times New Roman" w:cs="Times New Roman"/>
          <w:lang w:val="es-ES_tradnl"/>
        </w:rPr>
        <w:t>con</w:t>
      </w:r>
      <w:r w:rsidRPr="00FB035D">
        <w:rPr>
          <w:rFonts w:ascii="Times New Roman" w:hAnsi="Times New Roman" w:cs="Times New Roman"/>
          <w:lang w:val="es-ES_tradnl"/>
        </w:rPr>
        <w:t xml:space="preserve"> derecho a la educación: garantía del derecho a la educación, (art 20); obligación </w:t>
      </w:r>
      <w:r>
        <w:rPr>
          <w:rFonts w:ascii="Times New Roman" w:hAnsi="Times New Roman" w:cs="Times New Roman"/>
          <w:lang w:val="es-ES_tradnl"/>
        </w:rPr>
        <w:t>de</w:t>
      </w:r>
      <w:r w:rsidRPr="00FB035D">
        <w:rPr>
          <w:rFonts w:ascii="Times New Roman" w:hAnsi="Times New Roman" w:cs="Times New Roman"/>
          <w:lang w:val="es-ES_tradnl"/>
        </w:rPr>
        <w:t xml:space="preserve"> las autoridades públicas a crear oportunidades de acceso a la educación, incluida la adaptación de planes de estudio, metodologías y materiales didácticos para programas dirigidos a este grupo demográfico (art 21); exigencia a los centros de educación formal (enseñanza primaria y secundaria) de incluir contenidos sobre el proceso de envejecimiento en sus planes de estudio, con el objetivo de eliminar prejuicios y fomentar la valoración de las personas mayores (art 22) y apoyo a la creación de universidades abiertas para personas mayores y fomenta la publicación de libros con tamaños de letra y formatos diseñados para facilitar la lectura (art. 25).</w:t>
      </w:r>
    </w:p>
    <w:p w14:paraId="382163FF"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 xml:space="preserve">A partir de este contexto, se propuso en el curso de licenciatura en Letras-Español del Instituto Federal de Brasilia, Campus </w:t>
      </w:r>
      <w:proofErr w:type="spellStart"/>
      <w:r w:rsidRPr="00C503C5">
        <w:rPr>
          <w:rFonts w:ascii="Times New Roman" w:hAnsi="Times New Roman" w:cs="Times New Roman"/>
          <w:lang w:val="es-ES"/>
        </w:rPr>
        <w:t>Ceilândia</w:t>
      </w:r>
      <w:proofErr w:type="spellEnd"/>
      <w:r w:rsidRPr="00C503C5">
        <w:rPr>
          <w:rFonts w:ascii="Times New Roman" w:hAnsi="Times New Roman" w:cs="Times New Roman"/>
          <w:lang w:val="es-ES"/>
        </w:rPr>
        <w:t xml:space="preserve"> el proyecto de extensión Filmes e </w:t>
      </w:r>
      <w:proofErr w:type="spellStart"/>
      <w:r w:rsidRPr="00C503C5">
        <w:rPr>
          <w:rFonts w:ascii="Times New Roman" w:hAnsi="Times New Roman" w:cs="Times New Roman"/>
          <w:lang w:val="es-ES"/>
        </w:rPr>
        <w:t>Língua</w:t>
      </w:r>
      <w:proofErr w:type="spellEnd"/>
      <w:r w:rsidRPr="00C503C5">
        <w:rPr>
          <w:rFonts w:ascii="Times New Roman" w:hAnsi="Times New Roman" w:cs="Times New Roman"/>
          <w:lang w:val="es-ES"/>
        </w:rPr>
        <w:t xml:space="preserve"> </w:t>
      </w:r>
      <w:proofErr w:type="spellStart"/>
      <w:r w:rsidRPr="00C503C5">
        <w:rPr>
          <w:rFonts w:ascii="Times New Roman" w:hAnsi="Times New Roman" w:cs="Times New Roman"/>
          <w:lang w:val="es-ES"/>
        </w:rPr>
        <w:t>Espanhola</w:t>
      </w:r>
      <w:proofErr w:type="spellEnd"/>
      <w:r w:rsidRPr="00C503C5">
        <w:rPr>
          <w:rFonts w:ascii="Times New Roman" w:hAnsi="Times New Roman" w:cs="Times New Roman"/>
          <w:lang w:val="es-ES"/>
        </w:rPr>
        <w:t xml:space="preserve">: </w:t>
      </w:r>
      <w:proofErr w:type="spellStart"/>
      <w:r w:rsidRPr="00C503C5">
        <w:rPr>
          <w:rFonts w:ascii="Times New Roman" w:hAnsi="Times New Roman" w:cs="Times New Roman"/>
          <w:lang w:val="es-ES"/>
        </w:rPr>
        <w:t>Uma</w:t>
      </w:r>
      <w:proofErr w:type="spellEnd"/>
      <w:r w:rsidRPr="00C503C5">
        <w:rPr>
          <w:rFonts w:ascii="Times New Roman" w:hAnsi="Times New Roman" w:cs="Times New Roman"/>
          <w:lang w:val="es-ES"/>
        </w:rPr>
        <w:t xml:space="preserve"> </w:t>
      </w:r>
      <w:proofErr w:type="spellStart"/>
      <w:r w:rsidRPr="00C503C5">
        <w:rPr>
          <w:rFonts w:ascii="Times New Roman" w:hAnsi="Times New Roman" w:cs="Times New Roman"/>
          <w:lang w:val="es-ES"/>
        </w:rPr>
        <w:t>Construção</w:t>
      </w:r>
      <w:proofErr w:type="spellEnd"/>
      <w:r w:rsidRPr="00C503C5">
        <w:rPr>
          <w:rFonts w:ascii="Times New Roman" w:hAnsi="Times New Roman" w:cs="Times New Roman"/>
          <w:lang w:val="es-ES"/>
        </w:rPr>
        <w:t xml:space="preserve"> Crítica para a Pessoa </w:t>
      </w:r>
      <w:proofErr w:type="spellStart"/>
      <w:r w:rsidRPr="00C503C5">
        <w:rPr>
          <w:rFonts w:ascii="Times New Roman" w:hAnsi="Times New Roman" w:cs="Times New Roman"/>
          <w:lang w:val="es-ES"/>
        </w:rPr>
        <w:t>Idosa</w:t>
      </w:r>
      <w:proofErr w:type="spellEnd"/>
      <w:r w:rsidRPr="00C503C5">
        <w:rPr>
          <w:rFonts w:ascii="Times New Roman" w:hAnsi="Times New Roman" w:cs="Times New Roman"/>
          <w:lang w:val="es-ES"/>
        </w:rPr>
        <w:t xml:space="preserve"> (El cine y la lengua española: una perspectiva crítica para adultos mayores). El proyecto está incluido en una propuesta mayor del Instituto Federal de </w:t>
      </w:r>
      <w:proofErr w:type="spellStart"/>
      <w:r w:rsidRPr="00C503C5">
        <w:rPr>
          <w:rFonts w:ascii="Times New Roman" w:hAnsi="Times New Roman" w:cs="Times New Roman"/>
          <w:lang w:val="es-ES"/>
        </w:rPr>
        <w:t>Brasília</w:t>
      </w:r>
      <w:proofErr w:type="spellEnd"/>
      <w:r w:rsidRPr="00C503C5">
        <w:rPr>
          <w:rFonts w:ascii="Times New Roman" w:hAnsi="Times New Roman" w:cs="Times New Roman"/>
          <w:lang w:val="es-ES"/>
        </w:rPr>
        <w:t xml:space="preserve">, Campus </w:t>
      </w:r>
      <w:proofErr w:type="spellStart"/>
      <w:r w:rsidRPr="00C503C5">
        <w:rPr>
          <w:rFonts w:ascii="Times New Roman" w:hAnsi="Times New Roman" w:cs="Times New Roman"/>
          <w:lang w:val="es-ES"/>
        </w:rPr>
        <w:t>Ceilândia</w:t>
      </w:r>
      <w:proofErr w:type="spellEnd"/>
      <w:r w:rsidRPr="00C503C5">
        <w:rPr>
          <w:rFonts w:ascii="Times New Roman" w:hAnsi="Times New Roman" w:cs="Times New Roman"/>
          <w:lang w:val="es-ES"/>
        </w:rPr>
        <w:t xml:space="preserve">: el Programa IFB 60+, una iniciativa gratuita orientada a la inclusión digital, social y física de personas mayores de 60 años. Las actividades, centradas en la interacción social y la calidad de vida, se desarrollan principalmente en talleres y cursos de formación inicial, entre ellos: </w:t>
      </w:r>
      <w:proofErr w:type="spellStart"/>
      <w:r w:rsidRPr="00C503C5">
        <w:rPr>
          <w:rFonts w:ascii="Times New Roman" w:hAnsi="Times New Roman" w:cs="Times New Roman"/>
          <w:lang w:val="es-ES"/>
        </w:rPr>
        <w:t>PlatadosTech</w:t>
      </w:r>
      <w:proofErr w:type="spellEnd"/>
      <w:r w:rsidRPr="00C503C5">
        <w:rPr>
          <w:rFonts w:ascii="Times New Roman" w:hAnsi="Times New Roman" w:cs="Times New Roman"/>
          <w:lang w:val="es-ES"/>
        </w:rPr>
        <w:t xml:space="preserve">+ (alfabetización digital que abarca redes sociales, inteligencia artificial y aplicaciones bancarias), IFB60+ Actividad Física (prácticas enfocadas en la salud y el bienestar) y Alfabetización en LIBRAS y español (cursos básicos para principiantes). </w:t>
      </w:r>
    </w:p>
    <w:p w14:paraId="7405ED2C"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 xml:space="preserve">Luego, el proyecto tuvo doble objetivo: posibilitar la ampliación de la formación docente del profesor de español en formación inicial a la vez que posibilitaba el acceso de la población mayor al aprendizaje de la lengua española como L2. </w:t>
      </w:r>
    </w:p>
    <w:p w14:paraId="2268B263" w14:textId="77777777" w:rsidR="005114A4" w:rsidRPr="00FB035D" w:rsidRDefault="005114A4" w:rsidP="005114A4">
      <w:pPr>
        <w:spacing w:line="240" w:lineRule="auto"/>
        <w:rPr>
          <w:rFonts w:ascii="Times New Roman" w:hAnsi="Times New Roman" w:cs="Times New Roman"/>
          <w:b/>
          <w:bCs/>
          <w:lang w:val="es-ES_tradnl"/>
        </w:rPr>
      </w:pPr>
      <w:r w:rsidRPr="00FB035D">
        <w:rPr>
          <w:rFonts w:ascii="Times New Roman" w:hAnsi="Times New Roman" w:cs="Times New Roman"/>
          <w:b/>
          <w:bCs/>
          <w:lang w:val="es-ES_tradnl"/>
        </w:rPr>
        <w:lastRenderedPageBreak/>
        <w:t>DESARROLLO</w:t>
      </w:r>
    </w:p>
    <w:p w14:paraId="25904E1E" w14:textId="77777777" w:rsidR="005114A4" w:rsidRPr="00FB035D" w:rsidRDefault="005114A4" w:rsidP="005114A4">
      <w:pPr>
        <w:rPr>
          <w:rFonts w:ascii="Times New Roman" w:hAnsi="Times New Roman" w:cs="Times New Roman"/>
          <w:b/>
          <w:bCs/>
          <w:lang w:val="es-ES_tradnl"/>
        </w:rPr>
      </w:pPr>
      <w:r w:rsidRPr="00FB035D">
        <w:rPr>
          <w:rFonts w:ascii="Times New Roman" w:hAnsi="Times New Roman" w:cs="Times New Roman"/>
          <w:b/>
          <w:bCs/>
          <w:lang w:val="es-ES_tradnl"/>
        </w:rPr>
        <w:t>El Aprendizaje de Lenguas en la Tercera Edad: beneficios cognitivos y desafíos metodológicos</w:t>
      </w:r>
    </w:p>
    <w:p w14:paraId="2C1199AF" w14:textId="77777777" w:rsidR="005114A4" w:rsidRPr="00C503C5" w:rsidRDefault="005114A4" w:rsidP="005114A4">
      <w:pPr>
        <w:spacing w:line="240" w:lineRule="auto"/>
        <w:ind w:firstLine="709"/>
        <w:jc w:val="both"/>
        <w:rPr>
          <w:rFonts w:ascii="Times New Roman" w:hAnsi="Times New Roman" w:cs="Times New Roman"/>
          <w:lang w:val="es-ES"/>
        </w:rPr>
      </w:pPr>
      <w:r w:rsidRPr="00FB035D">
        <w:rPr>
          <w:rFonts w:ascii="Times New Roman" w:hAnsi="Times New Roman" w:cs="Times New Roman"/>
          <w:lang w:val="es-ES_tradnl"/>
        </w:rPr>
        <w:t>L</w:t>
      </w:r>
      <w:r w:rsidRPr="00C503C5">
        <w:rPr>
          <w:rFonts w:ascii="Times New Roman" w:hAnsi="Times New Roman" w:cs="Times New Roman"/>
          <w:lang w:val="es-ES"/>
        </w:rPr>
        <w:t xml:space="preserve">a enseñanza de lenguas extranjeras a las personas mayores ha sido objeto de un creciente estudio, centrándose en metodologías adaptadas a las necesidades específicas de esta población. En los campos de la psicología y la neurociencia, diversos estudios indican que, aunque el envejecimiento se asocia con cambios en el funcionamiento cognitivo, las capacidades de aprendizaje se mantienen a lo largo de toda la vida. El concepto de </w:t>
      </w:r>
      <w:proofErr w:type="spellStart"/>
      <w:r w:rsidRPr="00C503C5">
        <w:rPr>
          <w:rFonts w:ascii="Times New Roman" w:hAnsi="Times New Roman" w:cs="Times New Roman"/>
          <w:lang w:val="es-ES"/>
        </w:rPr>
        <w:t>neuroplasticidad</w:t>
      </w:r>
      <w:proofErr w:type="spellEnd"/>
      <w:r w:rsidRPr="00C503C5">
        <w:rPr>
          <w:rFonts w:ascii="Times New Roman" w:hAnsi="Times New Roman" w:cs="Times New Roman"/>
          <w:lang w:val="es-ES"/>
        </w:rPr>
        <w:t>, ampliamente tratado por investigadores como Kramer y Simons (2011), sugiere que el cerebro continúa adaptándose y formando nuevas conexiones neuronales, especialmente ante estímulos novedosos y desafiantes, como el aprendizaje de un idioma extranjero. Además, la investigación indica que la enseñanza de lenguas puede tener efectos altamente beneficiosos en la cognición de los adultos mayores, ayudando a preservar la memoria, mejorar las funciones ejecutivas e incluso reducir el riesgo de demencia (</w:t>
      </w:r>
      <w:proofErr w:type="spellStart"/>
      <w:r w:rsidRPr="00C503C5">
        <w:rPr>
          <w:rFonts w:ascii="Times New Roman" w:hAnsi="Times New Roman" w:cs="Times New Roman"/>
          <w:lang w:val="es-ES"/>
        </w:rPr>
        <w:t>Bialystok</w:t>
      </w:r>
      <w:proofErr w:type="spellEnd"/>
      <w:r w:rsidRPr="00C503C5">
        <w:rPr>
          <w:rFonts w:ascii="Times New Roman" w:hAnsi="Times New Roman" w:cs="Times New Roman"/>
          <w:lang w:val="es-ES"/>
        </w:rPr>
        <w:t>, 2001).</w:t>
      </w:r>
    </w:p>
    <w:p w14:paraId="3A419EAC"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A pesar de estas evidencias científicas, cuando se trata de la formación docente, las instituciones formadoras frecuentemente fallan en la capacitación de los profesores para atender a este grupo etario. A partir de ello, se pueden identificar inmediatamente tres obstáculos principales:</w:t>
      </w:r>
    </w:p>
    <w:p w14:paraId="02710CFF"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El primero se refiere a la orientación del mercado: la mayoría de los cursos de idiomas están diseñados para la inserción laboral o la preparación de exámenes de certificación. En el caso de los adultos mayores, el aprendizaje suele emprenderse por motivos cognitivos, sociales o motivados por el deseo de viajar. La falta de programas —tanto públicos como privados— dirigidos a este sector demográfico conduce a la exclusión sistemática de este público de las aulas de lengua.</w:t>
      </w:r>
    </w:p>
    <w:p w14:paraId="460C4450"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El segundo obstáculo es de carácter metodológico e instrumental: a menudo, cuando se ofrece formación o cursos, el abordaje resulta inadecuado. Se enseña a las personas mayores como si fueran adolescentes; es decir, con un énfasis excesivo en tecnologías digitales complejas, en la memorización mecánica o bajo un ritmo frenético. Si bien es cierto que la enseñanza de lenguas modernas está mediada por complejas tecnologías digitales, si el enfoque pedagógico no incluye una alfabetización digital previa o integrada, la tecnología se convierte en una barrera de exclusión en lugar de una vía de acceso. La tecnología puede ser una gran aliada en el aprendizaje de las personas mayores, siempre que se utilice correctamente. Según Loreto y Ferreira (2014, p. 122):</w:t>
      </w:r>
    </w:p>
    <w:p w14:paraId="5FA59B50" w14:textId="77777777" w:rsidR="005114A4" w:rsidRPr="00FB035D" w:rsidRDefault="005114A4" w:rsidP="005114A4">
      <w:pPr>
        <w:spacing w:line="240" w:lineRule="auto"/>
        <w:ind w:left="720"/>
        <w:jc w:val="both"/>
        <w:rPr>
          <w:rFonts w:ascii="Times New Roman" w:hAnsi="Times New Roman" w:cs="Times New Roman"/>
          <w:lang w:val="es-ES_tradnl"/>
        </w:rPr>
      </w:pPr>
      <w:r w:rsidRPr="00FB035D">
        <w:rPr>
          <w:rFonts w:ascii="Times New Roman" w:hAnsi="Times New Roman" w:cs="Times New Roman"/>
          <w:lang w:val="es-ES_tradnl"/>
        </w:rPr>
        <w:t>cuanto mayor sea la comprensión de la estructura del ciberespacio, así como la conciencia de la importancia de mantenerse informado sobre los nuevos comportamientos sociales en torno a las TIC, más probable será que la inclusión digital se convierta en un aspecto real de la vida del individuo.</w:t>
      </w:r>
    </w:p>
    <w:p w14:paraId="6F442C45"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No se trata, por lo tanto, de excluir las tecnologías de las clases para personas mayores, sino de adecuarlas a su contexto de aprendizaje. Con respecto a la adaptación de los materiales, Machado et al. (2009, p. 37) destacan que:</w:t>
      </w:r>
    </w:p>
    <w:p w14:paraId="25633599" w14:textId="77777777" w:rsidR="005114A4" w:rsidRPr="00FB035D" w:rsidRDefault="005114A4" w:rsidP="005114A4">
      <w:pPr>
        <w:spacing w:line="240" w:lineRule="auto"/>
        <w:ind w:left="720"/>
        <w:jc w:val="both"/>
        <w:rPr>
          <w:rFonts w:ascii="Times New Roman" w:hAnsi="Times New Roman" w:cs="Times New Roman"/>
          <w:lang w:val="es-ES_tradnl"/>
        </w:rPr>
      </w:pPr>
      <w:r w:rsidRPr="00FB035D">
        <w:rPr>
          <w:rFonts w:ascii="Times New Roman" w:hAnsi="Times New Roman" w:cs="Times New Roman"/>
          <w:lang w:val="es-ES_tradnl"/>
        </w:rPr>
        <w:lastRenderedPageBreak/>
        <w:t>con el grupo de adultos mayores, se presta especial atención a la preparación de materiales didácticos específicos que se ajusten a sus intereses. Los temas y actividades utilizados en las clases se desarrollan de manera que motiven al estudiante a comunicarse.</w:t>
      </w:r>
    </w:p>
    <w:p w14:paraId="6A0C0306"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Como señalan Vargas y Gomes (2013), estos individuos ya poseen experiencias previas que contribuyen a la construcción del conocimiento, siendo capaces de aprender y resignificar el saber a partir de sus propias realidades. En este sentido, la educación debe actuar como un espacio que potencie el desarrollo de estas capacidades a través del diálogo y la interacción social, favoreciendo el desarrollo cognitivo, afectivo y moral de los estudiantes.</w:t>
      </w:r>
    </w:p>
    <w:p w14:paraId="69DCF237"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Finalmente, el tercer obstáculo se relaciona con los ritmos biológicos y cognitivos: el cerebro envejecido posee una plasticidad con características diferentes. Los estudiantes mayores pueden presentar un procesamiento de la información más pausado, un declive natural de las capacidades visuales y auditivas, así como una velocidad motora reducida. Cunha et al. (2017, p. 21) afirman al respecto:</w:t>
      </w:r>
    </w:p>
    <w:p w14:paraId="5C451D8B" w14:textId="77777777" w:rsidR="005114A4" w:rsidRPr="00FB035D" w:rsidRDefault="005114A4" w:rsidP="005114A4">
      <w:pPr>
        <w:spacing w:line="240" w:lineRule="auto"/>
        <w:ind w:left="720"/>
        <w:jc w:val="both"/>
        <w:rPr>
          <w:rFonts w:ascii="Times New Roman" w:hAnsi="Times New Roman" w:cs="Times New Roman"/>
          <w:lang w:val="es-ES_tradnl"/>
        </w:rPr>
      </w:pPr>
      <w:r w:rsidRPr="00FB035D">
        <w:rPr>
          <w:rFonts w:ascii="Times New Roman" w:hAnsi="Times New Roman" w:cs="Times New Roman"/>
          <w:lang w:val="es-ES_tradnl"/>
        </w:rPr>
        <w:t>el aprendizaje en una persona mayor se produce de forma diferente que en un niño o incluso en un adulto joven, precisamente porque a lo largo de la vida muchas células del cuerpo se modifican; en la vejez, las células se alteran significativamente, lo que provoca tanto pérdidas como ganancias para el individuo.</w:t>
      </w:r>
    </w:p>
    <w:p w14:paraId="628B371C" w14:textId="77777777" w:rsidR="005114A4" w:rsidRPr="00C503C5"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Sin embargo, según Oliveira (2020), los estudios demuestran que, si la persona mayor </w:t>
      </w:r>
      <w:r w:rsidRPr="00C503C5">
        <w:rPr>
          <w:rFonts w:ascii="Times New Roman" w:hAnsi="Times New Roman" w:cs="Times New Roman"/>
          <w:lang w:val="es-ES"/>
        </w:rPr>
        <w:t>no padece ninguna patología neurodegenerativa que afecte directamente a las células cerebrales, ninguno de estos procesos propios del envejecimiento anula la capacidad de aprendizaje. Lo que ocurre es que las personas mayores se benefician de metodologías que valoren su bagaje cultural, sus vínculos con experiencias pasadas y sus tiempos más prolongados de procesamiento auditivo y visual; elementos que, lamentablemente, rara vez se tienen en cuenta en los materiales educativos convencionales.</w:t>
      </w:r>
    </w:p>
    <w:p w14:paraId="11CE104E" w14:textId="77777777" w:rsidR="005114A4" w:rsidRPr="00C503C5" w:rsidRDefault="005114A4" w:rsidP="005114A4">
      <w:pPr>
        <w:spacing w:line="240" w:lineRule="auto"/>
        <w:ind w:firstLine="709"/>
        <w:jc w:val="both"/>
        <w:rPr>
          <w:rFonts w:ascii="Times New Roman" w:hAnsi="Times New Roman" w:cs="Times New Roman"/>
          <w:lang w:val="es-ES"/>
        </w:rPr>
      </w:pPr>
      <w:r w:rsidRPr="00C503C5">
        <w:rPr>
          <w:rFonts w:ascii="Times New Roman" w:hAnsi="Times New Roman" w:cs="Times New Roman"/>
          <w:lang w:val="es-ES"/>
        </w:rPr>
        <w:t>En suma, la importancia de enseñar lenguas extranjeras a la tercera edad radica no solo en el indiscutible estímulo cognitivo y en la promoción de la salud mental de esta población, sino también en el reconocimiento de su derecho a la educación permanente y a la inclusión social. Superar los obstáculos aquí planteados —la falta de oferta específica, la rigidez tecnológica y la incomprensión de los ritmos biológicos del envejecimiento— exige repensar la praxis pedagógica. Por consiguiente, abrir las aulas de lenguas a la tercera edad, mediante una formación docente sensible y adaptada, es un paso fundamental para transformar el aprendizaje de idiomas en un puente intergeneracional de acogida, dignidad y desarrollo humano integral.</w:t>
      </w:r>
    </w:p>
    <w:p w14:paraId="29543FBA" w14:textId="77777777" w:rsidR="005114A4" w:rsidRPr="0033654E" w:rsidRDefault="005114A4" w:rsidP="005114A4">
      <w:pPr>
        <w:spacing w:line="240" w:lineRule="auto"/>
        <w:jc w:val="both"/>
        <w:rPr>
          <w:rFonts w:ascii="Times New Roman" w:hAnsi="Times New Roman" w:cs="Times New Roman"/>
          <w:b/>
          <w:bCs/>
          <w:lang w:val="es-ES_tradnl"/>
        </w:rPr>
      </w:pPr>
      <w:r w:rsidRPr="0033654E">
        <w:rPr>
          <w:rFonts w:ascii="Times New Roman" w:hAnsi="Times New Roman" w:cs="Times New Roman"/>
          <w:b/>
          <w:bCs/>
          <w:lang w:val="es-ES_tradnl"/>
        </w:rPr>
        <w:t>La importancia de la pluralidad de prácticas en los estudios de pregrado.</w:t>
      </w:r>
    </w:p>
    <w:p w14:paraId="201D8FAC"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En el ámbito de los estudios pedagógicos, existe una considerable convergencia respecto a la comprensión de que las prácticas pedagógicas no surgen de la nada; de hecho, se construyen a lo largo del tiempo a partir de las experiencias vividas en el aula, </w:t>
      </w:r>
      <w:r w:rsidRPr="00DC268E">
        <w:rPr>
          <w:rFonts w:ascii="Times New Roman" w:hAnsi="Times New Roman" w:cs="Times New Roman"/>
          <w:lang w:val="es-ES"/>
        </w:rPr>
        <w:lastRenderedPageBreak/>
        <w:t>de las decisiones tomadas en el trabajo diario, de los errores y aciertos acumulados y de la formación adquirida, ya sea continua o discontinua. Para que esto sea así, resulta imperativo que el docente adopte una postura activa y reflexiva respecto a su práctica profesional. En este paradigma, la función y la posición del investigador cambian: antes, observaba los</w:t>
      </w:r>
      <w:r w:rsidRPr="00FB035D">
        <w:rPr>
          <w:rFonts w:ascii="Times New Roman" w:hAnsi="Times New Roman" w:cs="Times New Roman"/>
          <w:lang w:val="es-ES_tradnl"/>
        </w:rPr>
        <w:t xml:space="preserve"> </w:t>
      </w:r>
      <w:r w:rsidRPr="00DC268E">
        <w:rPr>
          <w:rFonts w:ascii="Times New Roman" w:hAnsi="Times New Roman" w:cs="Times New Roman"/>
          <w:lang w:val="es-ES"/>
        </w:rPr>
        <w:t>fenómenos desde una posición externa o los aislaba de su entorno natural; ahora, estos fenómenos deben analizarse en su hábitat, con el investigador como sujeto integrado y activo en el entorno de investigación (</w:t>
      </w:r>
      <w:proofErr w:type="spellStart"/>
      <w:r w:rsidRPr="00DC268E">
        <w:rPr>
          <w:rFonts w:ascii="Times New Roman" w:hAnsi="Times New Roman" w:cs="Times New Roman"/>
          <w:lang w:val="es-ES"/>
        </w:rPr>
        <w:t>Hengemühle</w:t>
      </w:r>
      <w:proofErr w:type="spellEnd"/>
      <w:r w:rsidRPr="00DC268E">
        <w:rPr>
          <w:rFonts w:ascii="Times New Roman" w:hAnsi="Times New Roman" w:cs="Times New Roman"/>
          <w:lang w:val="es-ES"/>
        </w:rPr>
        <w:t>, 2007). En este sentido, se entiende que la identidad docente, como postula Nóvoa (1992), no es un producto acabado, sino un proceso continuo de autoconstrucción y desarrollo profesional a lo largo de la vida.</w:t>
      </w:r>
    </w:p>
    <w:p w14:paraId="291D8FCE"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Esta perspectiva sobre el proceso formativo conduce a las siguientes consideraciones: primero, la formación docente debe nutrirse de múltiples experiencias, a través de las cuales el proceso reflexivo del profesor constituye su identidad. En consonancia con esta idea, Tardif (2014) parte de la observación de que el profesor es, ante todo, alguien que posee y moviliza conocimiento. Este conocimiento, a su vez, no constituye un bloque único y homogéneo, sino que es plural y se compone de diversas fuentes. El autor presta especial atención al conocimiento experiencial, observando que los propios docentes tienden a atribuir más valor a lo que han aprendido en la práctica que a las teorías abstractas de la universidad. Así, las experiencias que orientan las prácticas docentes más allá del alumno "estándar" —entendido aquí como el alumno de educación básica regular para niños y jóvenes— se vuelven fundamentales para una formación pedagógica ampliada. Es en este contexto que la inclusión de prácticas dirigidas a grupos históricamente marginados en los planes de estudio de pregrado, como las personas mayores, se justifica no como un apéndice opcional, sino como un eje estructurador de la alteridad y la flexibilidad pedagógica.</w:t>
      </w:r>
    </w:p>
    <w:p w14:paraId="6E228EE6"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En el ámbito específico de la enseñanza de idiomas, este debate adquiere contornos aún más definidos. Silva y Lima (2016) sostienen que, durante muchos años, la concepción de la formación del profesorado de español se ha centrado casi exclusivamente en el dominio de las cuatro destrezas lingüísticas (comprensión lectora, comprensión auditiva, expresión escrita y expresión oral). Si bien estos elementos son fundamentales, resultan insuficientes para una enseñanza integral. Esta crítica coincide plenamente con la perspectiva de la enseñanza de idiomas para personas mayores, un público para el que la memorización mecánica de estructuras gramaticales o el estricto enfoque en la competencia nativa dan paso al deseo de socialización, expresión y resignificación de experiencias.</w:t>
      </w:r>
    </w:p>
    <w:p w14:paraId="3ED10F2E"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En este contexto, Silva y Lima (2016) proponen que la enseñanza del español sea un espacio para la reflexión y la construcción del sujeto a través del contacto con los demás, reconociendo la diversidad y construyendo identidades a partir de este encuentro. La función social del lenguaje es, por tanto, promover la comunicación intercultural y la formación de ciudadanos críticos, trascendiendo con creces la enseñanza tradicional. Esta dimensión política y ética de la educación se ve corroborada por Paulo Freire (1996), una referencia ineludible al considerar una educación comprometida con la transformación social. Para Freire (1996, p. 47), los seres humanos se educan en comunión, mediados por </w:t>
      </w:r>
      <w:r w:rsidRPr="00DC268E">
        <w:rPr>
          <w:rFonts w:ascii="Times New Roman" w:hAnsi="Times New Roman" w:cs="Times New Roman"/>
          <w:lang w:val="es-ES"/>
        </w:rPr>
        <w:lastRenderedPageBreak/>
        <w:t>el mundo. El proceso formativo es siempre colectivo, situado y nunca neutral. El docente, en este sentido, no es meramente un ejecutor de currículos, sino un sujeto político. Como resumen Luz et al. (2026, p. 165), la educación es un acto orientado a la liberación y la construcción de la autonomía de los sujetos.</w:t>
      </w:r>
    </w:p>
    <w:p w14:paraId="75403AD7"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Esta intrincada red entre lenguaje, política y afecto resuena significativamente en el contexto de la enseñanza para personas mayores desarrollada en el Campus </w:t>
      </w:r>
      <w:proofErr w:type="spellStart"/>
      <w:r w:rsidRPr="00DC268E">
        <w:rPr>
          <w:rFonts w:ascii="Times New Roman" w:hAnsi="Times New Roman" w:cs="Times New Roman"/>
          <w:lang w:val="es-ES"/>
        </w:rPr>
        <w:t>Ceilândia</w:t>
      </w:r>
      <w:proofErr w:type="spellEnd"/>
      <w:r w:rsidRPr="00DC268E">
        <w:rPr>
          <w:rFonts w:ascii="Times New Roman" w:hAnsi="Times New Roman" w:cs="Times New Roman"/>
          <w:lang w:val="es-ES"/>
        </w:rPr>
        <w:t>, una zona periférica de Brasilia. Al insertar a los futuros docentes de idiomas en una realidad práctica que exige escucha atenta, adaptación metodológica y diálogo intergeneracional con personas mayores de la periferia, se rompe la burbuja idealizada del aula. Por lo tanto, se puede concluir que diversificar las experiencias prácticas en la formación inicial del profesorado —culminando en la enseñanza de idiomas a personas mayores— no solo beneficia a la comunidad a la que se sirve, sino que también reposiciona al futuro docente</w:t>
      </w:r>
      <w:r w:rsidRPr="00FB035D">
        <w:rPr>
          <w:rFonts w:ascii="Times New Roman" w:hAnsi="Times New Roman" w:cs="Times New Roman"/>
          <w:lang w:val="es-ES_tradnl"/>
        </w:rPr>
        <w:t xml:space="preserve"> </w:t>
      </w:r>
      <w:r w:rsidRPr="00DC268E">
        <w:rPr>
          <w:rFonts w:ascii="Times New Roman" w:hAnsi="Times New Roman" w:cs="Times New Roman"/>
          <w:lang w:val="es-ES"/>
        </w:rPr>
        <w:t>como agente de transformación social, capaz de comprender el lenguaje humano en su máximo potencial: el de conectar vidas y empoderar a las personas. Los enfoques metodológicos basados ​​en el Aprendizaje Activo, como el aprendizaje basado en tareas y la inmersión en contextos comunicativos, han demostrado ser eficaces en la enseñanza de idiomas a personas mayores. Según Ellis (2005), la exposición a situaciones reales de uso del idioma, combinada con prácticas que implican interacción social, contribuye a un aprendizaje más significativo. Este aspecto es crucial porque, además de los beneficios cognitivos, aprender un nuevo idioma en la tercera edad también promueve el bienestar emocional y la socialización, ayudando a combatir el aislamiento y a mejorar la autoestima de las personas mayores.</w:t>
      </w:r>
    </w:p>
    <w:p w14:paraId="3C1E2FDC"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Por lo tanto, al considerar la enseñanza del español a personas mayores de 60 años, resulta esencial adoptar enfoques que valoren la estimulación cognitiva, el aprendizaje multisensorial y la interacción social, garantizando no solo la eficacia pedagógica, sino también el fortalecimiento de la calidad de vida de los participantes.</w:t>
      </w:r>
    </w:p>
    <w:p w14:paraId="5357F43D" w14:textId="77777777" w:rsidR="005114A4" w:rsidRPr="00FB035D" w:rsidRDefault="005114A4" w:rsidP="005114A4">
      <w:pPr>
        <w:spacing w:line="240" w:lineRule="auto"/>
        <w:rPr>
          <w:rFonts w:ascii="Times New Roman" w:hAnsi="Times New Roman" w:cs="Times New Roman"/>
          <w:b/>
          <w:bCs/>
          <w:lang w:val="es-ES_tradnl"/>
        </w:rPr>
      </w:pPr>
      <w:r w:rsidRPr="00FB035D">
        <w:rPr>
          <w:rFonts w:ascii="Times New Roman" w:hAnsi="Times New Roman" w:cs="Times New Roman"/>
          <w:b/>
          <w:bCs/>
          <w:lang w:val="es-ES_tradnl"/>
        </w:rPr>
        <w:t>Descripción de la experiencia</w:t>
      </w:r>
    </w:p>
    <w:p w14:paraId="7041A37F"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La iniciativa buscó promover la literacidad crítica de personas de la tercera edad mediante la enseñanza del español con recursos audiovisuales, y al mismo tiempo servir como espacio de formación preprofesional para los estudiantes universitarios becarios. Como objetivo general, se buscó promover la enseñanza crítica en español entre las personas mayores mediante recursos audiovisuales. Como objetivos específicos, se propuso desarrollar conocimientos lingüísticos y culturales básicos sobre diversos temas en español mediante recursos audiovisuales; estimular el autoaprendizaje y el pensamiento crítico a través de reflexiones sobre los temas seleccionados; fomentar el desarrollo de una perspectiva crítica sobre la educación contemporánea.</w:t>
      </w:r>
    </w:p>
    <w:p w14:paraId="212A2916"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Este relato se define como de naturaleza cualitativa, sustentado por los principios de la investigación-acción como base metodológica para analizar, planificar y ejecutar el proyecto pedagógico, para proporcionar una dinámica flexible. Eso permitió una autoevaluación de la práctica áulica por parte de los docentes en formación. Para el registro de datos e informes, se adoptó una perspectiva etnográfica que facilitó una </w:t>
      </w:r>
      <w:r w:rsidRPr="00DC268E">
        <w:rPr>
          <w:rFonts w:ascii="Times New Roman" w:hAnsi="Times New Roman" w:cs="Times New Roman"/>
          <w:lang w:val="es-ES"/>
        </w:rPr>
        <w:lastRenderedPageBreak/>
        <w:t xml:space="preserve">comprensión cualitativa de los aspectos </w:t>
      </w:r>
      <w:proofErr w:type="spellStart"/>
      <w:r w:rsidRPr="00DC268E">
        <w:rPr>
          <w:rFonts w:ascii="Times New Roman" w:hAnsi="Times New Roman" w:cs="Times New Roman"/>
          <w:lang w:val="es-ES"/>
        </w:rPr>
        <w:t>sociocomportamentales</w:t>
      </w:r>
      <w:proofErr w:type="spellEnd"/>
      <w:r w:rsidRPr="00DC268E">
        <w:rPr>
          <w:rFonts w:ascii="Times New Roman" w:hAnsi="Times New Roman" w:cs="Times New Roman"/>
          <w:lang w:val="es-ES"/>
        </w:rPr>
        <w:t xml:space="preserve"> de los estudiantes dentro del aula.</w:t>
      </w:r>
    </w:p>
    <w:p w14:paraId="697704D6"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El proyecto atendió a un público compuesto exclusivamente por adultos mayores del programa IFB 60+, una iniciativa del Instituto Federal de Educación, Ciencia y Tecnología de Brasilia (IFB), Campus </w:t>
      </w:r>
      <w:proofErr w:type="spellStart"/>
      <w:r w:rsidRPr="00DC268E">
        <w:rPr>
          <w:rFonts w:ascii="Times New Roman" w:hAnsi="Times New Roman" w:cs="Times New Roman"/>
          <w:lang w:val="es-ES"/>
        </w:rPr>
        <w:t>Ceilândia</w:t>
      </w:r>
      <w:proofErr w:type="spellEnd"/>
      <w:r w:rsidRPr="00DC268E">
        <w:rPr>
          <w:rFonts w:ascii="Times New Roman" w:hAnsi="Times New Roman" w:cs="Times New Roman"/>
          <w:lang w:val="es-ES"/>
        </w:rPr>
        <w:t>, cuyo objetivo principal es ofrecer educación continua a las personas mayores y promover el envejecimiento activo en esta comunidad.</w:t>
      </w:r>
    </w:p>
    <w:p w14:paraId="16016966"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Inicialmente, veintinueve personas se inscribieron en el proyecto; sin embargo, esta cifra disminuyó considerablemente para cuando comenzaron las clases, quedando dieciocho asistentes regulares, lo que representa aproximadamente el 62,1 % del total de inscritos. El grupo estaba compuesto mayoritariamente por mujeres (66,7 %), mientras que los hombres constituían el 33,3 % de los participantes. En cuanto a la distribución por edades, el segmento más numeroso (aproximadamente el 60 %) se situaba en el rango de 70 a 74 años. El resto de los participantes se distribuía entre los grupos de edad de 60 a 64, 65 a 69 y 75 a 79 años.</w:t>
      </w:r>
    </w:p>
    <w:p w14:paraId="4F3537DC" w14:textId="77777777" w:rsidR="005114A4" w:rsidRPr="00FB035D" w:rsidRDefault="005114A4" w:rsidP="005114A4">
      <w:pPr>
        <w:spacing w:line="240" w:lineRule="auto"/>
        <w:jc w:val="both"/>
        <w:rPr>
          <w:rFonts w:ascii="Times New Roman" w:hAnsi="Times New Roman" w:cs="Times New Roman"/>
          <w:b/>
          <w:bCs/>
          <w:lang w:val="es-ES_tradnl"/>
        </w:rPr>
      </w:pPr>
      <w:r w:rsidRPr="00FB035D">
        <w:rPr>
          <w:rFonts w:ascii="Times New Roman" w:hAnsi="Times New Roman" w:cs="Times New Roman"/>
          <w:b/>
          <w:bCs/>
          <w:lang w:val="es-ES_tradnl"/>
        </w:rPr>
        <w:t>Actividades realizadas</w:t>
      </w:r>
    </w:p>
    <w:p w14:paraId="47ACC98A"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Inicialmente, durante la primera semana, se dio la bienvenida a los participantes y se presentó el proyecto, incluyendo sus objetivos, metodología y cronograma de actividades, con el fin de fomentar un entorno de integración, escucha activa y sentido de pertenencia. A lo largo de las diversas etapas del proyecto, se llevaron a cabo actividades pedagógicas apoyadas en recursos audiovisuales, principalmente durante las cinco primeras semanas de implementación. Entre las actividades destacadas figuraron las proyecciones de películas temáticas seleccionadas para alinearse con los objetivos lingüísticos de las sesiones, especialmente en lo relativo al desarrollo del vocabulario, y para estimular el debate crítico sobre temas abordados en las narrativas, tales como la familia, las emociones, los rasgos físicos y las relaciones interpersonales.</w:t>
      </w:r>
    </w:p>
    <w:p w14:paraId="4ABC8C13"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A partir de estas proyecciones, se exploraron campos semánticos específicos, estructuras lingüísticas básicas y aspectos culturales de la lengua española, respetando siempre el ritmo de aprendizaje y las necesidades particulares de los participantes de edad avanzada. Durante las sesiones de debate, los estudiantes pudieron expresar sus opiniones, compartir experiencias personales y reflexionar colectivamente sobre los temas tratados, fomentando así la comunicación oral, la interacción social y el pensamiento crítico. Las clases emplearon una metodología expositivo-dialógica que incorporaba elementos de gamificación y lúdicos; este enfoque propició la interacción entre los participantes y el intercambio de conocimientos, al tiempo que fortalecía la autoestima y la autonomía, factores fundamentales para un envejecimiento activo y la inclusión educativa de las personas mayores.</w:t>
      </w:r>
    </w:p>
    <w:p w14:paraId="3E567FAE"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En la segunda etapa del proyecto —que abarcó las nueve semanas siguientes de implementación—, los docentes participantes determinaron que era necesario reestructurar la forma en que se impartían las clases. Observaron que los participantes mostraban mayor compromiso e interés en actividades que priorizaban la expresión de sus experiencias vitales, narrativas personales y reflexiones sobre el contexto educativo </w:t>
      </w:r>
      <w:r w:rsidRPr="00DC268E">
        <w:rPr>
          <w:rFonts w:ascii="Times New Roman" w:hAnsi="Times New Roman" w:cs="Times New Roman"/>
          <w:lang w:val="es-ES"/>
        </w:rPr>
        <w:lastRenderedPageBreak/>
        <w:t xml:space="preserve">y social. En consecuencia, el proyecto experimentó un cambio metodológico: se alejó del uso de largometrajes como recurso principal y comenzó a priorizar cortometrajes, documentales, música y videos de formato breve, incluyendo contenido de plataformas digitales como TikTok e Instagram. </w:t>
      </w:r>
    </w:p>
    <w:p w14:paraId="176D1AB1"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Esta adaptación buscaba ajustar la duración de las clases y satisfacer mejor las necesidades de los estudiantes en cuanto a motivación, atención y participación activa, respetando al mismo tiempo las características específicas del grupo demográfico de adultos mayores. Con este cambio, las actividades pusieron aún más énfasis en el diálogo, la adquisición de vocabulario básico, la escucha activa y la construcción colectiva del conocimiento; esto fomentó la participación y la interacción social, a la vez que fortaleció el papel activo de los estudiantes en el proceso de enseñanza-aprendizaje. Este movimiento valida directamente el concepto de conocimiento experiencial de Tardif (2014). Los estudiantes de mayor edad no llegan como «tablas rasas»; más bien, validan y reinterpretan el aprendizaje a partir de sus repertorios culturales y existenciales acumulados. El nivel de implicación aumentó precisamente porque la práctica pedagógica comenzó a reconocer y movilizar la pluralidad de estas formas de conocimiento basadas en la experiencia vital que describió el autor.</w:t>
      </w:r>
    </w:p>
    <w:p w14:paraId="4FA5C208"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La tercera etapa del proyecto, que duró siete semanas, marcó el inicio del Taller de Documental. Concebido como el producto final del proyecto, el taller tenía como objetivo retratar las experiencias académicas de los participantes en el IFB, particularmente dentro del programa IFB 60+, desde sus propias perspectivas, promoviendo al mismo tiempo la reflexión crítica sobre la educación, la inclusión y el aprendizaje a lo largo de la vida para los adultos mayores. Durante esta etapa, se introdujo a los participantes en conceptos básicos de producción audiovisual, incluyendo los fundamentos del guion, la narración de historias, la estructuración de contenidos orales y la grabación. El proceso implicó la redacción</w:t>
      </w:r>
      <w:r w:rsidRPr="00FB035D">
        <w:rPr>
          <w:rFonts w:ascii="Times New Roman" w:hAnsi="Times New Roman" w:cs="Times New Roman"/>
          <w:lang w:val="es-ES_tradnl"/>
        </w:rPr>
        <w:t xml:space="preserve"> </w:t>
      </w:r>
      <w:r w:rsidRPr="00DC268E">
        <w:rPr>
          <w:rFonts w:ascii="Times New Roman" w:hAnsi="Times New Roman" w:cs="Times New Roman"/>
          <w:lang w:val="es-ES"/>
        </w:rPr>
        <w:t xml:space="preserve">colaborativa del guion seguida de la producción práctica del documental, abarcando la grabación audiovisual y la construcción narrativa del material final, con el apoyo de un estudiante de Publicidad (Universidad de Brasilia - </w:t>
      </w:r>
      <w:proofErr w:type="spellStart"/>
      <w:r w:rsidRPr="00DC268E">
        <w:rPr>
          <w:rFonts w:ascii="Times New Roman" w:hAnsi="Times New Roman" w:cs="Times New Roman"/>
          <w:lang w:val="es-ES"/>
        </w:rPr>
        <w:t>UnB</w:t>
      </w:r>
      <w:proofErr w:type="spellEnd"/>
      <w:r w:rsidRPr="00DC268E">
        <w:rPr>
          <w:rFonts w:ascii="Times New Roman" w:hAnsi="Times New Roman" w:cs="Times New Roman"/>
          <w:lang w:val="es-ES"/>
        </w:rPr>
        <w:t xml:space="preserve">) y un estudiante del programa de Lengua y Literatura Española del IFB (Campus </w:t>
      </w:r>
      <w:proofErr w:type="spellStart"/>
      <w:r w:rsidRPr="00DC268E">
        <w:rPr>
          <w:rFonts w:ascii="Times New Roman" w:hAnsi="Times New Roman" w:cs="Times New Roman"/>
          <w:lang w:val="es-ES"/>
        </w:rPr>
        <w:t>Ceilândia</w:t>
      </w:r>
      <w:proofErr w:type="spellEnd"/>
      <w:r w:rsidRPr="00DC268E">
        <w:rPr>
          <w:rFonts w:ascii="Times New Roman" w:hAnsi="Times New Roman" w:cs="Times New Roman"/>
          <w:lang w:val="es-ES"/>
        </w:rPr>
        <w:t>).</w:t>
      </w:r>
    </w:p>
    <w:p w14:paraId="25117C8F"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Cabe destacar que, a lo largo del taller, las clases continuaron con normalidad, manteniendo su dinámica pedagógica habitual. En determinados momentos, algunos participantes abandonaban temporalmente el aula, de manera organizada y previo acuerdo, solo el tiempo necesario para grabar sus aportaciones al documental, reincorporándose posteriormente a las actividades grupales. Esta modalidad permitió que el proceso de enseñanza-aprendizaje prosiguiera sin interrumpir las clases, garantizando al mismo tiempo que las personas mayores desempeñaran un papel protagonista en la creación del producto final del proyecto. Todo el proceso se caracterizó por la colaboración y la participación activa de los adultos mayores, valorando sus voces, recuerdos y trayectorias académicas, y consolidando el proyecto como un espacio de aprendizaje, expresión e inclusión social.</w:t>
      </w:r>
    </w:p>
    <w:p w14:paraId="2AE430A6" w14:textId="77777777" w:rsidR="005114A4" w:rsidRPr="00FB035D" w:rsidRDefault="005114A4" w:rsidP="005114A4">
      <w:pPr>
        <w:spacing w:line="240" w:lineRule="auto"/>
        <w:rPr>
          <w:rFonts w:ascii="Times New Roman" w:hAnsi="Times New Roman" w:cs="Times New Roman"/>
          <w:b/>
          <w:bCs/>
          <w:lang w:val="es-ES_tradnl"/>
        </w:rPr>
      </w:pPr>
      <w:r>
        <w:rPr>
          <w:rFonts w:ascii="Times New Roman" w:hAnsi="Times New Roman" w:cs="Times New Roman"/>
          <w:b/>
          <w:bCs/>
          <w:lang w:val="es-ES_tradnl"/>
        </w:rPr>
        <w:t>Resultados y discusión</w:t>
      </w:r>
    </w:p>
    <w:p w14:paraId="0F2B1AB6"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lastRenderedPageBreak/>
        <w:t xml:space="preserve">A partir del análisis de los cuestionarios de evaluación aplicados al finalizar el proyecto, así como de la observación continua en el aula, se evidenció un alto nivel de satisfacción general con las actividades. Aproximadamente el 94 % de los participantes calificó las clases como «buenas» o «muy buenas» y elogió el ambiente acogedor, respetuoso y sociable, lo que indica que el proyecto se consolidó como un espacio positivo para la socialización y el intercambio de experiencias. Estos altos niveles de aceptación y satisfacción entre los estudiantes demuestran que, más allá del conocimiento de lenguas extranjeras, la iniciativa motivó a los estudiantes de último año a continuar sus estudios en este campo. </w:t>
      </w:r>
    </w:p>
    <w:p w14:paraId="03AC79C2"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Asimismo, cerca del 90 % manifestó que las clases contribuyeron a su bienestar y felicidad, reforzando así el papel del proyecto en el fortalecimiento emocional y social de los participantes de edad avanzada.  El entorno del aula resultó ser un punto de encuentro para socializar, compartir experiencias y crear vínculos, aspecto que se destacó con frecuencia en las respuestas abiertas de los cuestionarios. Los momentos finales de las clases, caracterizados por el refrigerio compartido y la interacción horizontal entre instructores y estudiantes, fomentaron cualidades humanísticas vinculadas a la gestión y la empatía dentro del entorno de aprendizaje. </w:t>
      </w:r>
    </w:p>
    <w:p w14:paraId="0AC7BF74"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Conforme discutido a partir de Paulo Freire (1996) y Luz et al. (2026), este fuerte vínculo afectivo y la ganancia en autonomía demuestran que la educación no era mera transmisión de conocimientos, sino un acto político-pedagógico orientado a la liberación y construcción de la autonomía de los sujetos. Al dar voz a los ancianos de la periferia de Brasilia a través del documental, los participantes materializaron la tesis de Freire de que "los seres humanos se educan en comunión, mediada por el mundo". Esta fase de producción del documental propició directamente el fortalecimiento de la autoestima, la autonomía y el sentido de agencia de los estudiantes de último año, permitiéndoles expresar activamente sus voces y opiniones.  </w:t>
      </w:r>
    </w:p>
    <w:p w14:paraId="2C086C8E"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En cuanto al proceso de enseñanza-aprendizaje, los datos indican que, a pesar de los desafíos inherentes al aprendizaje de una lengua extranjera en una etapa avanzada de la vida, más del 80 % de los participantes sintió que había aprendido cosas nuevos durante los seis meses que duró el proyecto, calificando su propio aprendizaje con una puntuación de entre 3 y 5 (en una escala del 1 al 5). La mayoría de los encuestados consideró accesibles los contenidos y las actividades; alrededor del 85 % valoró positivamente este aspecto. La </w:t>
      </w:r>
      <w:proofErr w:type="spellStart"/>
      <w:r w:rsidRPr="00DC268E">
        <w:rPr>
          <w:rFonts w:ascii="Times New Roman" w:hAnsi="Times New Roman" w:cs="Times New Roman"/>
          <w:lang w:val="es-ES"/>
        </w:rPr>
        <w:t>neuroplasticidad</w:t>
      </w:r>
      <w:proofErr w:type="spellEnd"/>
      <w:r w:rsidRPr="00DC268E">
        <w:rPr>
          <w:rFonts w:ascii="Times New Roman" w:hAnsi="Times New Roman" w:cs="Times New Roman"/>
          <w:lang w:val="es-ES"/>
        </w:rPr>
        <w:t xml:space="preserve"> tal como la describen Kramer y Simons (2011), demuestra que, incluso al enfrentarse a los desafíos de una segunda lengua (L2) en la vejez, el cerebro envejecido sigue adaptándose y formando nuevas conexiones en respuesta a estímulos desafiantes. </w:t>
      </w:r>
      <w:proofErr w:type="spellStart"/>
      <w:r w:rsidRPr="00DC268E">
        <w:rPr>
          <w:rFonts w:ascii="Times New Roman" w:hAnsi="Times New Roman" w:cs="Times New Roman"/>
          <w:lang w:val="es-ES"/>
        </w:rPr>
        <w:t>Bialystok</w:t>
      </w:r>
      <w:proofErr w:type="spellEnd"/>
      <w:r w:rsidRPr="00DC268E">
        <w:rPr>
          <w:rFonts w:ascii="Times New Roman" w:hAnsi="Times New Roman" w:cs="Times New Roman"/>
          <w:lang w:val="es-ES"/>
        </w:rPr>
        <w:t xml:space="preserve"> (2001), por su parte, explica cómo esta sensación de progreso activo valida los beneficios del bilingüismo para preservar las funciones ejecutivas y la memoria en la vejez, contrarrestando la visión obsoleta de un deterioro cognitivo total.  </w:t>
      </w:r>
    </w:p>
    <w:p w14:paraId="5A394BE4"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No obstante, este proceso no estuvo exento de dificultades cognitivas y metodológicas. Se observaron marcadas diferencias en el ritmo de aprendizaje entre los estudiantes, lo que exigió adaptaciones metodológicas y didácticas constantes por parte de los docentes. Asimismo, se constató que una parte significativa del público tenía poca </w:t>
      </w:r>
      <w:r w:rsidRPr="00DC268E">
        <w:rPr>
          <w:rFonts w:ascii="Times New Roman" w:hAnsi="Times New Roman" w:cs="Times New Roman"/>
          <w:lang w:val="es-ES"/>
        </w:rPr>
        <w:lastRenderedPageBreak/>
        <w:t xml:space="preserve">o ninguna familiaridad con los medios digitales, lo que, sumado a que se trataba de su primer contacto con un nuevo idioma, obligó a priorizar el uso de materiales físicos como hojas de trabajo impresas, actividades lúdicas y recursos concretos para garantizar la participación y el aprendizaje de todos. </w:t>
      </w:r>
    </w:p>
    <w:p w14:paraId="63214E88"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Esta necesidad implicó una mayor inversión de tiempo por parte del profesorado tanto en la planificación como en la ejecución, además de la demanda de recursos financieros adicionales para la producción y adquisición de dichos materiales concretos. Por otra parte, los diferentes niveles educativos dentro del grupo requirieron un mayor uso del portugués en los debates como estrategia pedagógica para asegurar la comprensión de los temas, la participación activa y la inclusión de todos en el proceso de discusión. Cabe señalar que, aun con las dificultades lingüísticas, se llevaron a cabo debates de manera constante, aunque a menudo se desarrollaron principalmente en portugués.  </w:t>
      </w:r>
    </w:p>
    <w:p w14:paraId="0FCE960B"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Silva y Lima (2016) afirman que la insistencia en los debates (incluso en portugués) priorizó la función social del español como espacio de encuentro, expresión de ciudadanía y reflexión intercultural, en detrimento de un enfoque rígido en las cuatro habilidades formales aisladas o la búsqueda utópica de la competencia nativa. El uso del portugués facilitó el acceso a la alfabetización crítica en L2. Esta decisión metodológica resultó necesaria para garantizar la comprensión de los temas, la participación activa y el intercambio de experiencias personales de los estudiantes, sin comprometer los objetivos del proyecto relacionados con la alfabetización crítica y la exposición a la lengua española.  </w:t>
      </w:r>
    </w:p>
    <w:p w14:paraId="035EE749"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Respecto a los materiales didácticos utilizados, los recursos audiovisuales —tales como largometrajes, cortometrajes, documentales, música y vídeos breves— fueron frecuentemente señalados como elementos que fomentaban el aprendizaje. Además, el uso de diapositivas, imágenes y apoyos visuales fue valorado positivamente por cerca del 90 % de los participantes, quienes destacaron la claridad de las explicaciones y la facilidad para seguir las lecciones gracias a dichos recursos. El acceso a esta variedad de recursos didácticos enriqueció las clases haciéndolas más dinámicas, accesibles y motivadoras, a la vez que desarrolló las habilidades de los estudiantes becarios en la creación, aplicación y gestión de recursos metodológicos y pedagógicos en el aula.  </w:t>
      </w:r>
    </w:p>
    <w:p w14:paraId="6ADB9357" w14:textId="77777777" w:rsidR="005114A4" w:rsidRDefault="005114A4" w:rsidP="005114A4">
      <w:pPr>
        <w:spacing w:line="240" w:lineRule="auto"/>
        <w:ind w:firstLine="709"/>
        <w:jc w:val="both"/>
        <w:rPr>
          <w:rFonts w:ascii="Times New Roman" w:hAnsi="Times New Roman" w:cs="Times New Roman"/>
          <w:lang w:val="es-ES_tradnl"/>
        </w:rPr>
      </w:pPr>
      <w:r w:rsidRPr="00DC268E">
        <w:rPr>
          <w:rFonts w:ascii="Times New Roman" w:hAnsi="Times New Roman" w:cs="Times New Roman"/>
          <w:lang w:val="es-ES"/>
        </w:rPr>
        <w:t>En cuanto al desempeño docente, aproximadamente el 95 % de los participantes calificó la labor de los profesores como «buena» o «muy buena», destacando la escucha</w:t>
      </w:r>
      <w:r w:rsidRPr="00D336C7">
        <w:rPr>
          <w:rFonts w:ascii="Times New Roman" w:hAnsi="Times New Roman" w:cs="Times New Roman"/>
          <w:lang w:val="es-ES_tradnl"/>
        </w:rPr>
        <w:t xml:space="preserve"> activa, la claridad al explicar los contenidos y el respeto por las necesidades individuales de los estudiantes. Todos los encuestados manifestaron que consideraban importante la continuidad de tales proyectos y expresaron su interés en participar nuevamente en iniciativas similares. Nóvoa (1992) presenta la necesidad de reestructurar el curso a mitad de camino (sustituyendo largometrajes por vídeos cortos y redes sociales) y la adopción de la escucha activa demuestran la identidad docente como un proceso continuo de autoconstrucción. </w:t>
      </w:r>
    </w:p>
    <w:p w14:paraId="04B056D0"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La aplicación práctica de este proyecto proporcionó un valioso contraste entre la teoría del aula universitaria y la práctica profesional directa, lo que desarrolló las </w:t>
      </w:r>
      <w:r w:rsidRPr="00DC268E">
        <w:rPr>
          <w:rFonts w:ascii="Times New Roman" w:hAnsi="Times New Roman" w:cs="Times New Roman"/>
          <w:lang w:val="es-ES"/>
        </w:rPr>
        <w:lastRenderedPageBreak/>
        <w:t xml:space="preserve">habilidades relacionadas con la enseñanza por parte del equipo docente formado por los becarios.  Los estudiantes de Literatura Española no actuaron como ejecutores rígidos de un currículo, sino como profesionales reflexivos que </w:t>
      </w:r>
      <w:proofErr w:type="spellStart"/>
      <w:r w:rsidRPr="00DC268E">
        <w:rPr>
          <w:rFonts w:ascii="Times New Roman" w:hAnsi="Times New Roman" w:cs="Times New Roman"/>
          <w:lang w:val="es-ES"/>
        </w:rPr>
        <w:t>coconstruyeron</w:t>
      </w:r>
      <w:proofErr w:type="spellEnd"/>
      <w:r w:rsidRPr="00DC268E">
        <w:rPr>
          <w:rFonts w:ascii="Times New Roman" w:hAnsi="Times New Roman" w:cs="Times New Roman"/>
          <w:lang w:val="es-ES"/>
        </w:rPr>
        <w:t xml:space="preserve"> sus identidades en la práctica y en la alteridad, interactuando con un público ajeno al "estándar" del mercado. Este aspecto reforzó la importancia de una práctica pedagógica sensible a las necesidades de la población mayor, basadas en la empatía, la flexibilidad metodológica y la valoración del conocimiento previo.  </w:t>
      </w:r>
    </w:p>
    <w:p w14:paraId="7BFF13BE"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A pesar de los logros, la ejecución del proyecto enfrentó desafíos operativos y estructurales externos. En ocasiones se presentaron limitaciones críticas de infraestructura, tales como el tamaño reducido del aula utilizada (Espacio para Adultos Mayores) y la presencia de recursos básicos con desperfectos graves, específicamente ventanas rotas y el aire acondicionado averiado, lo que dificultó el desarrollo de las actividades en situaciones de calor extremo. Asimismo, la reducción del tiempo de clase semanal operó como una limitación. Si bien esta menor duración era adecuada a las necesidades biológicas del público adulto mayor —al incluir pausas necesarias entre explicaciones, actividades y debates—, a veces comprometió la fluidez de las sesiones, causando interrupciones imprevistas en el ritmo de desarrollo del contenido.  </w:t>
      </w:r>
    </w:p>
    <w:p w14:paraId="03A56A58"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Por último, cabe destacar que, incluso con limitaciones como la reducción del tiempo de clase semanal, las dificultades lingüísticas, las carencias de infraestructura y las diferencias en los niveles de aprendizaje, el proyecto logró alcanzar sus objetivos centrales: promover el aprendizaje, la inclusión, la alfabetización crítica y el empoderamiento de los adultos mayores, consolidándose así como una experiencia formativa significativamente enriquecedora para todos los involucrados.</w:t>
      </w:r>
    </w:p>
    <w:p w14:paraId="7BED716E" w14:textId="77777777" w:rsidR="005114A4" w:rsidRPr="00FB035D" w:rsidRDefault="005114A4" w:rsidP="005114A4">
      <w:pPr>
        <w:spacing w:line="240" w:lineRule="auto"/>
        <w:rPr>
          <w:rFonts w:ascii="Times New Roman" w:hAnsi="Times New Roman" w:cs="Times New Roman"/>
          <w:b/>
          <w:bCs/>
          <w:caps/>
          <w:lang w:val="es-ES_tradnl"/>
        </w:rPr>
      </w:pPr>
      <w:r w:rsidRPr="00FB035D">
        <w:rPr>
          <w:rFonts w:ascii="Times New Roman" w:hAnsi="Times New Roman" w:cs="Times New Roman"/>
          <w:b/>
          <w:bCs/>
          <w:caps/>
          <w:lang w:val="es-ES_tradnl"/>
        </w:rPr>
        <w:t>Conclusión</w:t>
      </w:r>
    </w:p>
    <w:p w14:paraId="5F258364"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El proyecto «El cine y la lengua española: un enfoque crítico para adultos mayores» resultó ser una iniciativa educativa relevante y exitosa al facilitar el acceso de los adultos mayores a la enseñanza del español, integrando recursos audiovisuales con prácticas pedagógicas inclusivas adaptadas a las necesidades específicas de este colectivo.</w:t>
      </w:r>
    </w:p>
    <w:p w14:paraId="3D2E8C0A"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Si bien el proyecto experimentó cambios durante su implementación, su esencia permaneció intacta y sus objetivos se alcanzaron en gran medida. Esto permitió crear un entorno de aprendizaje acogedor, participativo y significativo. Las constantes adaptaciones metodológicas —que incluyeron el uso de materiales físicos, diversos recursos audiovisuales y estrategias dialógicas— fueron fundamentales para garantizar una participación estudiantil efectiva y fomentar la alfabetización crítica y las competencias en lengua extranjera dentro de un marco inclusivo. Los resultados cuantitativos confirman este éxito: más del 90 % de los participantes valoraron positivamente su experiencia, lo que demuestra que el proyecto trascendió los objetivos puramente lingüísticos para convertirse en un espacio genuino de conexión, socialización y creación de vínculos. </w:t>
      </w:r>
    </w:p>
    <w:p w14:paraId="3DBF2703"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 xml:space="preserve">Los estudiantes no solo se acercaron a un nuevo idioma, sino que también encontraron un entorno que fomentaba la autoestima, la autonomía y el sentido de </w:t>
      </w:r>
      <w:r w:rsidRPr="00DC268E">
        <w:rPr>
          <w:rFonts w:ascii="Times New Roman" w:hAnsi="Times New Roman" w:cs="Times New Roman"/>
          <w:lang w:val="es-ES"/>
        </w:rPr>
        <w:lastRenderedPageBreak/>
        <w:t>agencia: elementos clave para un envejecimiento activo y saludable. Desafíos como la disparidad en los niveles de formación previa y en los ritmos de aprendizaje, las limitaciones de infraestructura y la restricción de tiempo en las clases no impidieron que el proyecto cumpliera sus objetivos fundamentales. Por el contrario, estos retos exigieron creatividad pedagógica y ajustes continuos, lo que enriqueció la formación de los becarios al acercarlos a la realidad de la enseñanza y permitirles desarrollar competencias esenciales para su futura carrera profesional.</w:t>
      </w:r>
    </w:p>
    <w:p w14:paraId="69486D96"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La decisión de priorizar los materiales físicos y asegurar un uso equilibrado del idioma portugués durante las discusiones resultó exitosa, garantizando la inclusión y la participación activa de todos. Los recursos audiovisuales y las actividades interactivas se revelaron como herramientas valiosas para motivar y facilitar el aprendizaje, mientras que los encuentros sociales fortalecieron las relaciones interpersonales y humanizaron el proceso educativo.</w:t>
      </w:r>
    </w:p>
    <w:p w14:paraId="1AA108FB"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Más allá de beneficiar directamente al público destinatario, el proyecto contribuyó significativamente al desarrollo profesional de los becarios participantes al vincular la teoría con la práctica y ofrecer experiencias pedagógicas centradas en una comunidad históricamente desatendida en el ámbito de la enseñanza de lenguas extranjeras.</w:t>
      </w:r>
    </w:p>
    <w:p w14:paraId="2EE257D5" w14:textId="77777777" w:rsidR="005114A4" w:rsidRPr="00DC268E" w:rsidRDefault="005114A4" w:rsidP="005114A4">
      <w:pPr>
        <w:spacing w:line="240" w:lineRule="auto"/>
        <w:ind w:firstLine="709"/>
        <w:jc w:val="both"/>
        <w:rPr>
          <w:rFonts w:ascii="Times New Roman" w:hAnsi="Times New Roman" w:cs="Times New Roman"/>
          <w:lang w:val="es-ES"/>
        </w:rPr>
      </w:pPr>
      <w:r w:rsidRPr="00DC268E">
        <w:rPr>
          <w:rFonts w:ascii="Times New Roman" w:hAnsi="Times New Roman" w:cs="Times New Roman"/>
          <w:lang w:val="es-ES"/>
        </w:rPr>
        <w:t>Así, se concluye que la iniciativa alcanzó sus objetivos fundamentales, reafirmando la importancia de continuar y ampliar los programas educativos para personas mayores: programas que valoran la diversidad, promueven la inclusión social y fortalecen el derecho al aprendizaje a lo largo de toda la vida. Esta experiencia deja la convicción de que la educación en la etapa adulta constituye un terreno fértil para prácticas transformadoras, capaces de fomentar no solo el desarrollo cognitivo, sino también el bienestar emocional, el sentido de pertenencia social y el pleno ejercicio de la ciudadanía.</w:t>
      </w:r>
    </w:p>
    <w:p w14:paraId="3C504744" w14:textId="77777777" w:rsidR="005114A4" w:rsidRPr="00FB035D" w:rsidRDefault="005114A4" w:rsidP="005114A4">
      <w:pPr>
        <w:spacing w:line="240" w:lineRule="auto"/>
        <w:jc w:val="both"/>
        <w:rPr>
          <w:rFonts w:ascii="Times New Roman" w:hAnsi="Times New Roman" w:cs="Times New Roman"/>
          <w:b/>
          <w:bCs/>
          <w:lang w:val="es-ES_tradnl"/>
        </w:rPr>
      </w:pPr>
    </w:p>
    <w:p w14:paraId="39B57161" w14:textId="4C510043" w:rsidR="005F3B2E" w:rsidRPr="00072214" w:rsidRDefault="005114A4" w:rsidP="007B5B5F">
      <w:pPr>
        <w:spacing w:line="240" w:lineRule="auto"/>
        <w:rPr>
          <w:rFonts w:ascii="Times New Roman" w:hAnsi="Times New Roman" w:cs="Times New Roman"/>
          <w:b/>
          <w:bCs/>
          <w:lang w:val="pt-BR"/>
        </w:rPr>
      </w:pPr>
      <w:r w:rsidRPr="00072214">
        <w:rPr>
          <w:rFonts w:ascii="Times New Roman" w:hAnsi="Times New Roman" w:cs="Times New Roman"/>
          <w:b/>
          <w:bCs/>
          <w:lang w:val="pt-BR"/>
        </w:rPr>
        <w:t xml:space="preserve">REFERENCIAS </w:t>
      </w:r>
    </w:p>
    <w:p w14:paraId="19A51836"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 xml:space="preserve">Bialystok, E. (2001). </w:t>
      </w:r>
      <w:proofErr w:type="spellStart"/>
      <w:r w:rsidRPr="004A4B5E">
        <w:rPr>
          <w:rFonts w:ascii="Times New Roman" w:hAnsi="Times New Roman" w:cs="Times New Roman"/>
          <w:lang w:val="pt-BR"/>
        </w:rPr>
        <w:t>Bilingualism</w:t>
      </w:r>
      <w:proofErr w:type="spellEnd"/>
      <w:r w:rsidRPr="004A4B5E">
        <w:rPr>
          <w:rFonts w:ascii="Times New Roman" w:hAnsi="Times New Roman" w:cs="Times New Roman"/>
          <w:lang w:val="pt-BR"/>
        </w:rPr>
        <w:t xml:space="preserve"> in </w:t>
      </w:r>
      <w:proofErr w:type="spellStart"/>
      <w:r w:rsidRPr="004A4B5E">
        <w:rPr>
          <w:rFonts w:ascii="Times New Roman" w:hAnsi="Times New Roman" w:cs="Times New Roman"/>
          <w:lang w:val="pt-BR"/>
        </w:rPr>
        <w:t>development</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Language</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literacy</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and</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cognition</w:t>
      </w:r>
      <w:proofErr w:type="spellEnd"/>
      <w:r w:rsidRPr="004A4B5E">
        <w:rPr>
          <w:rFonts w:ascii="Times New Roman" w:hAnsi="Times New Roman" w:cs="Times New Roman"/>
          <w:lang w:val="pt-BR"/>
        </w:rPr>
        <w:t xml:space="preserve">. Cambridge </w:t>
      </w:r>
      <w:proofErr w:type="spellStart"/>
      <w:r w:rsidRPr="004A4B5E">
        <w:rPr>
          <w:rFonts w:ascii="Times New Roman" w:hAnsi="Times New Roman" w:cs="Times New Roman"/>
          <w:lang w:val="pt-BR"/>
        </w:rPr>
        <w:t>University</w:t>
      </w:r>
      <w:proofErr w:type="spellEnd"/>
      <w:r w:rsidRPr="004A4B5E">
        <w:rPr>
          <w:rFonts w:ascii="Times New Roman" w:hAnsi="Times New Roman" w:cs="Times New Roman"/>
          <w:lang w:val="pt-BR"/>
        </w:rPr>
        <w:t xml:space="preserve"> Press.</w:t>
      </w:r>
    </w:p>
    <w:p w14:paraId="76CFCD9A"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Brasil. (1988). Constituição da República Federativa do Brasil de 1988. Senado Federal, Secretaria de Editoração e Publicações. http://www.planalto.gov.br</w:t>
      </w:r>
    </w:p>
    <w:p w14:paraId="76175A09"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Brasil. (1994). Lei nº 8.842, de 4 de janeiro de 1994. Dispõe sobre a política nacional do idoso, cria o Conselho Nacional do Idoso e dá outras providências. Presidência da República. http://www.planalto.gov.br</w:t>
      </w:r>
    </w:p>
    <w:p w14:paraId="2A61A927"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Brasil. (1996, 20 de dezembro). Lei nº 9.394, de 20 de dezembro de 1996. Estabelece as diretrizes e bases da educação nacional. Presidência da República. https://www.planalto.gov.br/ccivil_03/leis/l9394.htm</w:t>
      </w:r>
    </w:p>
    <w:p w14:paraId="2E5A7D8A"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lastRenderedPageBreak/>
        <w:t>Brasil. (2003, 1 de outubro). Lei nº 10.741, de 1º de outubro de 2003. Dispõe sobre o Estatuto do Idoso e dá outras providências. Presidência da República. http://www.planalto.gov.br</w:t>
      </w:r>
    </w:p>
    <w:p w14:paraId="6377F7E4"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 xml:space="preserve">Cunha, L. C., Borges, B. T. F., &amp; </w:t>
      </w:r>
      <w:proofErr w:type="spellStart"/>
      <w:r w:rsidRPr="004A4B5E">
        <w:rPr>
          <w:rFonts w:ascii="Times New Roman" w:hAnsi="Times New Roman" w:cs="Times New Roman"/>
          <w:lang w:val="pt-BR"/>
        </w:rPr>
        <w:t>Westrupp</w:t>
      </w:r>
      <w:proofErr w:type="spellEnd"/>
      <w:r w:rsidRPr="004A4B5E">
        <w:rPr>
          <w:rFonts w:ascii="Times New Roman" w:hAnsi="Times New Roman" w:cs="Times New Roman"/>
          <w:lang w:val="pt-BR"/>
        </w:rPr>
        <w:t>, M. F. (2017). Contrapontos no ensino e aprendizagem de crianças e idosos: Relato de experiência das acadêmicas de pedagogia em espaços escolares e não-escolares. In Anais do XIV EDUCERE – Congresso Nacional de Educação. PUCPR.</w:t>
      </w:r>
    </w:p>
    <w:p w14:paraId="6B69FD41"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es-ES_tradnl"/>
        </w:rPr>
        <w:t xml:space="preserve">Ellis, R. (2005). </w:t>
      </w:r>
      <w:proofErr w:type="spellStart"/>
      <w:r w:rsidRPr="004A4B5E">
        <w:rPr>
          <w:rFonts w:ascii="Times New Roman" w:hAnsi="Times New Roman" w:cs="Times New Roman"/>
          <w:lang w:val="es-ES_tradnl"/>
        </w:rPr>
        <w:t>Instructed</w:t>
      </w:r>
      <w:proofErr w:type="spellEnd"/>
      <w:r w:rsidRPr="004A4B5E">
        <w:rPr>
          <w:rFonts w:ascii="Times New Roman" w:hAnsi="Times New Roman" w:cs="Times New Roman"/>
          <w:lang w:val="es-ES_tradnl"/>
        </w:rPr>
        <w:t xml:space="preserve"> </w:t>
      </w:r>
      <w:proofErr w:type="spellStart"/>
      <w:r w:rsidRPr="004A4B5E">
        <w:rPr>
          <w:rFonts w:ascii="Times New Roman" w:hAnsi="Times New Roman" w:cs="Times New Roman"/>
          <w:lang w:val="es-ES_tradnl"/>
        </w:rPr>
        <w:t>second</w:t>
      </w:r>
      <w:proofErr w:type="spellEnd"/>
      <w:r w:rsidRPr="004A4B5E">
        <w:rPr>
          <w:rFonts w:ascii="Times New Roman" w:hAnsi="Times New Roman" w:cs="Times New Roman"/>
          <w:lang w:val="es-ES_tradnl"/>
        </w:rPr>
        <w:t xml:space="preserve"> </w:t>
      </w:r>
      <w:proofErr w:type="spellStart"/>
      <w:r w:rsidRPr="004A4B5E">
        <w:rPr>
          <w:rFonts w:ascii="Times New Roman" w:hAnsi="Times New Roman" w:cs="Times New Roman"/>
          <w:lang w:val="es-ES_tradnl"/>
        </w:rPr>
        <w:t>language</w:t>
      </w:r>
      <w:proofErr w:type="spellEnd"/>
      <w:r w:rsidRPr="004A4B5E">
        <w:rPr>
          <w:rFonts w:ascii="Times New Roman" w:hAnsi="Times New Roman" w:cs="Times New Roman"/>
          <w:lang w:val="es-ES_tradnl"/>
        </w:rPr>
        <w:t xml:space="preserve"> </w:t>
      </w:r>
      <w:proofErr w:type="spellStart"/>
      <w:r w:rsidRPr="004A4B5E">
        <w:rPr>
          <w:rFonts w:ascii="Times New Roman" w:hAnsi="Times New Roman" w:cs="Times New Roman"/>
          <w:lang w:val="es-ES_tradnl"/>
        </w:rPr>
        <w:t>acquisition</w:t>
      </w:r>
      <w:proofErr w:type="spellEnd"/>
      <w:r w:rsidRPr="004A4B5E">
        <w:rPr>
          <w:rFonts w:ascii="Times New Roman" w:hAnsi="Times New Roman" w:cs="Times New Roman"/>
          <w:lang w:val="es-ES_tradnl"/>
        </w:rPr>
        <w:t xml:space="preserve">. </w:t>
      </w:r>
      <w:r w:rsidRPr="004A4B5E">
        <w:rPr>
          <w:rFonts w:ascii="Times New Roman" w:hAnsi="Times New Roman" w:cs="Times New Roman"/>
          <w:lang w:val="pt-BR"/>
        </w:rPr>
        <w:t xml:space="preserve">Blackwell </w:t>
      </w:r>
      <w:proofErr w:type="spellStart"/>
      <w:r w:rsidRPr="004A4B5E">
        <w:rPr>
          <w:rFonts w:ascii="Times New Roman" w:hAnsi="Times New Roman" w:cs="Times New Roman"/>
          <w:lang w:val="pt-BR"/>
        </w:rPr>
        <w:t>Publishing</w:t>
      </w:r>
      <w:proofErr w:type="spellEnd"/>
      <w:r w:rsidRPr="004A4B5E">
        <w:rPr>
          <w:rFonts w:ascii="Times New Roman" w:hAnsi="Times New Roman" w:cs="Times New Roman"/>
          <w:lang w:val="pt-BR"/>
        </w:rPr>
        <w:t>.</w:t>
      </w:r>
    </w:p>
    <w:p w14:paraId="284196EC"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Freire, P. (1996). Pedagogia da autonomia: Saberes necessários à prática educativa. Paz e Terra.</w:t>
      </w:r>
    </w:p>
    <w:p w14:paraId="0FEBF52E" w14:textId="77777777" w:rsidR="004A4B5E" w:rsidRPr="004A4B5E" w:rsidRDefault="004A4B5E" w:rsidP="004A4B5E">
      <w:pPr>
        <w:spacing w:line="240" w:lineRule="auto"/>
        <w:jc w:val="both"/>
        <w:rPr>
          <w:rFonts w:ascii="Times New Roman" w:hAnsi="Times New Roman" w:cs="Times New Roman"/>
          <w:lang w:val="pt-BR"/>
        </w:rPr>
      </w:pPr>
      <w:proofErr w:type="spellStart"/>
      <w:r w:rsidRPr="004A4B5E">
        <w:rPr>
          <w:rFonts w:ascii="Times New Roman" w:hAnsi="Times New Roman" w:cs="Times New Roman"/>
          <w:lang w:val="pt-BR"/>
        </w:rPr>
        <w:t>Hengemühle</w:t>
      </w:r>
      <w:proofErr w:type="spellEnd"/>
      <w:r w:rsidRPr="004A4B5E">
        <w:rPr>
          <w:rFonts w:ascii="Times New Roman" w:hAnsi="Times New Roman" w:cs="Times New Roman"/>
          <w:lang w:val="pt-BR"/>
        </w:rPr>
        <w:t>, A. (2007). Formação de professores: Da função de ensinar ao resgate da educação (3ª ed.). Vozes.</w:t>
      </w:r>
    </w:p>
    <w:p w14:paraId="595F52AD"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Instituto Brasileiro de Geografia e Estatística. (2023). Censo demográfico 2022: População por idade e sexo: Resultados do universo. https://www.ibge.gov.br</w:t>
      </w:r>
    </w:p>
    <w:p w14:paraId="75BFE20D"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 xml:space="preserve">Kramer, S., &amp; Simons, D. (2011). </w:t>
      </w:r>
      <w:proofErr w:type="spellStart"/>
      <w:r w:rsidRPr="004A4B5E">
        <w:rPr>
          <w:rFonts w:ascii="Times New Roman" w:hAnsi="Times New Roman" w:cs="Times New Roman"/>
          <w:lang w:val="pt-BR"/>
        </w:rPr>
        <w:t>Cognitive</w:t>
      </w:r>
      <w:proofErr w:type="spellEnd"/>
      <w:r w:rsidRPr="004A4B5E">
        <w:rPr>
          <w:rFonts w:ascii="Times New Roman" w:hAnsi="Times New Roman" w:cs="Times New Roman"/>
          <w:lang w:val="pt-BR"/>
        </w:rPr>
        <w:t xml:space="preserve"> training </w:t>
      </w:r>
      <w:proofErr w:type="spellStart"/>
      <w:r w:rsidRPr="004A4B5E">
        <w:rPr>
          <w:rFonts w:ascii="Times New Roman" w:hAnsi="Times New Roman" w:cs="Times New Roman"/>
          <w:lang w:val="pt-BR"/>
        </w:rPr>
        <w:t>and</w:t>
      </w:r>
      <w:proofErr w:type="spellEnd"/>
      <w:r w:rsidRPr="004A4B5E">
        <w:rPr>
          <w:rFonts w:ascii="Times New Roman" w:hAnsi="Times New Roman" w:cs="Times New Roman"/>
          <w:lang w:val="pt-BR"/>
        </w:rPr>
        <w:t xml:space="preserve"> its </w:t>
      </w:r>
      <w:proofErr w:type="spellStart"/>
      <w:r w:rsidRPr="004A4B5E">
        <w:rPr>
          <w:rFonts w:ascii="Times New Roman" w:hAnsi="Times New Roman" w:cs="Times New Roman"/>
          <w:lang w:val="pt-BR"/>
        </w:rPr>
        <w:t>impact</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on</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aging</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Psychology</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and</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Aging</w:t>
      </w:r>
      <w:proofErr w:type="spellEnd"/>
      <w:r w:rsidRPr="004A4B5E">
        <w:rPr>
          <w:rFonts w:ascii="Times New Roman" w:hAnsi="Times New Roman" w:cs="Times New Roman"/>
          <w:lang w:val="pt-BR"/>
        </w:rPr>
        <w:t>, 26(4), 745–758.</w:t>
      </w:r>
    </w:p>
    <w:p w14:paraId="61C50096"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Loreto, E. S. G., &amp; Ferreira, G. M. dos S. (2014). Desafios e possibilidades para a inclusão digital da terceira idade. Revista Eletrônica de Educação, 8(2), 120–137. https://doi.org/10.14244/19827199736</w:t>
      </w:r>
    </w:p>
    <w:p w14:paraId="6C785700"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 xml:space="preserve">Luz, M. A. C. A., Nunes, G. C., Bezerra, E. M., Lima, F. G. de, &amp; Bezerra, V. E. L. (2026). Formação continuada como instrumento de transformação pedagógica nas escolas públicas. Id </w:t>
      </w:r>
      <w:proofErr w:type="spellStart"/>
      <w:r w:rsidRPr="004A4B5E">
        <w:rPr>
          <w:rFonts w:ascii="Times New Roman" w:hAnsi="Times New Roman" w:cs="Times New Roman"/>
          <w:lang w:val="pt-BR"/>
        </w:rPr>
        <w:t>on</w:t>
      </w:r>
      <w:proofErr w:type="spellEnd"/>
      <w:r w:rsidRPr="004A4B5E">
        <w:rPr>
          <w:rFonts w:ascii="Times New Roman" w:hAnsi="Times New Roman" w:cs="Times New Roman"/>
          <w:lang w:val="pt-BR"/>
        </w:rPr>
        <w:t xml:space="preserve"> </w:t>
      </w:r>
      <w:proofErr w:type="spellStart"/>
      <w:r w:rsidRPr="004A4B5E">
        <w:rPr>
          <w:rFonts w:ascii="Times New Roman" w:hAnsi="Times New Roman" w:cs="Times New Roman"/>
          <w:lang w:val="pt-BR"/>
        </w:rPr>
        <w:t>Line</w:t>
      </w:r>
      <w:proofErr w:type="spellEnd"/>
      <w:r w:rsidRPr="004A4B5E">
        <w:rPr>
          <w:rFonts w:ascii="Times New Roman" w:hAnsi="Times New Roman" w:cs="Times New Roman"/>
          <w:lang w:val="pt-BR"/>
        </w:rPr>
        <w:t xml:space="preserve"> Revista de Psicologia, 20(80), 162–171.</w:t>
      </w:r>
    </w:p>
    <w:p w14:paraId="49230499" w14:textId="77777777" w:rsidR="004A4B5E" w:rsidRPr="004A4B5E" w:rsidRDefault="004A4B5E" w:rsidP="004A4B5E">
      <w:pPr>
        <w:spacing w:line="240" w:lineRule="auto"/>
        <w:jc w:val="both"/>
        <w:rPr>
          <w:rFonts w:ascii="Times New Roman" w:hAnsi="Times New Roman" w:cs="Times New Roman"/>
          <w:lang w:val="pt-BR"/>
        </w:rPr>
      </w:pPr>
      <w:proofErr w:type="spellStart"/>
      <w:r w:rsidRPr="004A4B5E">
        <w:rPr>
          <w:rFonts w:ascii="Times New Roman" w:hAnsi="Times New Roman" w:cs="Times New Roman"/>
          <w:lang w:val="pt-BR"/>
        </w:rPr>
        <w:t>Nóvoa</w:t>
      </w:r>
      <w:proofErr w:type="spellEnd"/>
      <w:r w:rsidRPr="004A4B5E">
        <w:rPr>
          <w:rFonts w:ascii="Times New Roman" w:hAnsi="Times New Roman" w:cs="Times New Roman"/>
          <w:lang w:val="pt-BR"/>
        </w:rPr>
        <w:t>, A. (Org.). (1992). Vidas de professores. Porto Editora.</w:t>
      </w:r>
    </w:p>
    <w:p w14:paraId="0BA4F28E"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Oliveira, I. C. B. de. (2020). Gerontologia educacional: Dificuldades e estratégias de aprendizagem para estudantes de língua estrangeira da terceira idade. Revista Mais Educação, 3(6). https://www.revistamaiseducacao.com/en/artigosv3-n6-agosto-2020/70</w:t>
      </w:r>
    </w:p>
    <w:p w14:paraId="788DE2BC"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Organização Mundial da Saúde. (2005). Envelhecimento ativo: Uma política de saúde (S. Gontijo, Trad.). Organização Pan-Americana da Saúde.</w:t>
      </w:r>
    </w:p>
    <w:p w14:paraId="19AF9BE7"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 xml:space="preserve">Silva, E. R. R. R. </w:t>
      </w:r>
      <w:proofErr w:type="spellStart"/>
      <w:r w:rsidRPr="004A4B5E">
        <w:rPr>
          <w:rFonts w:ascii="Times New Roman" w:hAnsi="Times New Roman" w:cs="Times New Roman"/>
          <w:lang w:val="pt-BR"/>
        </w:rPr>
        <w:t>da</w:t>
      </w:r>
      <w:proofErr w:type="spellEnd"/>
      <w:r w:rsidRPr="004A4B5E">
        <w:rPr>
          <w:rFonts w:ascii="Times New Roman" w:hAnsi="Times New Roman" w:cs="Times New Roman"/>
          <w:lang w:val="pt-BR"/>
        </w:rPr>
        <w:t>, &amp; Lima, E. S. (2016). A formação de professores de espanhol: Perspectivas de atuação no século XXI. Anais da V Semana Luso-Hispânica e II Encontro de Egressos dos Cursos de Letras, 1(1). https://eventos.set.edu.br/slh/article/download/2667/849</w:t>
      </w:r>
    </w:p>
    <w:p w14:paraId="7A456A75" w14:textId="77777777" w:rsidR="004A4B5E" w:rsidRPr="004A4B5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Tardif, M. (2014). Saberes docentes e formação profissional (17ª ed.). Vozes.</w:t>
      </w:r>
    </w:p>
    <w:p w14:paraId="7E83515B" w14:textId="543FD2E2" w:rsidR="001923DC" w:rsidRPr="00BA642E" w:rsidRDefault="004A4B5E" w:rsidP="004A4B5E">
      <w:pPr>
        <w:spacing w:line="240" w:lineRule="auto"/>
        <w:jc w:val="both"/>
        <w:rPr>
          <w:rFonts w:ascii="Times New Roman" w:hAnsi="Times New Roman" w:cs="Times New Roman"/>
          <w:lang w:val="pt-BR"/>
        </w:rPr>
      </w:pPr>
      <w:r w:rsidRPr="004A4B5E">
        <w:rPr>
          <w:rFonts w:ascii="Times New Roman" w:hAnsi="Times New Roman" w:cs="Times New Roman"/>
          <w:lang w:val="pt-BR"/>
        </w:rPr>
        <w:t>Vargas, S. M., &amp; Gomes, M. M. (2013). Aprendizagem e desenvolvimento de jovens e adultos: Novas práticas sociais, novos sentidos. Educação e Pesquisa, 39(3), 565–579.</w:t>
      </w:r>
    </w:p>
    <w:sectPr w:rsidR="001923DC" w:rsidRPr="00BA642E" w:rsidSect="00701F64">
      <w:headerReference w:type="default" r:id="rId6"/>
      <w:footerReference w:type="default" r:id="rId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45421" w14:textId="77777777" w:rsidR="00790701" w:rsidRPr="00BA642E" w:rsidRDefault="00790701" w:rsidP="00C802F5">
      <w:pPr>
        <w:spacing w:after="0" w:line="240" w:lineRule="auto"/>
      </w:pPr>
      <w:r w:rsidRPr="00BA642E">
        <w:separator/>
      </w:r>
    </w:p>
  </w:endnote>
  <w:endnote w:type="continuationSeparator" w:id="0">
    <w:p w14:paraId="00B33D47" w14:textId="77777777" w:rsidR="00790701" w:rsidRPr="00BA642E" w:rsidRDefault="0079070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12A1D" w14:textId="77777777" w:rsidR="00790701" w:rsidRPr="00BA642E" w:rsidRDefault="00790701" w:rsidP="00C802F5">
      <w:pPr>
        <w:spacing w:after="0" w:line="240" w:lineRule="auto"/>
      </w:pPr>
      <w:r w:rsidRPr="00BA642E">
        <w:separator/>
      </w:r>
    </w:p>
  </w:footnote>
  <w:footnote w:type="continuationSeparator" w:id="0">
    <w:p w14:paraId="67EACCA6" w14:textId="77777777" w:rsidR="00790701" w:rsidRPr="00BA642E" w:rsidRDefault="0079070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25119"/>
    <w:rsid w:val="00072214"/>
    <w:rsid w:val="001816D6"/>
    <w:rsid w:val="00185F5E"/>
    <w:rsid w:val="001923DC"/>
    <w:rsid w:val="002327C3"/>
    <w:rsid w:val="00312392"/>
    <w:rsid w:val="00330516"/>
    <w:rsid w:val="004040C0"/>
    <w:rsid w:val="00437E9C"/>
    <w:rsid w:val="004A4B5E"/>
    <w:rsid w:val="005114A4"/>
    <w:rsid w:val="00550766"/>
    <w:rsid w:val="005F3B2E"/>
    <w:rsid w:val="00701F64"/>
    <w:rsid w:val="00790701"/>
    <w:rsid w:val="007B5B5F"/>
    <w:rsid w:val="007D233B"/>
    <w:rsid w:val="0085070B"/>
    <w:rsid w:val="00A17247"/>
    <w:rsid w:val="00B963C4"/>
    <w:rsid w:val="00BA642E"/>
    <w:rsid w:val="00BC236F"/>
    <w:rsid w:val="00BE255D"/>
    <w:rsid w:val="00C802F5"/>
    <w:rsid w:val="00C96B2C"/>
    <w:rsid w:val="00CC04C1"/>
    <w:rsid w:val="00CF1B72"/>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6447</Words>
  <Characters>34816</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Geo Amaral</cp:lastModifiedBy>
  <cp:revision>3</cp:revision>
  <dcterms:created xsi:type="dcterms:W3CDTF">2026-07-12T18:16:00Z</dcterms:created>
  <dcterms:modified xsi:type="dcterms:W3CDTF">2026-07-12T18:19:00Z</dcterms:modified>
</cp:coreProperties>
</file>