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5EF0A" w14:textId="77777777" w:rsidR="005825DC" w:rsidRDefault="005825DC">
      <w:pPr>
        <w:jc w:val="center"/>
        <w:rPr>
          <w:rFonts w:ascii="Times New Roman" w:eastAsia="Times New Roman" w:hAnsi="Times New Roman" w:cs="Times New Roman"/>
        </w:rPr>
      </w:pPr>
    </w:p>
    <w:p w14:paraId="363017DE" w14:textId="77777777" w:rsidR="005825DC" w:rsidRDefault="00315F57">
      <w:pPr>
        <w:jc w:val="center"/>
        <w:rPr>
          <w:rFonts w:ascii="Times New Roman" w:eastAsia="Times New Roman" w:hAnsi="Times New Roman" w:cs="Times New Roman"/>
        </w:rPr>
      </w:pPr>
      <w:r>
        <w:rPr>
          <w:rFonts w:ascii="Times New Roman" w:eastAsia="Times New Roman" w:hAnsi="Times New Roman" w:cs="Times New Roman"/>
          <w:b/>
          <w:bCs/>
        </w:rPr>
        <w:t>Dispositivos pedagógicos y curriculares en la formación universitaria para la EFTP: aportes desde la Universidad Pedagógica Nacional</w:t>
      </w:r>
    </w:p>
    <w:p w14:paraId="6E107331" w14:textId="77777777" w:rsidR="005825DC" w:rsidRDefault="00315F57">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Briasco</w:t>
      </w:r>
      <w:proofErr w:type="spellEnd"/>
      <w:r>
        <w:rPr>
          <w:rFonts w:ascii="Times New Roman" w:eastAsia="Times New Roman" w:hAnsi="Times New Roman" w:cs="Times New Roman"/>
        </w:rPr>
        <w:t xml:space="preserve">, Irma </w:t>
      </w:r>
    </w:p>
    <w:p w14:paraId="08200CF3" w14:textId="77777777" w:rsidR="005825DC" w:rsidRDefault="00315F57">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Universidad Pedagógica Nacional – UNIPE - </w:t>
      </w:r>
    </w:p>
    <w:p w14:paraId="509D7A5A" w14:textId="77777777" w:rsidR="005825DC" w:rsidRDefault="00315F57">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irma.briasco@unipe.edu.ar</w:t>
      </w:r>
    </w:p>
    <w:p w14:paraId="446BB1C0" w14:textId="77777777" w:rsidR="005825DC" w:rsidRDefault="005825DC">
      <w:pPr>
        <w:rPr>
          <w:rFonts w:ascii="Times New Roman" w:eastAsia="Times New Roman" w:hAnsi="Times New Roman" w:cs="Times New Roman"/>
        </w:rPr>
      </w:pPr>
    </w:p>
    <w:p w14:paraId="728EF188" w14:textId="77777777" w:rsidR="005825DC" w:rsidRDefault="00315F57">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Naya, Ramiro </w:t>
      </w:r>
    </w:p>
    <w:p w14:paraId="70D4E5FD" w14:textId="77777777" w:rsidR="005825DC" w:rsidRDefault="00315F57">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Universidad Pedagógica Nacional – UNIPE - </w:t>
      </w:r>
    </w:p>
    <w:p w14:paraId="32881738" w14:textId="77777777" w:rsidR="005825DC" w:rsidRDefault="00315F57">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ramiro.naya@unipe.edu.ar</w:t>
      </w:r>
    </w:p>
    <w:p w14:paraId="29EF8002" w14:textId="77777777" w:rsidR="005825DC" w:rsidRDefault="005825DC">
      <w:pPr>
        <w:spacing w:after="0" w:line="240" w:lineRule="auto"/>
        <w:jc w:val="right"/>
        <w:rPr>
          <w:rFonts w:ascii="Times New Roman" w:eastAsia="Times New Roman" w:hAnsi="Times New Roman" w:cs="Times New Roman"/>
        </w:rPr>
      </w:pPr>
    </w:p>
    <w:p w14:paraId="640E9D33" w14:textId="77777777" w:rsidR="005825DC" w:rsidRDefault="00315F57">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Ibañez, Susana </w:t>
      </w:r>
    </w:p>
    <w:p w14:paraId="1FB18A84" w14:textId="77777777" w:rsidR="005825DC" w:rsidRDefault="00315F57">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Universidad Pedagógica Nacional – UNIPE - </w:t>
      </w:r>
    </w:p>
    <w:p w14:paraId="791BAD63" w14:textId="77777777" w:rsidR="005825DC" w:rsidRDefault="00315F57">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susana.ibanez@unipe.edu.ar</w:t>
      </w:r>
    </w:p>
    <w:p w14:paraId="35D79B16" w14:textId="77777777" w:rsidR="005825DC" w:rsidRDefault="005825DC">
      <w:pPr>
        <w:jc w:val="center"/>
        <w:rPr>
          <w:rFonts w:ascii="Times New Roman" w:eastAsia="Times New Roman" w:hAnsi="Times New Roman" w:cs="Times New Roman"/>
        </w:rPr>
      </w:pPr>
    </w:p>
    <w:p w14:paraId="2B657907" w14:textId="77777777" w:rsidR="005825DC" w:rsidRDefault="00315F57">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color w:val="EE0000"/>
        </w:rPr>
      </w:pPr>
      <w:r>
        <w:rPr>
          <w:rFonts w:ascii="Times New Roman" w:eastAsia="Times New Roman" w:hAnsi="Times New Roman" w:cs="Times New Roman"/>
          <w:b/>
          <w:bCs/>
          <w:color w:val="EE0000"/>
        </w:rPr>
        <w:t xml:space="preserve">Instrucciones: </w:t>
      </w:r>
    </w:p>
    <w:p w14:paraId="6EE0D9CE" w14:textId="77777777" w:rsidR="005825DC" w:rsidRDefault="00315F57">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color w:val="EE0000"/>
        </w:rPr>
      </w:pPr>
      <w:r>
        <w:rPr>
          <w:rFonts w:ascii="Times New Roman" w:eastAsia="Times New Roman" w:hAnsi="Times New Roman" w:cs="Times New Roman"/>
          <w:color w:val="EE0000"/>
        </w:rPr>
        <w:t xml:space="preserve">Las ponencias completas deberán tener una extensión de entre 5.000 y 8.000 palabras. Deben enviarse este archivo en formato Word (en ningún caso PDF). 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w:t>
      </w:r>
      <w:proofErr w:type="spellStart"/>
      <w:r>
        <w:rPr>
          <w:rFonts w:ascii="Times New Roman" w:eastAsia="Times New Roman" w:hAnsi="Times New Roman" w:cs="Times New Roman"/>
          <w:color w:val="EE0000"/>
        </w:rPr>
        <w:t>Roman</w:t>
      </w:r>
      <w:proofErr w:type="spellEnd"/>
      <w:r>
        <w:rPr>
          <w:rFonts w:ascii="Times New Roman" w:eastAsia="Times New Roman" w:hAnsi="Times New Roman" w:cs="Times New Roman"/>
          <w:color w:val="EE0000"/>
        </w:rPr>
        <w:t xml:space="preserve"> de 12, interlineado simple. Justificado. Solo usar negrita para títulos y subtítulos.</w:t>
      </w:r>
    </w:p>
    <w:p w14:paraId="4310B2FD" w14:textId="77777777" w:rsidR="005825DC" w:rsidRDefault="00315F57">
      <w:pPr>
        <w:pBdr>
          <w:top w:val="single" w:sz="4" w:space="1" w:color="000000"/>
          <w:left w:val="single" w:sz="4" w:space="4" w:color="000000"/>
          <w:bottom w:val="single" w:sz="4" w:space="1" w:color="000000"/>
          <w:right w:val="single" w:sz="4" w:space="4" w:color="000000"/>
        </w:pBdr>
        <w:jc w:val="center"/>
        <w:rPr>
          <w:rFonts w:ascii="Times New Roman" w:eastAsia="Times New Roman" w:hAnsi="Times New Roman" w:cs="Times New Roman"/>
          <w:b/>
          <w:bCs/>
          <w:color w:val="EE0000"/>
        </w:rPr>
      </w:pPr>
      <w:r>
        <w:rPr>
          <w:rFonts w:ascii="Times New Roman" w:eastAsia="Times New Roman" w:hAnsi="Times New Roman" w:cs="Times New Roman"/>
          <w:b/>
          <w:bCs/>
          <w:color w:val="EE0000"/>
        </w:rPr>
        <w:t>Aquellos trabajos que no cumplan con estas pautas serán devueltos a sus autores para su corrección.</w:t>
      </w:r>
    </w:p>
    <w:p w14:paraId="72AF7730" w14:textId="77777777" w:rsidR="005825DC" w:rsidRDefault="005825DC">
      <w:pPr>
        <w:rPr>
          <w:rFonts w:ascii="Times New Roman" w:eastAsia="Times New Roman" w:hAnsi="Times New Roman" w:cs="Times New Roman"/>
          <w:b/>
          <w:bCs/>
        </w:rPr>
      </w:pPr>
    </w:p>
    <w:p w14:paraId="507C6020" w14:textId="77777777" w:rsidR="005825DC" w:rsidRDefault="00315F57">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Resumen: </w:t>
      </w:r>
      <w:r>
        <w:rPr>
          <w:rFonts w:ascii="Times New Roman" w:eastAsia="Times New Roman" w:hAnsi="Times New Roman" w:cs="Times New Roman"/>
        </w:rPr>
        <w:t xml:space="preserve">Este trabajo presenta avances de una investigación sobre la configuración de dispositivos pedagógicos, didácticos y curriculares en propuestas universitarias de Educación y Formación Técnica y Profesional (EFTP), a partir del análisis de dos carreras desarrolladas en la Universidad Pedagógica Nacional (UNIPE): la Tecnicatura Superior en Educación Técnico Profesional, de modalidad híbrida, implementada entre 2010 y 2014, y la Licenciatura en Educación y Formación Técnica y Profesional con orientación en gestión, de modalidad virtual, desarrollada entre 2020 y 2024. El estudio se inscribe en una línea de trabajo vinculada a las definiciones institucionales de la UNIPE en torno a la democratización del acceso a la formación universitaria, la jerarquización de la formación docente y la inclusión educativa, y recupera una experiencia situada en el área de la EFTP. El problema que orienta la investigación es indagar de qué modo la organización curricular, el acompañamiento de las coordinaciones, la modalidad de </w:t>
      </w:r>
      <w:r>
        <w:rPr>
          <w:rFonts w:ascii="Times New Roman" w:eastAsia="Times New Roman" w:hAnsi="Times New Roman" w:cs="Times New Roman"/>
        </w:rPr>
        <w:lastRenderedPageBreak/>
        <w:t>cursada, el uso de plataformas, el acompañamiento pedagógico y los trabajos y evaluaciones finales producen condiciones específicas de enseñanza y aprendizaje en el nivel superior universitario. Desde un enfoque cualitativo, se analizan documentos institucionales, normativas, planes de estudio, propuestas de evaluación y materiales de trabajo correspondientes a ambos trayectos formativos. En particular, el análisis hace foco en la estrategia didáctica diseñada para ambas formaciones, buscando generar reflexiones en torno al uso de las plataformas no solo como soporte técnico sino como recurso formativo, en articulación con modalidades de cursada más flexibles. Los avances del análisis permiten identificar, en primer lugar, que el Trabajo Final Integrador no constituye únicamente una instancia final de acreditación, sino un organizador del proceso formativo: en la tecnicatura, la “idea-proyecto” presentada al ingreso se reelabora a lo largo de la carrera y se articula con el Seminario de Integración, que operan como mediaciones entre estudiantes, docentes y saberes curriculares. En segundo lugar, se observa que el acompañamiento, la orientación y el apoyo desde la coordinación adquiere un papel nodal en el sostenimiento de trayectorias y en la producción de trabajos finales, particularmente en contextos de virtualidad e hibridez, donde el seguimiento pedagógico excede muchas veces la carga horaria formalmente prevista. En tercer lugar, el contraste entre ambas carreras muestra que la virtualización no puede reducirse a una mediación tecnológica, sino que implica redefiniciones en la organización de la enseñanza, el uso pedagógico del campus, la secuenciación de talleres y módulos, y las formas de articulación entre formación especializada, investigación e intervención. En ese sentido, el caso analizado aporta elementos para discutir, desde una experiencia situada, cómo la universidad diseña propuestas curriculares capaces de articular formación profesional y decisiones didácticas en contextos contemporáneos atravesados por la expansión de formatos híbridos y virtuales.</w:t>
      </w:r>
    </w:p>
    <w:p w14:paraId="4E8096D9" w14:textId="77777777" w:rsidR="005825DC" w:rsidRDefault="00315F57">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Palabras clave: </w:t>
      </w:r>
      <w:r>
        <w:rPr>
          <w:rFonts w:ascii="Times New Roman" w:eastAsia="Times New Roman" w:hAnsi="Times New Roman" w:cs="Times New Roman"/>
        </w:rPr>
        <w:t>EFTP, FORMACIÓN DOCENTE, CURRÍCULUM, DISPOSITIVOS PEDAGÓGICOS, ORIENTACIÓN, UNIVERSIDAD, UNIPE.</w:t>
      </w:r>
    </w:p>
    <w:p w14:paraId="3627D9E6" w14:textId="77777777" w:rsidR="005825DC" w:rsidRDefault="00315F57">
      <w:pPr>
        <w:spacing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31DF28F1"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Este trabajo se inscribe en una línea de investigación sostenida desde la Universidad Pedagógica Nacional (UNIPE) en torno a la formación docente para la Educación y Formación Técnica y Profesional (EFTP), y recupera la experiencia de dos propuestas formativas universitarias: la Tecnicatura Superior en Educación Técnico Profesional (2010-2014, modalidad híbrida) y la Licenciatura en Educación y Formación Técnica y Profesional con orientación en gestión (2020-2024, modalidad virtual). El propósito es analizar, desde la noción de dispositivo pedagógico, cómo la organización curricular, la modalidad de cursada, el acompañamiento institucional y las instancias de evaluación final configuran condiciones específicas para la formación de docentes y gestores del campo de la EFTP. El artículo se organiza en cuatro apartados: en primer lugar, se presenta el marco normativo y conceptual de referencia; en segundo lugar, se describe la experiencia de ambas propuestas formativas en la UNIPE, con especial atención a sus estrategias didácticas y de evaluación; en tercer lugar, se analiza la modalidad de cursada virtual como dimensión transversal a ambas experiencias; finalmente, se presentan las conclusiones y líneas de prospectiva de la investigación en curso.</w:t>
      </w:r>
    </w:p>
    <w:p w14:paraId="59327DF7" w14:textId="77777777" w:rsidR="005825DC" w:rsidRDefault="00315F57">
      <w:pP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Desarrollo</w:t>
      </w:r>
    </w:p>
    <w:p w14:paraId="01175376"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Educación y Formación Técnica y Profesional (EFTP) es una de las modalidades del sistema educativo nacional argentino que abarca, articula e integra los diversos tipos de instituciones y programas de Educación por y para el trabajo. En Argentina, con la implementación de la Ley Federal de Educación (1993) se produjo un “vacío” con respecto a la oferta educativa en EFTP (ETP en Argentina), desarticulando “el tejido educativo”. Por ello, la sanción de la Ley de ETP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26.058) en el año 2005, se considera un hito ya que asegura su incorporación a la agenda de política educativa nacional (</w:t>
      </w:r>
      <w:proofErr w:type="spellStart"/>
      <w:r>
        <w:rPr>
          <w:rFonts w:ascii="Times New Roman" w:eastAsia="Times New Roman" w:hAnsi="Times New Roman" w:cs="Times New Roman"/>
        </w:rPr>
        <w:t>Briasco</w:t>
      </w:r>
      <w:proofErr w:type="spellEnd"/>
      <w:r>
        <w:rPr>
          <w:rFonts w:ascii="Times New Roman" w:eastAsia="Times New Roman" w:hAnsi="Times New Roman" w:cs="Times New Roman"/>
        </w:rPr>
        <w:t>, 2024). Actualmente, la EFTP, en sus diversas modalidades, se encuentra ante distintos desafíos que van desde su revisión de contenidos hasta la construcción de formatos y sustentos pedagógicos asociados a la virtualidad, siempre en consonancia con los perfiles profesionales y dentro de los medios en los cuales se propone desarrollarse.</w:t>
      </w:r>
    </w:p>
    <w:p w14:paraId="76E98A77" w14:textId="438C5360"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Este trabajo presenta un primer análisis descriptivo de la experiencia desplegada en la Universidad Nacional Pedagógica de Argentina (UNIPE), de dos ofertas formativas en Educación y Formación Técnica y Profesional (EFTP): una de pregrado, de modalidad híbrida (presencial y virtual) entre 2010 y 2014 y otras dos, una de pregrado y otra de grado, ambas virtuales, implementadas en el período 2020- 2024. Para ello, se dejan fuera los cursos de capacitación y otras formaciones, con el propósito de centrar el análisis en ofertas formativas de larga duración. En este trabajo se pondrá el foco en los dispositivos </w:t>
      </w:r>
      <w:r w:rsidR="00EC12C0">
        <w:rPr>
          <w:rFonts w:ascii="Times New Roman" w:eastAsia="Times New Roman" w:hAnsi="Times New Roman" w:cs="Times New Roman"/>
        </w:rPr>
        <w:t>pedagógicos,</w:t>
      </w:r>
      <w:r>
        <w:rPr>
          <w:rFonts w:ascii="Times New Roman" w:eastAsia="Times New Roman" w:hAnsi="Times New Roman" w:cs="Times New Roman"/>
        </w:rPr>
        <w:t xml:space="preserve"> así como en la estrategia didáctica diseñada para ambas carreras. Un primer antecedente, fue publicado en </w:t>
      </w:r>
      <w:proofErr w:type="spellStart"/>
      <w:r>
        <w:rPr>
          <w:rFonts w:ascii="Times New Roman" w:eastAsia="Times New Roman" w:hAnsi="Times New Roman" w:cs="Times New Roman"/>
        </w:rPr>
        <w:t>Briasco</w:t>
      </w:r>
      <w:proofErr w:type="spellEnd"/>
      <w:r>
        <w:rPr>
          <w:rFonts w:ascii="Times New Roman" w:eastAsia="Times New Roman" w:hAnsi="Times New Roman" w:cs="Times New Roman"/>
        </w:rPr>
        <w:t xml:space="preserve"> (2024),</w:t>
      </w:r>
      <w:r>
        <w:rPr>
          <w:rFonts w:ascii="Times New Roman" w:eastAsia="Times New Roman" w:hAnsi="Times New Roman" w:cs="Times New Roman"/>
          <w:i/>
          <w:iCs/>
        </w:rPr>
        <w:t xml:space="preserve"> “La formación docente en Educación y Formación Técnica y Profesional: aportes desde la formación virtual”. </w:t>
      </w:r>
    </w:p>
    <w:p w14:paraId="7871E4B3"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En relación con la noción de dispositivos, se verifica desarrollo conceptual y se inserta en la agenda de la investigación educativa actual, entendido como la vinculación entre aquellas condiciones “cuasi invariantes de lo escolar” y su relación con el aprendizaje de los alumnos. Siguiendo a Agamben (2011) y a Foucault (en Agamben, 2011), analizar un dispositivo supone prestar especial atención a ciertos elementos con una materialidad por demás heterogénea: “discursos, instalaciones arquitectónicas, leyes y reglamentos; enunciados científicos, proposiciones filosóficas, morales, técnicas; procesos económicos y sociales, que generan ciertas condiciones de posibilidad”.</w:t>
      </w:r>
    </w:p>
    <w:p w14:paraId="445F9AF1" w14:textId="2EBF0EB3"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sentido, las preguntas de investigación que orientan este trabajo son: ¿Cuáles son los dispositivos desarrollados en la UNIPE en EFTP? ¿Qué aspectos normativos e institucionales se destacan? ¿Cuáles son las representaciones de los alumnos y docentes respecto a estos? ¿Cómo es el perfil de los estudiantes, sus principales trayectorias y la tasa de egreso correspondiente a estas carreras y </w:t>
      </w:r>
      <w:r w:rsidR="00EC12C0">
        <w:rPr>
          <w:rFonts w:ascii="Times New Roman" w:eastAsia="Times New Roman" w:hAnsi="Times New Roman" w:cs="Times New Roman"/>
        </w:rPr>
        <w:t>programas? ¿</w:t>
      </w:r>
      <w:r>
        <w:rPr>
          <w:rFonts w:ascii="Times New Roman" w:eastAsia="Times New Roman" w:hAnsi="Times New Roman" w:cs="Times New Roman"/>
        </w:rPr>
        <w:t>Qué tipo de estrategias pedagógicas son utilizadas por los docentes? ¿Cuáles son los recursos? ¿Cómo es el uso de plataformas virtuales y qué impacto tienen en la cursada? Para responder estas preguntas y lograr alcanzar los objetivos propuestos, la estrategia metodológica adoptada fue de tipo cualitativo. Esto nos permitió un primer acercamiento al tema de estudio mediante el análisis de documentos y normativas de estos trayectos formativos.</w:t>
      </w:r>
    </w:p>
    <w:p w14:paraId="22C7E964" w14:textId="77777777" w:rsidR="005825DC" w:rsidRDefault="00315F57">
      <w:pPr>
        <w:spacing w:before="240" w:after="120" w:line="240" w:lineRule="auto"/>
        <w:rPr>
          <w:rFonts w:ascii="Times New Roman" w:eastAsia="Times New Roman" w:hAnsi="Times New Roman" w:cs="Times New Roman"/>
        </w:rPr>
      </w:pPr>
      <w:r>
        <w:rPr>
          <w:rFonts w:ascii="Times New Roman" w:eastAsia="Times New Roman" w:hAnsi="Times New Roman" w:cs="Times New Roman"/>
          <w:b/>
          <w:bCs/>
        </w:rPr>
        <w:t>Marco normativo de referencia sobre la EFTP</w:t>
      </w:r>
    </w:p>
    <w:p w14:paraId="6A5172FF"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La Educación y Formación Técnica y Profesional (EFTP) constituye una modalidad estratégica dentro de los sistemas educativos, al integrar la educación por y para el trabajo y contribuir al desarrollo económico y social (</w:t>
      </w:r>
      <w:proofErr w:type="spellStart"/>
      <w:r>
        <w:rPr>
          <w:rFonts w:ascii="Times New Roman" w:eastAsia="Times New Roman" w:hAnsi="Times New Roman" w:cs="Times New Roman"/>
        </w:rPr>
        <w:t>Briasco</w:t>
      </w:r>
      <w:proofErr w:type="spellEnd"/>
      <w:r>
        <w:rPr>
          <w:rFonts w:ascii="Times New Roman" w:eastAsia="Times New Roman" w:hAnsi="Times New Roman" w:cs="Times New Roman"/>
        </w:rPr>
        <w:t>, 2024). En Argentina, con la implementación de la Ley Federal de Educación (1993) se produjo un vacío institucional que debilitó la estructura de la EFTP. Unos años más tarde, la sanción de la Ley N.º 26.058 de Educación Técnico Profesional, en 2005, representó un hito al volver a instalarla en la agenda de política educativa y fortalecer su marco normativo, recuperando su articulación con los sectores productivos y del trabajo.</w:t>
      </w:r>
    </w:p>
    <w:p w14:paraId="51B5A064"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En cuanto a su normativa, se apoya en las siguientes leyes nacionales aprobadas por el Congreso de la Nación Argentina: Ley Nro. 26.058 de Educación Técnico Profesional, Ley Nro. 24.521 de Educación Superior y Ley Nro. 26.206 de Educación Nacional.</w:t>
      </w:r>
    </w:p>
    <w:p w14:paraId="3FD6EA8E"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Ley Nro. 26.058 de Educación Técnico Profesional (LETP), promulgada en 2005, define que esta modalidad educativa es un derecho de todos los habitantes de la Nación que se hace efectivo a partir del desarrollo de procesos educativos, sistemáticos y permanentes. Esta Ley regula y ordena a la modalidad, en concordancia con los principios, fines y objetivos de la Ley Nro. 26.206, que en su Artículo 38 establece que la Educación Técnico Profesional "es la modalidad de la Educación Secundaria y de la Educación Superior responsable de la formación de técnicos medios y técnicos superiores en áreas ocupacionales específicas y de la formación profesional".</w:t>
      </w:r>
    </w:p>
    <w:p w14:paraId="32F11557"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Por su parte, la formación profesional tiene como propósitos preparar, actualizar y desarrollar capacidades para el trabajo, más allá de la situación educativa de la que se parta, ofreciendo una sólida formación científico-tecnológica y el dominio de las competencias básicas, profesionales y sociales requerido por una o varias ocupaciones definidas en un campo ocupacional amplio. La educación técnica de nivel secundario o nivel superior tiene como propósitos formar técnicos en áreas ocupacionales específicas, cuya complejidad requiere la disposición de competencias profesionales que se desarrollan a través de procesos sistemáticos y prolongados de formación.</w:t>
      </w:r>
    </w:p>
    <w:p w14:paraId="65CC7695"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También está regulada por resoluciones del Consejo Federal de Educación (CFE): la Res. CFE </w:t>
      </w:r>
      <w:proofErr w:type="spellStart"/>
      <w:r>
        <w:rPr>
          <w:rFonts w:ascii="Times New Roman" w:eastAsia="Times New Roman" w:hAnsi="Times New Roman" w:cs="Times New Roman"/>
        </w:rPr>
        <w:t>N.°</w:t>
      </w:r>
      <w:proofErr w:type="spellEnd"/>
      <w:r>
        <w:rPr>
          <w:rFonts w:ascii="Times New Roman" w:eastAsia="Times New Roman" w:hAnsi="Times New Roman" w:cs="Times New Roman"/>
        </w:rPr>
        <w:t xml:space="preserve"> 64/08, que establece el Programa Nacional de Formación Docente Inicial para la ETP; la Res. CFE </w:t>
      </w:r>
      <w:proofErr w:type="spellStart"/>
      <w:r>
        <w:rPr>
          <w:rFonts w:ascii="Times New Roman" w:eastAsia="Times New Roman" w:hAnsi="Times New Roman" w:cs="Times New Roman"/>
        </w:rPr>
        <w:t>N.°</w:t>
      </w:r>
      <w:proofErr w:type="spellEnd"/>
      <w:r>
        <w:rPr>
          <w:rFonts w:ascii="Times New Roman" w:eastAsia="Times New Roman" w:hAnsi="Times New Roman" w:cs="Times New Roman"/>
        </w:rPr>
        <w:t xml:space="preserve"> 296/16, que redefine el plan de estudios para el profesorado técnico; y la Res. </w:t>
      </w:r>
      <w:proofErr w:type="spellStart"/>
      <w:r>
        <w:rPr>
          <w:rFonts w:ascii="Times New Roman" w:eastAsia="Times New Roman" w:hAnsi="Times New Roman" w:cs="Times New Roman"/>
        </w:rPr>
        <w:t>N.°</w:t>
      </w:r>
      <w:proofErr w:type="spellEnd"/>
      <w:r>
        <w:rPr>
          <w:rFonts w:ascii="Times New Roman" w:eastAsia="Times New Roman" w:hAnsi="Times New Roman" w:cs="Times New Roman"/>
        </w:rPr>
        <w:t xml:space="preserve"> 430/22, que actualiza los lineamientos para la formación inicial y continua. Estas normas enfatizan la articulación teoría–práctica, la integración de saberes pedagógicos y técnico-disciplinarios, y la flexibilización de modalidades de cursado.</w:t>
      </w:r>
    </w:p>
    <w:p w14:paraId="6FEE1302"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Resolución CFE N.º 296/16 y la Resolución CFE N.º 430/22 son dos hitos clave que reflejan la evolución de los enfoques pedagógicos y la estructura curricular para los formadores de la ETP. Esto implica una transformación en la concepción y organización de la formación docente, promoviendo una mayor integración entre teoría y práctica y el desarrollo de competencias profesionales que respondan a las demandas del sistema educativo actual. La implementación es coordinada por el Instituto Nacional de Educación Tecnológica (INET), en articulación con el Instituto Nacional de Formación Docente (INFOD) y las jurisdicciones provinciales.</w:t>
      </w:r>
    </w:p>
    <w:p w14:paraId="1B5C2E9D"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En cuanto a los antecedentes académicos sobre la formación docente en EFTP, existe abundante bibliografía referida a la formación docente inicial y continua en términos generales, aunque los trabajos específicos sobre formación docente en EFTP son escasos en el contexto regional (</w:t>
      </w:r>
      <w:proofErr w:type="spellStart"/>
      <w:r>
        <w:rPr>
          <w:rFonts w:ascii="Times New Roman" w:eastAsia="Times New Roman" w:hAnsi="Times New Roman" w:cs="Times New Roman"/>
        </w:rPr>
        <w:t>Briasco</w:t>
      </w:r>
      <w:proofErr w:type="spellEnd"/>
      <w:r>
        <w:rPr>
          <w:rFonts w:ascii="Times New Roman" w:eastAsia="Times New Roman" w:hAnsi="Times New Roman" w:cs="Times New Roman"/>
        </w:rPr>
        <w:t>, 2024). En el plano regional, el estudio del PASEM (2014) relevó los sistemas de formación docente en el Mercosur, aunque sin focalizar específicamente en la EFTP. Dado ese vacío, se han considerado los aportes de organismos internacionales que ofrecen marcos de referencia relevantes. En el plano internacional, organismos como la UNESCO, la OIT y la OEI destacan la necesidad de fortalecer la capacitación docente, ampliar el acceso a la formación continua, mejorar las competencias digitales y vincular la enseñanza con los contextos productivos y tecnológicos actuales (UNESCO, 2016; OIT, 2004)</w:t>
      </w:r>
    </w:p>
    <w:p w14:paraId="3A74EC51"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En el campo de la educación profesional, el ingreso de las universidades nacionales como actores formativos se materializó a partir de 2021 con la creación del Programa Universitario de Escuelas de Educación Profesional (PUEEP), que promovió el diseño de ofertas formativas basadas en estudios de demanda y caracterización socio-productiva, articulando ofertas de pregrado y grado para favorecer la navegabilidad en el sistema. Hacia 2023, nueve universidades nacionales contaban con proyectos de este tipo, consolidando la educación profesional como un nuevo campo de intervención universitaria (Armentano y otros, 2023).</w:t>
      </w:r>
    </w:p>
    <w:p w14:paraId="329AAA81"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Organismos como la UNESCO, la OIT y la OEI han destacado la necesidad de fortalecer la capacitación docente, ampliar el acceso a la formación continua, mejorar las competencias digitales y vincular la enseñanza con los contextos productivos y tecnológicos actuales (UNESCO, 2016; OIT, 2004; OEI, 2022). En particular:</w:t>
      </w:r>
    </w:p>
    <w:p w14:paraId="728BF0D9"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Estrategia de Educación y Formación Técnica y Profesional 2016–2021 de la UNESCO (y su continuidad en las metas de 2030) plantea la necesidad de fortalecer la formación docente inicial y continua, con enfoque en competencias digitales y vínculo con el mundo del trabajo.</w:t>
      </w:r>
    </w:p>
    <w:p w14:paraId="7DA3BACD"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OIT, en su Recomendación 195 sobre el desarrollo de recursos humanos, destaca la importancia de vincular la capacitación docente con estrategias nacionales de empleo y desarrollo productivo.</w:t>
      </w:r>
    </w:p>
    <w:p w14:paraId="0D4241FD"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OEI, en el Marco de Referencia de Competencias Docentes Digitales para Iberoamérica, enmarcada en elhttps://oei.int/oficinas/secretaria-general/programas/programa-regional-de-transformacion-digital-en-educacion-2/https://oei.int/oficinas/secretaria-general/programas/programa-regional-de-transformacion-digital-en-educacion-2/, subraya la integración pedagógica de tecnologías y el aprendizaje a lo largo de la vida.</w:t>
      </w:r>
    </w:p>
    <w:p w14:paraId="41EA2F99"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Las orientaciones internacionales recomiendan el diseño de trayectos formativos flexibles, el uso pedagógico de tecnologías digitales y el fortalecimiento del vínculo entre instituciones educativas y desarrollo local, elementos presentes en las propuestas formativas de la UNIPE analizadas en este trabajo.</w:t>
      </w:r>
    </w:p>
    <w:p w14:paraId="5030CC42"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formación docente en EFTP presenta particularidades que la distinguen de otros campos de la formación docente. Quienes enseñan en este sistema provienen </w:t>
      </w:r>
      <w:r>
        <w:rPr>
          <w:rFonts w:ascii="Times New Roman" w:eastAsia="Times New Roman" w:hAnsi="Times New Roman" w:cs="Times New Roman"/>
        </w:rPr>
        <w:lastRenderedPageBreak/>
        <w:t>mayoritariamente de trayectorias técnicas o profesionales y se incorporan a la enseñanza desde el ejercicio de un oficio, una profesión o una especialidad técnica. Esto genera una demanda específica: la formación pedagógica de técnicos en ejercicio, orientada a desarrollar capacidades para la enseñanza en contextos de EFTP sin desarticular el vínculo con el mundo del trabajo y la producción. Al mismo tiempo, la expansión y jerarquización del sistema en Argentina generó una demanda creciente de formación continua y de nivel superior para quienes ya se desempeñan como docentes o gestores institucionales en el campo. Ambas dimensiones —formación pedagógica inicial de técnicos y formación continua de docentes en ejercicio— constituyen el objeto de las propuestas de UNIPE analizadas en este trabajo. Para su análisis, se recurre al concepto de dispositivo pedagógico, que permite capturar no solo los recursos y estrategias utilizados, sino la configuración institucional, normativa y didáctica que los sostiene y les da sentido.</w:t>
      </w:r>
    </w:p>
    <w:p w14:paraId="7B18EB58"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noción de dispositivos, entendida como una red heterogénea que articula elementos discursivos y no discursivos —normativos, tecnológicos, organizativos, didácticos— con función estratégica en las relaciones de poder y saber (Agamben, 2011; Foucault, en Agamben, 2011). En el campo educativo, esta noción permite analizar configuraciones que condicionan y posibilitan el aprendizaje (Vercellino, 2020). Desde esta perspectiva, los dispositivos no se reducen a recursos o estrategias aisladas, sino que integran dimensiones institucionales y contextuales que pueden actuar como facilitadores o limitantes para la formación docente en la EFTP. En palabras de Vercellino, "el escenario educativo de acuerdo con su materialidad y configuración —sea presencial físico, en aula, laboratorio o en campo, sea en presencialidad remota o virtual, sea en plataformas de educación a distancia, de manera asincrónica— dispone a ciertas performances o actuaciones y a cierto tipo de aprendizaje" (2023).</w:t>
      </w:r>
    </w:p>
    <w:p w14:paraId="06099A57"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El análisis de los dispositivos pedagógicos en estas propuestas se articula con tres dimensiones conceptuales que atraviesan ambas experiencias. La articulación teoría–práctica refiere a la integración entre saberes académicos y saberes del campo profesional como principio organizador del diseño curricular, presente explícitamente en los marcos normativos de la ETP (Res. CFE N.º 296/16; 430/22). El aprendizaje situado alude a la construcción de conocimiento en contextos de práctica real o simulada, orientada a la resolución de problemas concretos del entorno institucional y socio-productivo (Lave y Wenger, 1991; Diaz Barriga, 2003). Las competencias digitales refieren a las capacidades para integrar pedagógicamente las tecnologías en los procesos de enseñanza, más allá del uso instrumental de herramientas (UNESCO, 2016; OEI, 2022).</w:t>
      </w:r>
    </w:p>
    <w:p w14:paraId="3972A963" w14:textId="77777777" w:rsidR="005825DC" w:rsidRDefault="00315F57">
      <w:pPr>
        <w:spacing w:before="240" w:after="120" w:line="240" w:lineRule="auto"/>
        <w:rPr>
          <w:rFonts w:ascii="Times New Roman" w:eastAsia="Times New Roman" w:hAnsi="Times New Roman" w:cs="Times New Roman"/>
        </w:rPr>
      </w:pPr>
      <w:r>
        <w:rPr>
          <w:rFonts w:ascii="Times New Roman" w:eastAsia="Times New Roman" w:hAnsi="Times New Roman" w:cs="Times New Roman"/>
          <w:b/>
          <w:bCs/>
        </w:rPr>
        <w:t>La experiencia de formación en EFTP en la UNIPE</w:t>
      </w:r>
    </w:p>
    <w:p w14:paraId="7ED91420" w14:textId="0B0CD4C5"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Ambas ofertas formativas que se presentan a </w:t>
      </w:r>
      <w:r w:rsidR="00004E2F">
        <w:rPr>
          <w:rFonts w:ascii="Times New Roman" w:eastAsia="Times New Roman" w:hAnsi="Times New Roman" w:cs="Times New Roman"/>
        </w:rPr>
        <w:t>continuación</w:t>
      </w:r>
      <w:r>
        <w:rPr>
          <w:rFonts w:ascii="Times New Roman" w:eastAsia="Times New Roman" w:hAnsi="Times New Roman" w:cs="Times New Roman"/>
        </w:rPr>
        <w:t xml:space="preserve"> tienen su inserción institucional en la UNIPE. Desde su creación, en UNIPE se han desarrollado diferentes líneas de acción con relación a la Educación Técnica Profesional sentando antecedentes.</w:t>
      </w:r>
    </w:p>
    <w:p w14:paraId="68E615AB"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ese marco, la UNIPE ha desarrollado propuestas específicas orientadas a jerarquizar la docencia técnica y fortalecer la gestión institucional en la EFTP. Dos de esas propuestas constituyen el objeto de análisis del presente artículo: la Tecnicatura Superior en </w:t>
      </w:r>
      <w:r>
        <w:rPr>
          <w:rFonts w:ascii="Times New Roman" w:eastAsia="Times New Roman" w:hAnsi="Times New Roman" w:cs="Times New Roman"/>
        </w:rPr>
        <w:lastRenderedPageBreak/>
        <w:t>Educación Técnico Profesional (modalidad híbrida), desarrollada entre 2010 y 2014, y la Licenciatura en Educación y Formación Técnica y Profesional con orientación en gestión (modalidad virtual), implementada entre 2020 y 2024. Ambas representan respuestas institucionales a demandas concretas del sistema: la primera, orientada a la formación pedagógica de técnicos en ejercicio; la segunda, surgida de convenios con jurisdicciones provinciales para atender vacancias en gestión institucional, un área históricamente desatendida. El artículo se enmarca en el proyecto de investigación radicado en la UNIPE "Los dispositivos para formación docente en EFTP en Argentina: aportes desde la experiencia en UNIPE, período 2010-2014 y 2020-2024", junto con estudios del NEIES (2022), CES (2022), PICTO-2022 REDES Educación, trabajo y nuevas tecnologías, Programa Universitario de Escuelas de Educación Profesional (2021-2023)</w:t>
      </w:r>
    </w:p>
    <w:p w14:paraId="5DDA3FAC"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El análisis aquí presentado compara ambas ofertas desde la perspectiva de los dispositivos pedagógicos, lo que permite identificar características diferenciales y comunes, estrategias de enseñanza y evaluación implementadas, así como factores institucionales y contextuales que inciden en su desarrollo. El propósito es contribuir a la discusión sobre modelos de formación docente en la EFTP que integren la virtualidad, promuevan la articulación teoría–práctica y fortalezcan las competencias digitales.</w:t>
      </w:r>
    </w:p>
    <w:p w14:paraId="18C9A1AC"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b/>
          <w:bCs/>
        </w:rPr>
        <w:t>Análisis y discusión de la experiencia de Formación de pregrado: Tecnicatura Superior en Educación Técnico Profesional</w:t>
      </w:r>
    </w:p>
    <w:p w14:paraId="0A4C0473"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Tecnicatura Superior en Educación Técnico Profesional surge como una opción de formación de pregrado para profesionales que se desempeñan en el campo de la Educación Técnico Profesional (ETP), la Educación Agropecuaria (EA), la Educación Técnica (ET) o la Formación Profesional (FP). Busca a su vez, sentar las bases de una capacitación continua dentro de esta disciplina. La Tecnicatura se inició en el segundo cuatrimestre del 2010 y finalizó en el mes de julio de 2013. Se utilizó una metodología híbrida, conformada por encuentros presenciales quincenales y trabajo virtual con apoyo de la plataforma formativa. Para ese momento, la UNIPE fue la única universidad que presentó una oferta de estas características, dado que no existían carreras similares en las Universidades Nacionales.</w:t>
      </w:r>
    </w:p>
    <w:p w14:paraId="215375C3"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En este marco, la propuesta de la Tecnicatura Superior de ETP, adquirió un alto nivel de pertinencia y relevancia para la implementación de políticas de Educación Técnico-Profesional, ya que se capacitó a distintos profesionales para desarrollar la docencia en este ámbito. A su vez, fue fundante en tanto, al año 2023, desde el Programa Universitario de Educación Profesional (SPU-MEC Argentina), se impulsó el diseño y desarrollo de formaciones de pregrado similares a las Tecnicaturas Universitaria en Educación Profesional, en nueve Universidades Nacionales, todas con cursada híbrida.</w:t>
      </w:r>
    </w:p>
    <w:p w14:paraId="19D98658"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A su vez, en el marco del Programa Universitario de Educación Profesional dependiente de SPU, la UNIPE propone la creación de la Escuela Universitaria de Formación Profesional Sector Metalmecánica, en convenio con UOM La Matanza, desarrollando el diseño e implementación de la Tecnicatura Universitaria en Programación de Equipos de Fabricación Asistidos y el fortalecimiento de la formación de pregrado, mediante la carrera vigente en UNIPE, la Tecnicatura Superior en Educación Técnico Profesional, dirigida a los docentes en ejercicio pertenecientes a los sectores participantes del </w:t>
      </w:r>
      <w:r>
        <w:rPr>
          <w:rFonts w:ascii="Times New Roman" w:eastAsia="Times New Roman" w:hAnsi="Times New Roman" w:cs="Times New Roman"/>
        </w:rPr>
        <w:lastRenderedPageBreak/>
        <w:t xml:space="preserve">proyecto, con desarrollo de carácter bimodal utilizando como recurso el campus de </w:t>
      </w:r>
      <w:proofErr w:type="spellStart"/>
      <w:r>
        <w:rPr>
          <w:rFonts w:ascii="Times New Roman" w:eastAsia="Times New Roman" w:hAnsi="Times New Roman" w:cs="Times New Roman"/>
        </w:rPr>
        <w:t>Unipe</w:t>
      </w:r>
      <w:proofErr w:type="spellEnd"/>
      <w:r>
        <w:rPr>
          <w:rFonts w:ascii="Times New Roman" w:eastAsia="Times New Roman" w:hAnsi="Times New Roman" w:cs="Times New Roman"/>
        </w:rPr>
        <w:t xml:space="preserve"> Digital.</w:t>
      </w:r>
    </w:p>
    <w:p w14:paraId="4903A2E7"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Asimismo, en la Tecnicatura Superior en ETP, dirigida a los equipos de gestión de las instituciones de la Red UOM, se consideró la diferente situación de partida de los participantes y se implementó un sistema de reconocimiento de antecedentes, tramos y trayectos formativos.</w:t>
      </w:r>
    </w:p>
    <w:p w14:paraId="2B8D55F4" w14:textId="77777777" w:rsidR="005825DC" w:rsidRDefault="00315F57">
      <w:pPr>
        <w:spacing w:before="240" w:after="120" w:line="240" w:lineRule="auto"/>
        <w:rPr>
          <w:rFonts w:ascii="Times New Roman" w:eastAsia="Times New Roman" w:hAnsi="Times New Roman" w:cs="Times New Roman"/>
        </w:rPr>
      </w:pPr>
      <w:r>
        <w:rPr>
          <w:rFonts w:ascii="Times New Roman" w:eastAsia="Times New Roman" w:hAnsi="Times New Roman" w:cs="Times New Roman"/>
          <w:b/>
          <w:bCs/>
        </w:rPr>
        <w:t>Características Generales de la Tecnicatura</w:t>
      </w:r>
    </w:p>
    <w:p w14:paraId="682749E7"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El objetivo general de la Tecnicatura es “favorecer el desarrollo de competencias gerenciales que permitan a los estudiantes gestionar y evaluar servicios de la administración educativa y programas e instituciones de educación técnico profesional acordes con los requerimientos explícitos y latentes del mercado de trabajo, capaces de promover la distribución equitativa de los conocimientos y las oportunidades profesionales y con ello mejorar el perfil socio-técnico de las instituciones educativas al aplicar criterios organizativos y de gestión pertinentes para el mejor cumplimiento de los fines”.</w:t>
      </w:r>
    </w:p>
    <w:p w14:paraId="464B2212"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Entre otros, los objetivos específicos son los siguientes:</w:t>
      </w:r>
    </w:p>
    <w:p w14:paraId="4B66EFBE"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Reflexionar, analizar y evaluar los enfoques y demandas actuales respecto de las relaciones que deben establecerse entre los sistemas de formación profesional y la educación técnica con su entorno educativo y productivo, así como su contribución al desarrollo local de la zona de implementación y su proyección nacional</w:t>
      </w:r>
    </w:p>
    <w:p w14:paraId="470838BF"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Mejorar las técnicas e instrumentos de intervención para planificar, dirigir y evaluar tanto la organización del centro educativo como la calidad de la enseñanza impartida.</w:t>
      </w:r>
    </w:p>
    <w:p w14:paraId="2175C05E"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Ofrecer las condiciones para que cada participante estudie un tema de relevancia y pertinencia institucional en relación con la gestión de proyectos y programas de educación técnica y formación profesional.</w:t>
      </w:r>
    </w:p>
    <w:p w14:paraId="3D61ACD7"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Garantizar el uso de las diferentes tecnologías de la comunicación y la información con el fin de poder capitalizar sus ventajas en el desarrollo de procesos de formación y actualización continua.</w:t>
      </w:r>
    </w:p>
    <w:p w14:paraId="67309403"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Tiene como destinatarios a los egresados de nivel medio técnico o aquellas personas que, sin poseer la acreditación de nivel medio técnico, puedan cumplimentar con las disposiciones de Art. 7º la Ley de Educación Superior. En la primera cohorte, el perfil de los estudiantes que se inscribieron en la Tecnicatura estuvo compuesto mayoritariamente (56%) por egresados del nivel superior (profesores y maestros), seguidos por egresados del nivel medio (35%) y un (9%) de estudiantes con titulación universitaria (9%).</w:t>
      </w:r>
    </w:p>
    <w:p w14:paraId="4DAB241C"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Como parte de los requisitos de ingreso, los estudiantes debieron: (i) presentar una “idea-proyecto” de intervención en un ámbito concreto de actuación de educación técnico profesional; (</w:t>
      </w:r>
      <w:proofErr w:type="spellStart"/>
      <w:r>
        <w:rPr>
          <w:rFonts w:ascii="Times New Roman" w:eastAsia="Times New Roman" w:hAnsi="Times New Roman" w:cs="Times New Roman"/>
        </w:rPr>
        <w:t>ii</w:t>
      </w:r>
      <w:proofErr w:type="spellEnd"/>
      <w:r>
        <w:rPr>
          <w:rFonts w:ascii="Times New Roman" w:eastAsia="Times New Roman" w:hAnsi="Times New Roman" w:cs="Times New Roman"/>
        </w:rPr>
        <w:t>) disponer de tiempo para el estudio del material bibliográfico y para realizar las tareas previstas en el desarrollo de la tecnicatura; (</w:t>
      </w:r>
      <w:proofErr w:type="spellStart"/>
      <w:r>
        <w:rPr>
          <w:rFonts w:ascii="Times New Roman" w:eastAsia="Times New Roman" w:hAnsi="Times New Roman" w:cs="Times New Roman"/>
        </w:rPr>
        <w:t>iii</w:t>
      </w:r>
      <w:proofErr w:type="spellEnd"/>
      <w:r>
        <w:rPr>
          <w:rFonts w:ascii="Times New Roman" w:eastAsia="Times New Roman" w:hAnsi="Times New Roman" w:cs="Times New Roman"/>
        </w:rPr>
        <w:t xml:space="preserve">) contar con un centro de </w:t>
      </w:r>
      <w:r>
        <w:rPr>
          <w:rFonts w:ascii="Times New Roman" w:eastAsia="Times New Roman" w:hAnsi="Times New Roman" w:cs="Times New Roman"/>
        </w:rPr>
        <w:lastRenderedPageBreak/>
        <w:t>referencia (institución de ETP o FP) el cual sería utilizado como instancia de aplicación de las actividades a desarrollar durante la cursada.</w:t>
      </w:r>
    </w:p>
    <w:p w14:paraId="39952B07"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El plan de estudios se organizó en torno de tres campos de formación:</w:t>
      </w:r>
    </w:p>
    <w:p w14:paraId="2AA071C1"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Campo de la formación general: </w:t>
      </w:r>
      <w:r>
        <w:rPr>
          <w:rFonts w:ascii="Times New Roman" w:eastAsia="Times New Roman" w:hAnsi="Times New Roman" w:cs="Times New Roman"/>
        </w:rPr>
        <w:t>30% de los espacios curriculares, destinada a la construcción de un andamiaje conceptual que permita un abordaje crítico de la temática, aportando elementos para el encuadre histórico, económico, político del mundo del trabajo y la producción.</w:t>
      </w:r>
    </w:p>
    <w:p w14:paraId="6838B428"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Campo de la Formación específica: </w:t>
      </w:r>
      <w:r>
        <w:rPr>
          <w:rFonts w:ascii="Times New Roman" w:eastAsia="Times New Roman" w:hAnsi="Times New Roman" w:cs="Times New Roman"/>
        </w:rPr>
        <w:t>30% de los espacios curriculares, dirigida al estudio de aspectos centrales de la EFTP, la formación en relación con el ejercicio del trabajo, aspectos didácticos y curriculares y diseño, gestión y evaluación de instituciones y proyectos de EFTP.</w:t>
      </w:r>
    </w:p>
    <w:p w14:paraId="62644177"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b/>
          <w:bCs/>
        </w:rPr>
        <w:t>Campo de la formación en la práctica profesional</w:t>
      </w:r>
      <w:r>
        <w:rPr>
          <w:rFonts w:ascii="Times New Roman" w:eastAsia="Times New Roman" w:hAnsi="Times New Roman" w:cs="Times New Roman"/>
        </w:rPr>
        <w:t>: 40% de los espacios curriculares focalizados en el desarrollo de capacidades para el desempeño en los ámbitos de la EFTP -con énfasis en la actualización tecnológica- que permita la integración de los campos anteriormente descriptos. Este campo se desarrolla en forma paralela y está apoyado por un acompañamiento constante que en la primera cohorte llegó a superar la carga horaria prevista, incluyendo encuentros sincrónicos semanales.</w:t>
      </w:r>
    </w:p>
    <w:p w14:paraId="3B305164" w14:textId="77777777" w:rsidR="005825DC" w:rsidRDefault="00315F57">
      <w:pPr>
        <w:spacing w:before="240" w:after="120" w:line="240" w:lineRule="auto"/>
        <w:rPr>
          <w:rFonts w:ascii="Times New Roman" w:eastAsia="Times New Roman" w:hAnsi="Times New Roman" w:cs="Times New Roman"/>
        </w:rPr>
      </w:pPr>
      <w:r>
        <w:rPr>
          <w:rFonts w:ascii="Times New Roman" w:eastAsia="Times New Roman" w:hAnsi="Times New Roman" w:cs="Times New Roman"/>
          <w:b/>
          <w:bCs/>
        </w:rPr>
        <w:t>Estrategia de evaluación: el Trabajo Final Integrador</w:t>
      </w:r>
    </w:p>
    <w:p w14:paraId="47AF3707" w14:textId="0CF0CD6C"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El sistema de evaluación de los estudiantes se orientó al seguimiento del proceso formativo y a la acreditación de los aprendizajes. Así, para aprobar la Tecnicatura, los estudiantes debieron: (i) cursar y aprobar los requisitos solicitados en cada materia; (</w:t>
      </w:r>
      <w:proofErr w:type="spellStart"/>
      <w:r>
        <w:rPr>
          <w:rFonts w:ascii="Times New Roman" w:eastAsia="Times New Roman" w:hAnsi="Times New Roman" w:cs="Times New Roman"/>
        </w:rPr>
        <w:t>ii</w:t>
      </w:r>
      <w:proofErr w:type="spellEnd"/>
      <w:r>
        <w:rPr>
          <w:rFonts w:ascii="Times New Roman" w:eastAsia="Times New Roman" w:hAnsi="Times New Roman" w:cs="Times New Roman"/>
        </w:rPr>
        <w:t>) elaborar un portafolio y (</w:t>
      </w:r>
      <w:proofErr w:type="spellStart"/>
      <w:r>
        <w:rPr>
          <w:rFonts w:ascii="Times New Roman" w:eastAsia="Times New Roman" w:hAnsi="Times New Roman" w:cs="Times New Roman"/>
        </w:rPr>
        <w:t>iii</w:t>
      </w:r>
      <w:proofErr w:type="spellEnd"/>
      <w:r>
        <w:rPr>
          <w:rFonts w:ascii="Times New Roman" w:eastAsia="Times New Roman" w:hAnsi="Times New Roman" w:cs="Times New Roman"/>
        </w:rPr>
        <w:t xml:space="preserve">) presentar un Trabajo Final Integrador. Recordemos que, para el ingreso, los estudiantes debían presentar una “idea-proyecto”, la cual fue enriquecida, y en algunos casos </w:t>
      </w:r>
      <w:r w:rsidR="00EC12C0">
        <w:rPr>
          <w:rFonts w:ascii="Times New Roman" w:eastAsia="Times New Roman" w:hAnsi="Times New Roman" w:cs="Times New Roman"/>
        </w:rPr>
        <w:t>reelaborada</w:t>
      </w:r>
      <w:r>
        <w:rPr>
          <w:rFonts w:ascii="Times New Roman" w:eastAsia="Times New Roman" w:hAnsi="Times New Roman" w:cs="Times New Roman"/>
        </w:rPr>
        <w:t>, durante el desarrollo de todas las materias. Así, la “idea- proyecto” funcionó como organizador del proceso formativo. Todos los ejercicios, las actividades que se desarrollaron durante la cursada, se convirtieron en insumos para la transformación de la “idea- proyecto” en el t</w:t>
      </w:r>
      <w:r>
        <w:rPr>
          <w:rFonts w:ascii="Times New Roman" w:eastAsia="Times New Roman" w:hAnsi="Times New Roman" w:cs="Times New Roman"/>
          <w:i/>
          <w:iCs/>
        </w:rPr>
        <w:t xml:space="preserve">rabajo final integrador; </w:t>
      </w:r>
      <w:r>
        <w:rPr>
          <w:rFonts w:ascii="Times New Roman" w:eastAsia="Times New Roman" w:hAnsi="Times New Roman" w:cs="Times New Roman"/>
        </w:rPr>
        <w:t>donde el estudiante debió dar cuenta de un proceso de integración de los contenidos adquiridos y las competencias construidas resultantes de las materias cursadas. Este proceso, se plasma en el “Seminario de Integración”, como un espacio curricular que se implementó desde el inicio de la cursada, con acompañamiento de la coordinación, quien fue enlace con cada docente y estudiante, desde el apoyo y la orientación.</w:t>
      </w:r>
    </w:p>
    <w:p w14:paraId="27DEEF3F" w14:textId="2287DC30"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espacio de Seminario de </w:t>
      </w:r>
      <w:r w:rsidR="00EC12C0">
        <w:rPr>
          <w:rFonts w:ascii="Times New Roman" w:eastAsia="Times New Roman" w:hAnsi="Times New Roman" w:cs="Times New Roman"/>
        </w:rPr>
        <w:t>Integración</w:t>
      </w:r>
      <w:r>
        <w:rPr>
          <w:rFonts w:ascii="Times New Roman" w:eastAsia="Times New Roman" w:hAnsi="Times New Roman" w:cs="Times New Roman"/>
        </w:rPr>
        <w:t xml:space="preserve"> se desarrolló en forma complementaria a las asignaturas. Este espacio se organizó en función del perfil del participante y la idea-proyecto como organizador de su proceso formativo, para llegar así -de forma asistida- a la construcción del Trabajo Integrador Final (TIF). Cada estudiante logra de este modo construir, con apoyo y acompañamiento, su propio plan de trabajo integrando conocimientos, marcos teóricos y herramientas de reflexión, necesarias que sostienen el recorrido de la formación, y en gran medida, la práctica futura en espacios que comprenden la Educación Técnico Profesional.</w:t>
      </w:r>
    </w:p>
    <w:p w14:paraId="2E8D0659"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El trabajo final integrador, según la inserción profesional de los estudiantes, se orientó hacia la mejora de la gestión de la institución donde el estudiante se desempeñaba, a partir de un problema compartido por la comunidad educativa y el ámbito socio productivo. Este encuadre, otorgado a los trabajos finales, permitió desarrollar una herramienta útil para el mejoramiento de la gestión de un ámbito concreto de trabajo docente. Es decir, que el proyecto elaborado, debió resultar </w:t>
      </w:r>
      <w:r>
        <w:rPr>
          <w:rFonts w:ascii="Times New Roman" w:eastAsia="Times New Roman" w:hAnsi="Times New Roman" w:cs="Times New Roman"/>
          <w:i/>
          <w:iCs/>
        </w:rPr>
        <w:t xml:space="preserve">pertinente, viable y relevante </w:t>
      </w:r>
      <w:r>
        <w:rPr>
          <w:rFonts w:ascii="Times New Roman" w:eastAsia="Times New Roman" w:hAnsi="Times New Roman" w:cs="Times New Roman"/>
        </w:rPr>
        <w:t>para la institución de EFTP.</w:t>
      </w:r>
    </w:p>
    <w:p w14:paraId="73396297"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Al finalizar la Tecnicatura, los estudiantes contaron con un </w:t>
      </w:r>
      <w:r>
        <w:rPr>
          <w:rFonts w:ascii="Times New Roman" w:eastAsia="Times New Roman" w:hAnsi="Times New Roman" w:cs="Times New Roman"/>
          <w:i/>
          <w:iCs/>
        </w:rPr>
        <w:t xml:space="preserve">Proyecto </w:t>
      </w:r>
      <w:r>
        <w:rPr>
          <w:rFonts w:ascii="Times New Roman" w:eastAsia="Times New Roman" w:hAnsi="Times New Roman" w:cs="Times New Roman"/>
        </w:rPr>
        <w:t>para una potencial intervención a nivel institucional. La acreditación de los aprendizajes se realizó a partir de la evaluación de las actividades, presenciales y a distancia correspondientes a cada asignatura, el portafolio y el trabajo final. Un elemento central fue la información producida por los docentes, respecto del monitoreo del ritmo y tipo de cursada de cada participante, y de los resultados del desempeño global. Estas instancias de evaluación, a su vez, fueron elementos claves para que cada estudiante cuente con orientaciones sobre el desarrollo de su proceso formativo.</w:t>
      </w:r>
    </w:p>
    <w:p w14:paraId="7B882806"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b/>
          <w:bCs/>
        </w:rPr>
        <w:t>Formación de grado: Licenciatura en Educación y Formación Técnica y Profesional con orientación en gestión</w:t>
      </w:r>
    </w:p>
    <w:p w14:paraId="3174610C"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Licenciatura en Educación y Formación Técnica y Profesional surge en 2020, como un Ciclo de Complementación Curricular (CCC) destinado a profesionales que se desempeñan en el campo de la Educación Técnico Profesional, la Educación Agraria, la Educación Técnica o la Formación Profesional, entendida como Educación y Formación Técnica y Profesional, que posean un título de nivel superior –tecnicaturas o profesorados o equivalentes; y que busquen profundizar su formación sobre las problemáticas del campo de la EFTP, enfatizando en la gestión de instituciones y/o proyectos, incorporando propuestas que permitan sostener procesos de enseñanza y de aprendizaje presenciales y virtuales.</w:t>
      </w:r>
    </w:p>
    <w:p w14:paraId="58BBCE5E"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temática de la EFTP es abordada desde el Ministerio de Trabajo, Empleo y Seguridad Social que implementa acciones para la formación y capacitación de los trabajadores, para lograr empleo decente y competitividad de la economía argentina. En este marco, la Licenciatura se funda en la necesidad de jerarquizar la formación de docentes, directivos, gestores y funcionarios, desde una perspectiva de inclusión social. En esta primera cohorte, la licenciatura se enfocó en la formación de equipos de gestión (pieza clave para la implementación de políticas de EFTP), y capacitar profesionales que se puedan desarrollar idóneamente en el ámbito de la gestión de la EFTP. Existen ofertas dirigidas a formación de instructores focalizadas en un recorte del universo de los potenciales destinatarios de EFTP, quedando el ámbito de la gestión sin oferta sistemática.</w:t>
      </w:r>
    </w:p>
    <w:p w14:paraId="37E8D127"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En ese sentido, se considera que el egresado de la Licenciatura en EFTP deberá aprender a posicionarse con una mirada investigativa de las propias prácticas de desarrollos institucionales y de la enseñanza en el entorno de la comunidad educativa, reconociendo el rol de los diferentes actores sociales imbricados en el diseño de ofertas de EFTP de calidad.</w:t>
      </w:r>
    </w:p>
    <w:p w14:paraId="79AC994F"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El plan de estudios se presenta como una opción del desarrollo profesional habilitante para la producción de conocimientos localizados y fundados, la dirección y la orientación en torno a la producción de materiales digitales y audiovisuales, así como el uso cada vez más complejo de las nuevas herramientas de ese campo. Esta carrera surge en el marco de un desarrollo importante en UNIPE de formaciones virtuales. Esta situación marca un hito respecto de una acción de formación que redundará en beneficio del fortalecimiento de capacidad instalada en los departamentos, dado la formación de equipos técnicos.</w:t>
      </w:r>
    </w:p>
    <w:p w14:paraId="6D826B3A" w14:textId="77777777" w:rsidR="005825DC" w:rsidRDefault="00315F57">
      <w:pPr>
        <w:spacing w:before="240" w:after="120" w:line="240" w:lineRule="auto"/>
        <w:rPr>
          <w:rFonts w:ascii="Times New Roman" w:eastAsia="Times New Roman" w:hAnsi="Times New Roman" w:cs="Times New Roman"/>
        </w:rPr>
      </w:pPr>
      <w:r>
        <w:rPr>
          <w:rFonts w:ascii="Times New Roman" w:eastAsia="Times New Roman" w:hAnsi="Times New Roman" w:cs="Times New Roman"/>
          <w:b/>
          <w:bCs/>
        </w:rPr>
        <w:t>Características Generales de la Licenciatura</w:t>
      </w:r>
    </w:p>
    <w:p w14:paraId="3F586FE7"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“Licenciatura en Educación y Formación Técnica y Profesional, con orientación en gestión” se dirige a la:</w:t>
      </w:r>
    </w:p>
    <w:p w14:paraId="3EC9D70C"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Formación de profesionales en el campo de EFTP con especial énfasis en las tareas de gestión de sus instituciones, y la incorporación de tecnologías de enseñanza, desde una perspectiva teórica y metodológicamente actualizada.</w:t>
      </w:r>
    </w:p>
    <w:p w14:paraId="604BB0F0"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Investigación de la realidad del campo de la EFTP (nivel secundario, terciario y formación profesional) como así también a desarrollar revisiones y discusiones en relación con la pertinencia de las propuestas pedagógicas con incorporación de tecnologías de enseñanza;</w:t>
      </w:r>
    </w:p>
    <w:p w14:paraId="52CFCF43"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Promoción del desarrollo tecnológico y socio comunitario, y la transferencia del conocimiento entre los distintos sectores sociales de la comunidad, consolidando el vínculo entre la Universidad y la comunidad.</w:t>
      </w:r>
    </w:p>
    <w:p w14:paraId="094F22A6"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Licenciatura propone, entre otras competencias, formar a los futuros egresados para:</w:t>
      </w:r>
    </w:p>
    <w:p w14:paraId="3BF0DD99"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Dominar y hacer uso permanente de la producción de saberes específicos para la fundamentación de sus decisiones atinentes a los alcances de su tarea profesional;</w:t>
      </w:r>
    </w:p>
    <w:p w14:paraId="2271FF44"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Conocer y dominar en profundidad los diferentes desarrollos sobre la EFTP, como así también nuevas discusiones y problematizaciones que reconozcan la diversidad social y cultural nacional, subregional e internacional</w:t>
      </w:r>
    </w:p>
    <w:p w14:paraId="0A5A8E87"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Analizar, diseñar y desarrollar proyectos pedagógicos institucionales, dispositivos de acompañamiento de la inserción productiva, recursos para incorporar actores, materiales didácticos, propuestas de formación docente, didácticas y de evaluación para la enseñanza en la EFTP que permita sostener procesos de enseñanza y de aprendizaje duales (presenciales y virtuales),</w:t>
      </w:r>
    </w:p>
    <w:p w14:paraId="4F1A74B5"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Las inscripciones a la Licenciatura se realizaron en el marco de convenios de cooperación entre la UNIPE y distintas jurisdicciones. En la primera cohorte el perfil de los estudiantes estuvo compuesto, mayoritariamente (52%) por técnicos superiores y profesores de EFTP (40%) y un porcentaje mínimo de estudiantes con titulación universitaria (8%).</w:t>
      </w:r>
    </w:p>
    <w:p w14:paraId="44FC2F47"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estructura curricular de “Licenciatura en Educación y Formación Técnica y Profesional con orientación en gestión” está organizada en tres espacios formativos: 1.- Formación Especializada y Formación Especializada en Investigación; 2.- Formación General, y 3.- Formación Pedagógica. La Formación Especializada atiende a los problemas del área específica, mientras que la formación especializada en investigación </w:t>
      </w:r>
      <w:r>
        <w:rPr>
          <w:rFonts w:ascii="Times New Roman" w:eastAsia="Times New Roman" w:hAnsi="Times New Roman" w:cs="Times New Roman"/>
        </w:rPr>
        <w:lastRenderedPageBreak/>
        <w:t>recupera el trayecto formativo efectuado durante toda la carrera en la focalización del aprendizaje situado de los principios teóricos y metodológicos de la investigación pertinente al área. Ambos espacios curriculares se suponen e integran de manera coherente y complementaria. Dichos espacios se organizan internamente en Módulos y Talleres.</w:t>
      </w:r>
    </w:p>
    <w:p w14:paraId="19AE835F"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Los Módulos abordan la comprensión de los temas y los problemas relativos de educación técnica y profesional y a la gestión de sus instituciones, estos módulos aportan en teoría y práctica al proceso formativo desde su objeto de estudio. Asimismo, los Módulos que integran la Formación Especializada ofrecen aproximaciones según sus contenidos particulares a los modos de abordaje de los objetos de estudio que le son pertinentes, tanto en términos de marcos teóricos como metodológicos. En este sentido, los Módulos trabajan de manera articulada los géneros académicos como eje transversal fundamental para la formación docente universitaria.</w:t>
      </w:r>
    </w:p>
    <w:p w14:paraId="56F29F6A"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Dicho trabajo, se profundiza y focaliza en los Talleres que componen la Formación Especializada en Investigación respecto de los requerimientos específicos del análisis propio de la investigación orientada a la EFTP. Los Talleres despliegan contenidos que se plantean de manera relacional, de tal manera que el desarrollo de cada uno se sustenta parcialmente sobre el precedente. El Módulo relacionado a la elaboración de Trabajos Finales de Integración supone el asesoramiento constante de los/as estudiantes docentes para que culminen sus trabajos finales, mediante una modalidad colaborativa. Los Módulos y Talleres que integran la Formación Especialización y Formación Especializada en Investigación son nueve (seis de la formación especializada y tres talleres de la formación especializada en investigación). Se encuentran distribuidos a lo largo de los dos años y medio de la carrera y organizados a partir de problemas que articulan un eje temático: 1 La ETP en Argentina: problemas, debates, perspectiva comparada; 2. Políticas, planes, programas de formación para el trabajo; 3. Sujetos de la EFTP; 4. Diseño curricular para EFTP; 5. Gestión de programas, proyectos e instituciones de formación para el trabajo y 6. Sistemas productivos en Argentina</w:t>
      </w:r>
    </w:p>
    <w:p w14:paraId="34DA7F6C"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Los Talleres: se desarrollan contenidos específicos referidos a la elaboración de institucionales y didácticas para el área específica a través de una metodología de trabajo principalmente práctica. Los Talleres recuperan el trayecto formativo de la Formación Especializada en lo que respecta al diseño e implementación de dichas propuestas mediante su reflexión y análisis crítico. En ese sentido, se organizan en dos espacios curriculares complementarios: 1. Taller de propuestas institucionales; 2. Taller de producción de materiales digitales y los Talleres I, II y III de investigación y se complementa con el Módulo: Trabajo Final de Integración:</w:t>
      </w:r>
    </w:p>
    <w:p w14:paraId="3D572AE0"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modalidad de cursado fue virtual, con una duración total de 5 cuatrimestres. En términos generales las materias desarrollan un cronograma de encuentros sincrónicos quincenales, además del trabajo en foros y otros recursos multimedia.</w:t>
      </w:r>
    </w:p>
    <w:p w14:paraId="5414A8A4" w14:textId="77777777" w:rsidR="005825DC" w:rsidRDefault="00315F57">
      <w:pPr>
        <w:spacing w:before="240" w:after="120" w:line="240" w:lineRule="auto"/>
        <w:rPr>
          <w:rFonts w:ascii="Times New Roman" w:eastAsia="Times New Roman" w:hAnsi="Times New Roman" w:cs="Times New Roman"/>
        </w:rPr>
      </w:pPr>
      <w:r>
        <w:rPr>
          <w:rFonts w:ascii="Times New Roman" w:eastAsia="Times New Roman" w:hAnsi="Times New Roman" w:cs="Times New Roman"/>
          <w:b/>
          <w:bCs/>
        </w:rPr>
        <w:t>Estrategia didáctica: el Trabajo Final Integrador (TFI)</w:t>
      </w:r>
    </w:p>
    <w:p w14:paraId="3796908B"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taller TFI retoma el trayecto formativo de la Formación Especializada y Formación Especializada en Investigación en lo que respecta al diseño e implementación de </w:t>
      </w:r>
      <w:r>
        <w:rPr>
          <w:rFonts w:ascii="Times New Roman" w:eastAsia="Times New Roman" w:hAnsi="Times New Roman" w:cs="Times New Roman"/>
        </w:rPr>
        <w:lastRenderedPageBreak/>
        <w:t>propuestas de investigación (tres talleres de investigación) mediante la problematización, reflexión y análisis crítico. Recupera el trayecto formativo efectuado durante toda la carrera en la focalización del aprendizaje situado de los principios teóricos y metodológicos de la investigación pertinente al área. Se apoya la integración de las diferentes producciones que durante la carrera han realizado los alumnos. Supone el asesoramiento constante de los estudiantes docentes para que culminen sus trabajos finales, mediante una modalidad colaborativa con los directores a cargo de cada alumno/a. Se elabora en forma individual, la aprobación y defensa oral por Comisión Evaluadora, constituye el requisito de graduación de la Carrera.</w:t>
      </w:r>
    </w:p>
    <w:p w14:paraId="2633ECBB"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Los ejes de trabajo son: Producción del conocimiento en ciencias sociales, aproximaciones teórico- metodológicas: construcción del objeto de estudio. Delimitación de la problemática de EFTP. Revisión de lo producido en el campo de estudio en el que se referencia la problemática delimitada. Abordaje de la EFTP y sus dimensiones como campo de investigación. La práctica educativa como campo de estudio. Análisis de diferentes dispositivos de abordaje.</w:t>
      </w:r>
    </w:p>
    <w:p w14:paraId="310D794F"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El propósito del Trabajo Final Integrador se centra en que los y las estudiantes elaboren un producto que recoja el abordaje a las diversas situaciones complejas abordadas durante la cursada, de forma tal que sirva de evidencia de su aprendizaje. La propuesta de tareas integradoras constituye el medio fundamental a través del cual se puede organizar el proceso de formación y promover el desarrollo de las capacidades con un enfoque sistémico y complejo. Es así que para la elaboración del TFI se retomará y profundizará los desarrollos presentados en los talleres de investigación y además, integrar insumos de otros espacios curriculares.</w:t>
      </w:r>
    </w:p>
    <w:p w14:paraId="6CF38817"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De este modo, el TFI se presenta como una instancia de la producción de conocimiento científico, orientado al campo de la EFTP, el cual se centrará en la apropiación de herramientas metodológicas, técnicas e instrumentos de investigación desarrollados en torno a un proyecto específico. En este sentido, el objetivo general del Taller consistirá en asistir, orientar y dirigir a los cursantes para que elaboren un Trabajo Final Integrador (TFI) para ser presentado para su evaluación y aprobación. El TFI debe dar cuenta de un proceso de integración de los contenidos adquiridos y las competencias construidas, resultantes de las materias cursadas, en particular, los tres talleres de investigación y el taller de propuestas institucionales. El Trabajo Final Integrador consiste en la elaboración de un proyecto de mejoramiento de la gestión educativa. Este proyecto puede tener tres orientaciones, dependiendo del tipo de inserción profesional de los participantes en la gestión de la ETP:</w:t>
      </w:r>
    </w:p>
    <w:p w14:paraId="55B8C3A1"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Elaboración de una propuesta de innovación educativa</w:t>
      </w:r>
      <w:r>
        <w:rPr>
          <w:rFonts w:ascii="Times New Roman" w:eastAsia="Times New Roman" w:hAnsi="Times New Roman" w:cs="Times New Roman"/>
          <w:i/>
          <w:iCs/>
        </w:rPr>
        <w:t xml:space="preserve">: </w:t>
      </w:r>
      <w:r>
        <w:rPr>
          <w:rFonts w:ascii="Times New Roman" w:eastAsia="Times New Roman" w:hAnsi="Times New Roman" w:cs="Times New Roman"/>
        </w:rPr>
        <w:t>involucra el diseño de un proyecto de intervención concreta, incluyendo una fundamentación teórica, para lo cual se parte de un diagnóstico y justificación en relación con el ámbito en el que se propone su implementación. La innovación educativa constituye un aporte original al desarrollo de la práctica docente o de gestión académica para la EFTP.</w:t>
      </w:r>
    </w:p>
    <w:p w14:paraId="2C35D945"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Elaboración de un trabajo de sistematización de experiencias pedagógicas: remite a la tarea de reflexión conceptual, analítica y crítica de una experiencia, a partir de su ordenamiento y reconstrucción. Se trata de dar cuenta del proceso </w:t>
      </w:r>
      <w:r>
        <w:rPr>
          <w:rFonts w:ascii="Times New Roman" w:eastAsia="Times New Roman" w:hAnsi="Times New Roman" w:cs="Times New Roman"/>
        </w:rPr>
        <w:lastRenderedPageBreak/>
        <w:t>desarrollado, de los factores intervinientes, de la percepción de sus actores y de sus resultados.</w:t>
      </w:r>
    </w:p>
    <w:p w14:paraId="28DD077B" w14:textId="77777777" w:rsidR="005825DC" w:rsidRDefault="00315F57">
      <w:pPr>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Realización de una indagación exploratoria</w:t>
      </w:r>
      <w:r>
        <w:rPr>
          <w:rFonts w:ascii="Times New Roman" w:eastAsia="Times New Roman" w:hAnsi="Times New Roman" w:cs="Times New Roman"/>
          <w:i/>
          <w:iCs/>
        </w:rPr>
        <w:t xml:space="preserve">: </w:t>
      </w:r>
      <w:r>
        <w:rPr>
          <w:rFonts w:ascii="Times New Roman" w:eastAsia="Times New Roman" w:hAnsi="Times New Roman" w:cs="Times New Roman"/>
        </w:rPr>
        <w:t>supone la aproximación a una realidad específica con objetivos de relevamiento o de producción de conocimiento sobre la misma. Supone la definición de un problema de conocimiento y de una aproximación empírica a partir de la focalización de diversas unidades de análisis y estrategias de recolección de datos. Puede configurarse como estudio exploratorio de caso, estrategias etnográficas de trabajo de campo, diseños cuantitativos y cualitativos, estudios diagnósticos entre otros.</w:t>
      </w:r>
    </w:p>
    <w:p w14:paraId="4274C43D"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En la primera cohorte un 60% de los estudiantes desarrollaron TIF del tipo 3, siendo el tipo 1 y 2 de distribución similar. La actividad de orientación y el apoyo desde la coordinación superó la carga horaria asignada, dada la necesidad de generar espacios de apoyo permanente, con encuentros sincrónicos semanales. Este sistema de acompañamiento permanente resultó en beneficio de la entrega y aprobación de los TFI. Casi el 90% de los estudiantes entregaron su TFI al culminar el cuatrimestre, y un 60% estuvo en condiciones de defenderlo en Coloquio. Los restantes fueron presentándose en otras fechas, quedando pendientes sólo 4 casos para 2024, condicionados a la aprobación del total de las materias de la carrera, dado que el Coloquio es la instancia final. Cabe mencionar que la modalidad de cursada fue virtual, con una duración total de 5 cuatrimestres. En términos generales las materias desarrollan un cronograma de encuentros sincrónicos quincenales, además del trabajo en foros y otros recursos multimedia.</w:t>
      </w:r>
    </w:p>
    <w:p w14:paraId="149927BD"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i/>
          <w:iCs/>
        </w:rPr>
        <w:t>La modalidad de cursada virtual</w:t>
      </w:r>
    </w:p>
    <w:p w14:paraId="52962D64"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modalidad de cursada de la Tecnicatura fue de carácter híbrido, intercalando instancias de cursado intensivo con trabajo a distancia mediante la utilización del campus virtual de la Universidad, como apoyo al proceso formativo. Para el caso de la Licenciatura, la modalidad de cursada fue completamente virtual.</w:t>
      </w:r>
    </w:p>
    <w:p w14:paraId="665823DA"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El Entorno Virtual de Aprendizaje o Campus Virtual es un espacio creado con el fin de que profesores y estudiantes tengan el lugar de encuentro para el desarrollo del cursado de la carrera, mediante la utilización de distintas herramientas, las actividades de enseñanza y de aprendizaje. Algunas características específicas del Campus Virtual de la UNIPE son: la posibilidad del acceso remoto a profesores y estudiantes en cualquier momento y desde cualquier lugar conectado a Internet, la presentación de la información en formato multimedia (hipertextos, gráficos, animaciones, audio y video); la posibilidad de acceso a recursos e información disponible en Internet, a través de enlaces o a través del propio entorno del campus.</w:t>
      </w:r>
    </w:p>
    <w:p w14:paraId="5E6449D2"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La plataforma virtual de aprendizaje implicó nuevos desafíos tanto para los docentes como para los estudiantes. Si bien cada materia contó con su soporte virtual, en algunos casos la plataforma solamente se constituyó como un archivo o reservorio de información (</w:t>
      </w:r>
      <w:proofErr w:type="spellStart"/>
      <w:r>
        <w:rPr>
          <w:rFonts w:ascii="Times New Roman" w:eastAsia="Times New Roman" w:hAnsi="Times New Roman" w:cs="Times New Roman"/>
        </w:rPr>
        <w:t>Briasco</w:t>
      </w:r>
      <w:proofErr w:type="spellEnd"/>
      <w:r>
        <w:rPr>
          <w:rFonts w:ascii="Times New Roman" w:eastAsia="Times New Roman" w:hAnsi="Times New Roman" w:cs="Times New Roman"/>
        </w:rPr>
        <w:t xml:space="preserve">, 2024). En otros, se convirtieron en verdaderos espacios de intercambio, que </w:t>
      </w:r>
      <w:r>
        <w:rPr>
          <w:rFonts w:ascii="Times New Roman" w:eastAsia="Times New Roman" w:hAnsi="Times New Roman" w:cs="Times New Roman"/>
        </w:rPr>
        <w:lastRenderedPageBreak/>
        <w:t>incluyeron materiales de consulta en diversos formatos y que ofrecieron a los estudiantes una modalidad diferente de aproximación al conocimiento.</w:t>
      </w:r>
    </w:p>
    <w:p w14:paraId="4870DF25"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Desde el punto de vista de la trayectoria que fueron realizando los estudiantes de la Tecnicatura –de cursada híbrido- y de la Licenciatura –de cursada virtual- fue posible observar el progreso y los notorios avances alcanzados a lo largo del período de la cursada, en los niveles de apropiación de las múltiples herramientas tecnológicas y de comunicación, como así también en las competencias relativas al manejo de información relevante para su disciplina. En particular, en la Licenciatura, se destaca la construcción de una mirada desde la investigación-acción y la aplicabilidad de los proyectos propuestos por los estudiantes.</w:t>
      </w:r>
    </w:p>
    <w:p w14:paraId="2D2D70D3" w14:textId="0947CCB4"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Como ha sido señalado por </w:t>
      </w:r>
      <w:proofErr w:type="spellStart"/>
      <w:r>
        <w:rPr>
          <w:rFonts w:ascii="Times New Roman" w:eastAsia="Times New Roman" w:hAnsi="Times New Roman" w:cs="Times New Roman"/>
        </w:rPr>
        <w:t>Briasco</w:t>
      </w:r>
      <w:proofErr w:type="spellEnd"/>
      <w:r>
        <w:rPr>
          <w:rFonts w:ascii="Times New Roman" w:eastAsia="Times New Roman" w:hAnsi="Times New Roman" w:cs="Times New Roman"/>
        </w:rPr>
        <w:t xml:space="preserve"> (2024), la dinámica e interacción lograda al interior de los grupos fue un factor clave que permitió el diálogo constructivo y la cooperación. Con un fuerte apoyo por parte de los docentes, se promovieron actitudes que apuntaron a fortalecer el trabajo colaborativo en equipos, distribuyendo actividades y responsabilidades basadas en las fortalezas y habilidades personales de cada uno de los estudiantes. Asimismo, las condiciones institucionales favorables dieron marco a ambas experiencias y de los buenos resultados obtenidos, en cuanto a una mejor utilización de la tecnología en el proceso de aprendizaje (</w:t>
      </w:r>
      <w:proofErr w:type="spellStart"/>
      <w:r>
        <w:rPr>
          <w:rFonts w:ascii="Times New Roman" w:eastAsia="Times New Roman" w:hAnsi="Times New Roman" w:cs="Times New Roman"/>
        </w:rPr>
        <w:t>Briasco</w:t>
      </w:r>
      <w:proofErr w:type="spellEnd"/>
      <w:r>
        <w:rPr>
          <w:rFonts w:ascii="Times New Roman" w:eastAsia="Times New Roman" w:hAnsi="Times New Roman" w:cs="Times New Roman"/>
        </w:rPr>
        <w:t xml:space="preserve">, 2024). Tanto el acompañamiento permanente por parte de los </w:t>
      </w:r>
      <w:r w:rsidR="00004E2F">
        <w:rPr>
          <w:rFonts w:ascii="Times New Roman" w:eastAsia="Times New Roman" w:hAnsi="Times New Roman" w:cs="Times New Roman"/>
        </w:rPr>
        <w:t>docentes,</w:t>
      </w:r>
      <w:r>
        <w:rPr>
          <w:rFonts w:ascii="Times New Roman" w:eastAsia="Times New Roman" w:hAnsi="Times New Roman" w:cs="Times New Roman"/>
        </w:rPr>
        <w:t xml:space="preserve"> así como también los ejemplos y materiales con formato multimedia, fueron elementos de suma importancia en el aprovechamiento de los recursos disponibles en la plataforma.</w:t>
      </w:r>
    </w:p>
    <w:p w14:paraId="434E1516" w14:textId="77777777" w:rsidR="005825DC" w:rsidRDefault="005825DC">
      <w:pPr>
        <w:spacing w:line="240" w:lineRule="auto"/>
        <w:jc w:val="both"/>
        <w:rPr>
          <w:rFonts w:ascii="Times New Roman" w:eastAsia="Times New Roman" w:hAnsi="Times New Roman" w:cs="Times New Roman"/>
        </w:rPr>
      </w:pPr>
    </w:p>
    <w:p w14:paraId="258BBCF1" w14:textId="77777777" w:rsidR="005825DC" w:rsidRDefault="00315F57">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w:t>
      </w:r>
    </w:p>
    <w:p w14:paraId="7CDC3C1E"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En Argentina es a partir de los desarrollos de UNIPE donde se registra una formación específica –para personal docente de ETP- en el nivel superior. Debe destacarse que no existe una oferta similar, en el nivel de enseñanza superior de Universidades Nacionales. Es así pues que, atendiendo a este déficit, se inició la formación de grado Licenciatura en Educación y Formación Técnica y Profesional con Orientación en Gestión, mediante el desarrollo del Ciclo de Complementación Curricular respectivo.</w:t>
      </w:r>
    </w:p>
    <w:p w14:paraId="27FB518C"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Asimismo, es relevante la incorporación de la oferta formativa de la Tecnicatura Superior de ETP al proyecto de la Escuela Universitaria de FP de la UNIPE, favoreciendo la capacidad de gestión en territorio, acompañando al fortalecimiento de la capacidad de gestión de los equipos directivos, con docentes formados capaces de adoptar todas las herramientas a su alcance para una enseñanza más inmersa en la realidad de los trabajadores y trabajadoras del territorio.</w:t>
      </w:r>
    </w:p>
    <w:p w14:paraId="6F742B11"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ese sentido, UNIPE basa su proyecto institucional en la convicción de que la Educación Superior es un bien público social, un derecho humano y universal y un deber del Estado, principio refrendado por las universidades de la región en la Conferencia Regional de Educación Superior en América Latina y el Caribe, 2008. Desde su creación, en UNIPE se han desarrollado diferentes líneas de acción con relación a la Educación Técnica Profesional, que han funcionado como insumo para la elaboración del presente diseño. En este marco se diseñaron e implementaron ambos dispositivos, los cuales </w:t>
      </w:r>
      <w:r>
        <w:rPr>
          <w:rFonts w:ascii="Times New Roman" w:eastAsia="Times New Roman" w:hAnsi="Times New Roman" w:cs="Times New Roman"/>
        </w:rPr>
        <w:lastRenderedPageBreak/>
        <w:t>conformaron una opción de formación para profesionales que se desempeñan en el campo de la Educación Técnico Profesional, la Educación Agraria, la Educación Técnica o la Formación Profesional, sentando las bases de una oferta de grado.</w:t>
      </w:r>
    </w:p>
    <w:p w14:paraId="56A528C1"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Por último y a modo de prospectiva , esperamos profundizar el desarrollo de esta investigación dando curso al proyecto en marcha: Los dispositivos para formación docente en Educación y Formación Técnica y Profesional (EFTP) en Argentina: aportes desde la experiencia en UNIPE, período 2010-2014 y 2020-2024 a partir de la realización de entrevistas en profundidad que recuperen las diversas voces de estudiantes, docentes y coordinadores de ambas carreras que enriquecerán el análisis de esta experiencia.</w:t>
      </w:r>
    </w:p>
    <w:p w14:paraId="19195E70" w14:textId="77777777" w:rsidR="005825DC" w:rsidRDefault="005825DC">
      <w:pPr>
        <w:spacing w:line="240" w:lineRule="auto"/>
        <w:jc w:val="both"/>
        <w:rPr>
          <w:rFonts w:ascii="Times New Roman" w:eastAsia="Times New Roman" w:hAnsi="Times New Roman" w:cs="Times New Roman"/>
        </w:rPr>
      </w:pPr>
    </w:p>
    <w:p w14:paraId="7D48BEDB" w14:textId="77777777" w:rsidR="005825DC" w:rsidRDefault="00315F57">
      <w:pPr>
        <w:spacing w:line="240" w:lineRule="auto"/>
        <w:rPr>
          <w:rFonts w:ascii="Times New Roman" w:eastAsia="Times New Roman" w:hAnsi="Times New Roman" w:cs="Times New Roman"/>
          <w:b/>
          <w:bCs/>
        </w:rPr>
      </w:pPr>
      <w:r>
        <w:rPr>
          <w:rFonts w:ascii="Times New Roman" w:eastAsia="Times New Roman" w:hAnsi="Times New Roman" w:cs="Times New Roman"/>
          <w:b/>
          <w:bCs/>
        </w:rPr>
        <w:t>Referencias Bibliográficas (APA 7)</w:t>
      </w:r>
    </w:p>
    <w:p w14:paraId="6ACEE565"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Agamben, G. (2011). ¿Qué es un dispositivo? </w:t>
      </w:r>
      <w:r>
        <w:rPr>
          <w:rFonts w:ascii="Times New Roman" w:eastAsia="Times New Roman" w:hAnsi="Times New Roman" w:cs="Times New Roman"/>
          <w:i/>
          <w:iCs/>
        </w:rPr>
        <w:t>Sociológica</w:t>
      </w:r>
      <w:r>
        <w:rPr>
          <w:rFonts w:ascii="Times New Roman" w:eastAsia="Times New Roman" w:hAnsi="Times New Roman" w:cs="Times New Roman"/>
        </w:rPr>
        <w:t xml:space="preserve">, </w:t>
      </w:r>
      <w:r>
        <w:rPr>
          <w:rFonts w:ascii="Times New Roman" w:eastAsia="Times New Roman" w:hAnsi="Times New Roman" w:cs="Times New Roman"/>
          <w:i/>
          <w:iCs/>
        </w:rPr>
        <w:t>26</w:t>
      </w:r>
      <w:r>
        <w:rPr>
          <w:rFonts w:ascii="Times New Roman" w:eastAsia="Times New Roman" w:hAnsi="Times New Roman" w:cs="Times New Roman"/>
        </w:rPr>
        <w:t>(73), 249–264.</w:t>
      </w:r>
    </w:p>
    <w:p w14:paraId="1E434E0D" w14:textId="4DC2BB59"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Alfredo, M.; Miranda, A. y </w:t>
      </w:r>
      <w:proofErr w:type="spellStart"/>
      <w:r>
        <w:rPr>
          <w:rFonts w:ascii="Times New Roman" w:eastAsia="Times New Roman" w:hAnsi="Times New Roman" w:cs="Times New Roman"/>
        </w:rPr>
        <w:t>Zelarrayan</w:t>
      </w:r>
      <w:proofErr w:type="spellEnd"/>
      <w:r>
        <w:rPr>
          <w:rFonts w:ascii="Times New Roman" w:eastAsia="Times New Roman" w:hAnsi="Times New Roman" w:cs="Times New Roman"/>
        </w:rPr>
        <w:t xml:space="preserve">, J. (2021) </w:t>
      </w:r>
      <w:r>
        <w:rPr>
          <w:rFonts w:ascii="Times New Roman" w:eastAsia="Times New Roman" w:hAnsi="Times New Roman" w:cs="Times New Roman"/>
          <w:i/>
          <w:iCs/>
        </w:rPr>
        <w:t>La situación educativo-laboral de las juventudes: América Latina y Argentina</w:t>
      </w:r>
      <w:r>
        <w:rPr>
          <w:rFonts w:ascii="Times New Roman" w:eastAsia="Times New Roman" w:hAnsi="Times New Roman" w:cs="Times New Roman"/>
        </w:rPr>
        <w:t xml:space="preserve">. Documento de trabajo </w:t>
      </w:r>
      <w:proofErr w:type="spellStart"/>
      <w:r>
        <w:rPr>
          <w:rFonts w:ascii="Times New Roman" w:eastAsia="Times New Roman" w:hAnsi="Times New Roman" w:cs="Times New Roman"/>
        </w:rPr>
        <w:t>n°</w:t>
      </w:r>
      <w:proofErr w:type="spellEnd"/>
      <w:r>
        <w:rPr>
          <w:rFonts w:ascii="Times New Roman" w:eastAsia="Times New Roman" w:hAnsi="Times New Roman" w:cs="Times New Roman"/>
        </w:rPr>
        <w:t xml:space="preserve"> 5. Ciudad Autónoma de Buenos Aires: Facultad Latinoamericana de Ciencias Sociales (FLACSO). Disponible: </w:t>
      </w:r>
      <w:hyperlink r:id="rId8" w:history="1">
        <w:r w:rsidR="00870ABC" w:rsidRPr="00510204">
          <w:rPr>
            <w:rStyle w:val="Hipervnculo"/>
            <w:rFonts w:ascii="Times New Roman" w:eastAsia="Times New Roman" w:hAnsi="Times New Roman" w:cs="Times New Roman"/>
          </w:rPr>
          <w:t>https://www.flacso.org.ar/publicaciones/la-situacion-educativo-laboral-de-las-juventudes-america-latina-y-argentina/</w:t>
        </w:r>
      </w:hyperlink>
    </w:p>
    <w:p w14:paraId="29F90EDB" w14:textId="549FEB26" w:rsidR="00870ABC" w:rsidRDefault="00870ABC">
      <w:pPr>
        <w:spacing w:after="120" w:line="240" w:lineRule="auto"/>
        <w:jc w:val="both"/>
        <w:rPr>
          <w:rFonts w:ascii="Times New Roman" w:eastAsia="Times New Roman" w:hAnsi="Times New Roman" w:cs="Times New Roman"/>
        </w:rPr>
      </w:pPr>
      <w:r w:rsidRPr="00C70B48">
        <w:rPr>
          <w:rFonts w:ascii="Times New Roman" w:eastAsia="Times New Roman" w:hAnsi="Times New Roman" w:cs="Times New Roman"/>
        </w:rPr>
        <w:t>Armentano, Y., y otros. (2023). Programa Universitario de Escuelas de Educación Profesional: fortalecimiento de la educación profesional en las universidades argentinas. Secretaría de Políticas Universitarias</w:t>
      </w:r>
      <w:r w:rsidRPr="00C70B48">
        <w:rPr>
          <w:rFonts w:ascii="Times New Roman" w:eastAsia="Times New Roman" w:hAnsi="Times New Roman" w:cs="Times New Roman"/>
          <w:i/>
          <w:iCs/>
          <w:lang w:val="es-AR"/>
        </w:rPr>
        <w:t xml:space="preserve"> / OIT-</w:t>
      </w:r>
      <w:proofErr w:type="spellStart"/>
      <w:r w:rsidRPr="00C70B48">
        <w:rPr>
          <w:rFonts w:ascii="Times New Roman" w:eastAsia="Times New Roman" w:hAnsi="Times New Roman" w:cs="Times New Roman"/>
          <w:i/>
          <w:iCs/>
          <w:lang w:val="es-AR"/>
        </w:rPr>
        <w:t>Cinterfor</w:t>
      </w:r>
      <w:proofErr w:type="spellEnd"/>
      <w:r w:rsidRPr="00C70B48">
        <w:rPr>
          <w:rFonts w:ascii="Times New Roman" w:eastAsia="Times New Roman" w:hAnsi="Times New Roman" w:cs="Times New Roman"/>
          <w:i/>
          <w:iCs/>
          <w:lang w:val="es-AR"/>
        </w:rPr>
        <w:t xml:space="preserve">. </w:t>
      </w:r>
      <w:hyperlink r:id="rId9" w:history="1">
        <w:r w:rsidRPr="00C70B48">
          <w:rPr>
            <w:rStyle w:val="Hipervnculo"/>
            <w:rFonts w:ascii="Times New Roman" w:eastAsia="Times New Roman" w:hAnsi="Times New Roman" w:cs="Times New Roman"/>
            <w:i/>
            <w:iCs/>
            <w:lang w:val="es-AR"/>
          </w:rPr>
          <w:t>https://www.oitcinterfor.org/programa-universitario-escuelas-educaci%C3%B3n-profesional-fortalecimiento-educaci%C3%B3n-profesional-0</w:t>
        </w:r>
      </w:hyperlink>
    </w:p>
    <w:p w14:paraId="17161407" w14:textId="77777777" w:rsidR="005825DC" w:rsidRDefault="00315F57">
      <w:pPr>
        <w:spacing w:after="12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Briasco</w:t>
      </w:r>
      <w:proofErr w:type="spellEnd"/>
      <w:r>
        <w:rPr>
          <w:rFonts w:ascii="Times New Roman" w:eastAsia="Times New Roman" w:hAnsi="Times New Roman" w:cs="Times New Roman"/>
        </w:rPr>
        <w:t>, I. (2024). La formación docente en Educación y Formación Técnica y Profesional: aportes desde la formación virtual. </w:t>
      </w:r>
      <w:r>
        <w:rPr>
          <w:rFonts w:ascii="Times New Roman" w:eastAsia="Times New Roman" w:hAnsi="Times New Roman" w:cs="Times New Roman"/>
          <w:i/>
          <w:iCs/>
        </w:rPr>
        <w:t>AULA PYAHU - Revista De Formación Docente Y Enseñanza</w:t>
      </w:r>
      <w:r>
        <w:rPr>
          <w:rFonts w:ascii="Times New Roman" w:eastAsia="Times New Roman" w:hAnsi="Times New Roman" w:cs="Times New Roman"/>
        </w:rPr>
        <w:t>, </w:t>
      </w:r>
      <w:r>
        <w:rPr>
          <w:rFonts w:ascii="Times New Roman" w:eastAsia="Times New Roman" w:hAnsi="Times New Roman" w:cs="Times New Roman"/>
          <w:i/>
          <w:iCs/>
        </w:rPr>
        <w:t>2</w:t>
      </w:r>
      <w:r>
        <w:rPr>
          <w:rFonts w:ascii="Times New Roman" w:eastAsia="Times New Roman" w:hAnsi="Times New Roman" w:cs="Times New Roman"/>
        </w:rPr>
        <w:t>(3), 116–130. https://revistascientificas.una.py/index.php/rap/article/view/4461</w:t>
      </w:r>
    </w:p>
    <w:p w14:paraId="450B1913" w14:textId="77777777" w:rsidR="005825DC" w:rsidRDefault="00315F57">
      <w:pPr>
        <w:spacing w:after="12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Briasco</w:t>
      </w:r>
      <w:proofErr w:type="spellEnd"/>
      <w:r>
        <w:rPr>
          <w:rFonts w:ascii="Times New Roman" w:eastAsia="Times New Roman" w:hAnsi="Times New Roman" w:cs="Times New Roman"/>
        </w:rPr>
        <w:t xml:space="preserve">, I., Gandara, G., &amp; Scardino, M. (2013). </w:t>
      </w:r>
      <w:r>
        <w:rPr>
          <w:rFonts w:ascii="Times New Roman" w:eastAsia="Times New Roman" w:hAnsi="Times New Roman" w:cs="Times New Roman"/>
          <w:i/>
          <w:iCs/>
        </w:rPr>
        <w:t xml:space="preserve">Virtualización de la educación superior: el campus virtual como soporte de la formación. </w:t>
      </w:r>
      <w:r>
        <w:rPr>
          <w:rFonts w:ascii="Times New Roman" w:eastAsia="Times New Roman" w:hAnsi="Times New Roman" w:cs="Times New Roman"/>
        </w:rPr>
        <w:t>XIII Coloquio de Gestión Universitaria en América del Sur “. UTN. UFSC. Argentina. https://repositorio.ufsc.br/bitstream/handle/123456789/116143/91.pdf?sequence=1&amp;isAllowed=y</w:t>
      </w:r>
    </w:p>
    <w:p w14:paraId="55CDC126" w14:textId="77777777" w:rsidR="005825DC" w:rsidRDefault="00315F57">
      <w:pPr>
        <w:spacing w:after="12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Briasco</w:t>
      </w:r>
      <w:proofErr w:type="spellEnd"/>
      <w:r>
        <w:rPr>
          <w:rFonts w:ascii="Times New Roman" w:eastAsia="Times New Roman" w:hAnsi="Times New Roman" w:cs="Times New Roman"/>
        </w:rPr>
        <w:t xml:space="preserve">, I. </w:t>
      </w:r>
      <w:proofErr w:type="spellStart"/>
      <w:r>
        <w:rPr>
          <w:rFonts w:ascii="Times New Roman" w:eastAsia="Times New Roman" w:hAnsi="Times New Roman" w:cs="Times New Roman"/>
        </w:rPr>
        <w:t>Carcar</w:t>
      </w:r>
      <w:proofErr w:type="spellEnd"/>
      <w:r>
        <w:rPr>
          <w:rFonts w:ascii="Times New Roman" w:eastAsia="Times New Roman" w:hAnsi="Times New Roman" w:cs="Times New Roman"/>
        </w:rPr>
        <w:t xml:space="preserve"> F., Scardino, M. y Coppola, N. (2011) ‘</w:t>
      </w:r>
      <w:r>
        <w:rPr>
          <w:rFonts w:ascii="Times New Roman" w:eastAsia="Times New Roman" w:hAnsi="Times New Roman" w:cs="Times New Roman"/>
          <w:i/>
          <w:iCs/>
        </w:rPr>
        <w:t>Caracterización de perfiles de conducción de</w:t>
      </w:r>
      <w:r>
        <w:rPr>
          <w:rFonts w:ascii="Times New Roman" w:eastAsia="Times New Roman" w:hAnsi="Times New Roman" w:cs="Times New Roman"/>
        </w:rPr>
        <w:t xml:space="preserve"> </w:t>
      </w:r>
      <w:r>
        <w:rPr>
          <w:rFonts w:ascii="Times New Roman" w:eastAsia="Times New Roman" w:hAnsi="Times New Roman" w:cs="Times New Roman"/>
          <w:i/>
          <w:iCs/>
        </w:rPr>
        <w:t>ETP</w:t>
      </w:r>
      <w:r>
        <w:rPr>
          <w:rFonts w:ascii="Times New Roman" w:eastAsia="Times New Roman" w:hAnsi="Times New Roman" w:cs="Times New Roman"/>
        </w:rPr>
        <w:t xml:space="preserve"> </w:t>
      </w:r>
      <w:r>
        <w:rPr>
          <w:rFonts w:ascii="Times New Roman" w:eastAsia="Times New Roman" w:hAnsi="Times New Roman" w:cs="Times New Roman"/>
          <w:i/>
          <w:iCs/>
        </w:rPr>
        <w:t>de</w:t>
      </w:r>
      <w:r>
        <w:rPr>
          <w:rFonts w:ascii="Times New Roman" w:eastAsia="Times New Roman" w:hAnsi="Times New Roman" w:cs="Times New Roman"/>
        </w:rPr>
        <w:t xml:space="preserve"> </w:t>
      </w:r>
      <w:r>
        <w:rPr>
          <w:rFonts w:ascii="Times New Roman" w:eastAsia="Times New Roman" w:hAnsi="Times New Roman" w:cs="Times New Roman"/>
          <w:i/>
          <w:iCs/>
        </w:rPr>
        <w:t>la</w:t>
      </w:r>
      <w:r>
        <w:rPr>
          <w:rFonts w:ascii="Times New Roman" w:eastAsia="Times New Roman" w:hAnsi="Times New Roman" w:cs="Times New Roman"/>
        </w:rPr>
        <w:t xml:space="preserve"> </w:t>
      </w:r>
      <w:r>
        <w:rPr>
          <w:rFonts w:ascii="Times New Roman" w:eastAsia="Times New Roman" w:hAnsi="Times New Roman" w:cs="Times New Roman"/>
          <w:i/>
          <w:iCs/>
        </w:rPr>
        <w:t>Provincia</w:t>
      </w:r>
      <w:r>
        <w:rPr>
          <w:rFonts w:ascii="Times New Roman" w:eastAsia="Times New Roman" w:hAnsi="Times New Roman" w:cs="Times New Roman"/>
        </w:rPr>
        <w:t xml:space="preserve"> </w:t>
      </w:r>
      <w:r>
        <w:rPr>
          <w:rFonts w:ascii="Times New Roman" w:eastAsia="Times New Roman" w:hAnsi="Times New Roman" w:cs="Times New Roman"/>
          <w:i/>
          <w:iCs/>
        </w:rPr>
        <w:t>de</w:t>
      </w:r>
      <w:r>
        <w:rPr>
          <w:rFonts w:ascii="Times New Roman" w:eastAsia="Times New Roman" w:hAnsi="Times New Roman" w:cs="Times New Roman"/>
        </w:rPr>
        <w:t xml:space="preserve"> </w:t>
      </w:r>
      <w:r>
        <w:rPr>
          <w:rFonts w:ascii="Times New Roman" w:eastAsia="Times New Roman" w:hAnsi="Times New Roman" w:cs="Times New Roman"/>
          <w:i/>
          <w:iCs/>
        </w:rPr>
        <w:t>Buenos</w:t>
      </w:r>
      <w:r>
        <w:rPr>
          <w:rFonts w:ascii="Times New Roman" w:eastAsia="Times New Roman" w:hAnsi="Times New Roman" w:cs="Times New Roman"/>
        </w:rPr>
        <w:t xml:space="preserve"> </w:t>
      </w:r>
      <w:r>
        <w:rPr>
          <w:rFonts w:ascii="Times New Roman" w:eastAsia="Times New Roman" w:hAnsi="Times New Roman" w:cs="Times New Roman"/>
          <w:i/>
          <w:iCs/>
        </w:rPr>
        <w:t>Aires.’</w:t>
      </w:r>
      <w:r>
        <w:rPr>
          <w:rFonts w:ascii="Times New Roman" w:eastAsia="Times New Roman" w:hAnsi="Times New Roman" w:cs="Times New Roman"/>
        </w:rPr>
        <w:t xml:space="preserve"> UNIPE. Disponibles: https://unipe.edu.ar/images/phocadownload/investigacion/2009-2010/Proyecto5.pdf</w:t>
      </w:r>
    </w:p>
    <w:p w14:paraId="5177A113" w14:textId="77777777" w:rsidR="005825DC" w:rsidRDefault="00315F57">
      <w:pPr>
        <w:spacing w:after="12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Briasco</w:t>
      </w:r>
      <w:proofErr w:type="spellEnd"/>
      <w:r>
        <w:rPr>
          <w:rFonts w:ascii="Times New Roman" w:eastAsia="Times New Roman" w:hAnsi="Times New Roman" w:cs="Times New Roman"/>
        </w:rPr>
        <w:t xml:space="preserve">, I y otros. (2020) </w:t>
      </w:r>
      <w:r>
        <w:rPr>
          <w:rFonts w:ascii="Times New Roman" w:eastAsia="Times New Roman" w:hAnsi="Times New Roman" w:cs="Times New Roman"/>
          <w:i/>
          <w:iCs/>
        </w:rPr>
        <w:t xml:space="preserve">“La educación y el trabajo ante la emergencia del covid-19. Una mirada de la educación técnico-profesional”. </w:t>
      </w:r>
      <w:r>
        <w:rPr>
          <w:rFonts w:ascii="Times New Roman" w:eastAsia="Times New Roman" w:hAnsi="Times New Roman" w:cs="Times New Roman"/>
        </w:rPr>
        <w:t>En Dussel, I, Ferrante, P y Pulfer, D (</w:t>
      </w:r>
      <w:proofErr w:type="spellStart"/>
      <w:r>
        <w:rPr>
          <w:rFonts w:ascii="Times New Roman" w:eastAsia="Times New Roman" w:hAnsi="Times New Roman" w:cs="Times New Roman"/>
        </w:rPr>
        <w:t>comp</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Pensar la educación en tiempos de pandemia II Experiencias y problemáticas en Iberoamérica</w:t>
      </w:r>
      <w:r>
        <w:rPr>
          <w:rFonts w:ascii="Times New Roman" w:eastAsia="Times New Roman" w:hAnsi="Times New Roman" w:cs="Times New Roman"/>
        </w:rPr>
        <w:t>. Ciudad Autónoma de Buenos Aires: UNIPE: Editorial Universitaria: CLACSO. Disponible en: https://editorial.unipe.edu.ar/colecciones/politicas-</w:t>
      </w:r>
      <w:r>
        <w:rPr>
          <w:rFonts w:ascii="Times New Roman" w:eastAsia="Times New Roman" w:hAnsi="Times New Roman" w:cs="Times New Roman"/>
        </w:rPr>
        <w:lastRenderedPageBreak/>
        <w:t>educativas/pensar-la-educaci%C3%B3n-en-tiempos-de-pandemia-ii-experiencias-y-problem%C3%A1ticas-en-iberoam%C3%A9rica-detail</w:t>
      </w:r>
    </w:p>
    <w:p w14:paraId="756B40AC"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Corica, A y otros (2022) “El abandono escolar en la escuela secundaria: un estudio sobre vinculaciones, desvinculaciones y </w:t>
      </w:r>
      <w:proofErr w:type="spellStart"/>
      <w:r>
        <w:rPr>
          <w:rFonts w:ascii="Times New Roman" w:eastAsia="Times New Roman" w:hAnsi="Times New Roman" w:cs="Times New Roman"/>
        </w:rPr>
        <w:t>revinculaciones</w:t>
      </w:r>
      <w:proofErr w:type="spellEnd"/>
      <w:r>
        <w:rPr>
          <w:rFonts w:ascii="Times New Roman" w:eastAsia="Times New Roman" w:hAnsi="Times New Roman" w:cs="Times New Roman"/>
        </w:rPr>
        <w:t xml:space="preserve"> escolares”. </w:t>
      </w:r>
      <w:r>
        <w:rPr>
          <w:rFonts w:ascii="Times New Roman" w:eastAsia="Times New Roman" w:hAnsi="Times New Roman" w:cs="Times New Roman"/>
          <w:i/>
          <w:iCs/>
        </w:rPr>
        <w:t>Segundo Congreso Internacional de Ciencias Humanas “Actualidad de lo clásico y saberes en disputa de cara a la sociedad digital"</w:t>
      </w:r>
      <w:r>
        <w:rPr>
          <w:rFonts w:ascii="Times New Roman" w:eastAsia="Times New Roman" w:hAnsi="Times New Roman" w:cs="Times New Roman"/>
        </w:rPr>
        <w:t>. Escuela de Humanidades, Universidad Nacional de San Martín, Argentina. Disponible en: https://www.aacademica.org/2.congreso.internacional.de.ciencias.humanas/10</w:t>
      </w:r>
    </w:p>
    <w:p w14:paraId="2E9D0078"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Díaz Barriga, F. (2003). Cognición situada y estrategias para el aprendizaje significativo. </w:t>
      </w:r>
      <w:r>
        <w:rPr>
          <w:rFonts w:ascii="Times New Roman" w:eastAsia="Times New Roman" w:hAnsi="Times New Roman" w:cs="Times New Roman"/>
          <w:i/>
          <w:iCs/>
        </w:rPr>
        <w:t>Revista Electrónica de Investigación Educativa</w:t>
      </w:r>
      <w:r>
        <w:rPr>
          <w:rFonts w:ascii="Times New Roman" w:eastAsia="Times New Roman" w:hAnsi="Times New Roman" w:cs="Times New Roman"/>
        </w:rPr>
        <w:t xml:space="preserve">, </w:t>
      </w:r>
      <w:r>
        <w:rPr>
          <w:rFonts w:ascii="Times New Roman" w:eastAsia="Times New Roman" w:hAnsi="Times New Roman" w:cs="Times New Roman"/>
          <w:i/>
          <w:iCs/>
        </w:rPr>
        <w:t>5</w:t>
      </w:r>
      <w:r>
        <w:rPr>
          <w:rFonts w:ascii="Times New Roman" w:eastAsia="Times New Roman" w:hAnsi="Times New Roman" w:cs="Times New Roman"/>
        </w:rPr>
        <w:t>(2), 1–13.</w:t>
      </w:r>
    </w:p>
    <w:p w14:paraId="5827CA58"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Lave, J., &amp; Wenger, E. (1991). </w:t>
      </w:r>
      <w:proofErr w:type="spellStart"/>
      <w:r>
        <w:rPr>
          <w:rFonts w:ascii="Times New Roman" w:eastAsia="Times New Roman" w:hAnsi="Times New Roman" w:cs="Times New Roman"/>
          <w:i/>
          <w:iCs/>
        </w:rPr>
        <w:t>Situated</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learning</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Legitimate</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peripheral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participation</w:t>
      </w:r>
      <w:proofErr w:type="spellEnd"/>
      <w:r>
        <w:rPr>
          <w:rFonts w:ascii="Times New Roman" w:eastAsia="Times New Roman" w:hAnsi="Times New Roman" w:cs="Times New Roman"/>
        </w:rPr>
        <w:t>. Cambridge University Press.</w:t>
      </w:r>
    </w:p>
    <w:p w14:paraId="13683285" w14:textId="77777777" w:rsidR="00870ABC" w:rsidRPr="00C70B48" w:rsidRDefault="00870ABC" w:rsidP="00870ABC">
      <w:pPr>
        <w:spacing w:after="120" w:line="240" w:lineRule="auto"/>
        <w:jc w:val="both"/>
        <w:rPr>
          <w:rFonts w:ascii="Times New Roman" w:eastAsia="Times New Roman" w:hAnsi="Times New Roman" w:cs="Times New Roman"/>
          <w:i/>
          <w:iCs/>
          <w:lang w:val="es-AR"/>
        </w:rPr>
      </w:pPr>
      <w:r w:rsidRPr="00C70B48">
        <w:rPr>
          <w:rFonts w:ascii="Times New Roman" w:eastAsia="Times New Roman" w:hAnsi="Times New Roman" w:cs="Times New Roman"/>
          <w:lang w:val="es-AR"/>
        </w:rPr>
        <w:t>Organización de Estados Iberoamericanos. (2022).</w:t>
      </w:r>
      <w:r w:rsidRPr="00C70B48">
        <w:rPr>
          <w:rFonts w:ascii="Times New Roman" w:eastAsia="Times New Roman" w:hAnsi="Times New Roman" w:cs="Times New Roman"/>
          <w:i/>
          <w:iCs/>
          <w:lang w:val="es-AR"/>
        </w:rPr>
        <w:t xml:space="preserve"> Marco de Referencia de Competencias Docentes Digitales para Iberoamérica. OEI.</w:t>
      </w:r>
    </w:p>
    <w:p w14:paraId="098A6824"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OIT (2004). </w:t>
      </w:r>
      <w:r>
        <w:rPr>
          <w:rFonts w:ascii="Times New Roman" w:eastAsia="Times New Roman" w:hAnsi="Times New Roman" w:cs="Times New Roman"/>
          <w:i/>
          <w:iCs/>
        </w:rPr>
        <w:t>Recomendación sobre el desarrollo de los recursos humanos, 2004 (núm. 195)</w:t>
      </w:r>
      <w:r>
        <w:rPr>
          <w:rFonts w:ascii="Times New Roman" w:eastAsia="Times New Roman" w:hAnsi="Times New Roman" w:cs="Times New Roman"/>
        </w:rPr>
        <w:t>. Oficina Internacional del Trabajo.</w:t>
      </w:r>
    </w:p>
    <w:p w14:paraId="12964C1E" w14:textId="501D00D2" w:rsidR="00870ABC" w:rsidRPr="00870ABC" w:rsidRDefault="00870ABC" w:rsidP="00870ABC">
      <w:pPr>
        <w:spacing w:after="120" w:line="240" w:lineRule="auto"/>
        <w:jc w:val="both"/>
        <w:rPr>
          <w:rFonts w:ascii="Times New Roman" w:eastAsia="Times New Roman" w:hAnsi="Times New Roman" w:cs="Times New Roman"/>
          <w:lang w:val="es-AR"/>
        </w:rPr>
      </w:pPr>
      <w:r w:rsidRPr="00870ABC">
        <w:rPr>
          <w:rFonts w:ascii="Times New Roman" w:eastAsia="Times New Roman" w:hAnsi="Times New Roman" w:cs="Times New Roman"/>
          <w:lang w:val="es-AR"/>
        </w:rPr>
        <w:t>PASEM. (2014). Los Sistemas de Formación Docente en el MERCOSUR: Planes de estudio y propuestas de formación continua / Andrea Alliaud (</w:t>
      </w:r>
      <w:proofErr w:type="spellStart"/>
      <w:r w:rsidRPr="00870ABC">
        <w:rPr>
          <w:rFonts w:ascii="Times New Roman" w:eastAsia="Times New Roman" w:hAnsi="Times New Roman" w:cs="Times New Roman"/>
          <w:lang w:val="es-AR"/>
        </w:rPr>
        <w:t>coord</w:t>
      </w:r>
      <w:proofErr w:type="spellEnd"/>
      <w:r w:rsidRPr="00870ABC">
        <w:rPr>
          <w:rFonts w:ascii="Times New Roman" w:eastAsia="Times New Roman" w:hAnsi="Times New Roman" w:cs="Times New Roman"/>
          <w:lang w:val="es-AR"/>
        </w:rPr>
        <w:t>). [</w:t>
      </w:r>
      <w:proofErr w:type="spellStart"/>
      <w:r w:rsidRPr="00870ABC">
        <w:rPr>
          <w:rFonts w:ascii="Times New Roman" w:eastAsia="Times New Roman" w:hAnsi="Times New Roman" w:cs="Times New Roman"/>
          <w:lang w:val="es-AR"/>
        </w:rPr>
        <w:t>et.al</w:t>
      </w:r>
      <w:proofErr w:type="spellEnd"/>
      <w:r w:rsidRPr="00870ABC">
        <w:rPr>
          <w:rFonts w:ascii="Times New Roman" w:eastAsia="Times New Roman" w:hAnsi="Times New Roman" w:cs="Times New Roman"/>
          <w:lang w:val="es-AR"/>
        </w:rPr>
        <w:t>.]. - 1a ed. - Ciudad Autónoma de Buenos Aires: Teseo, 2014. ISBN 978-987-723-007-9 1. Educación. 2. Mercosur. I. Alliaud, Andrea (coord.) CDD 371.1</w:t>
      </w:r>
    </w:p>
    <w:p w14:paraId="1DC9DC36"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Tenti Fanfani, E (2005). </w:t>
      </w:r>
      <w:r>
        <w:rPr>
          <w:rFonts w:ascii="Times New Roman" w:eastAsia="Times New Roman" w:hAnsi="Times New Roman" w:cs="Times New Roman"/>
          <w:i/>
          <w:iCs/>
        </w:rPr>
        <w:t xml:space="preserve">Crisis de la enseñanza media: transformar el mundo... de la escuela </w:t>
      </w:r>
      <w:r>
        <w:rPr>
          <w:rFonts w:ascii="Times New Roman" w:eastAsia="Times New Roman" w:hAnsi="Times New Roman" w:cs="Times New Roman"/>
        </w:rPr>
        <w:t>(artículo). Disponible en el Repositorio Digital Institucional de la Universidad de Buenos Aires. Disponible en: http://repositoriouba.sisbi.uba.ar/gsdl/cgi-bin/library.cgi?a=d&amp;c=encruci&amp;cl=CL1&amp;d=HWA_563</w:t>
      </w:r>
    </w:p>
    <w:p w14:paraId="6411C0C2" w14:textId="77777777" w:rsidR="005825DC" w:rsidRDefault="00315F57">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UNESCO (2016). </w:t>
      </w:r>
      <w:r>
        <w:rPr>
          <w:rFonts w:ascii="Times New Roman" w:eastAsia="Times New Roman" w:hAnsi="Times New Roman" w:cs="Times New Roman"/>
          <w:i/>
          <w:iCs/>
        </w:rPr>
        <w:t>Estrategia para la Enseñanza y Formación Técnica y Profesional (EFTP) 2016-2021</w:t>
      </w:r>
      <w:r>
        <w:rPr>
          <w:rFonts w:ascii="Times New Roman" w:eastAsia="Times New Roman" w:hAnsi="Times New Roman" w:cs="Times New Roman"/>
        </w:rPr>
        <w:t>. UNESCO.</w:t>
      </w:r>
    </w:p>
    <w:p w14:paraId="7E92BBFD" w14:textId="77777777" w:rsidR="00870ABC" w:rsidRDefault="00870ABC" w:rsidP="00870ABC">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Valliant, D. (2013) “Integración de TIC en los sistemas de formación docente inicial y continua para la educación básica en América Latina”. </w:t>
      </w:r>
      <w:r>
        <w:rPr>
          <w:rFonts w:ascii="Times New Roman" w:eastAsia="Times New Roman" w:hAnsi="Times New Roman" w:cs="Times New Roman"/>
          <w:i/>
          <w:iCs/>
        </w:rPr>
        <w:t>UNICEF: Programa TIC y Educación básica</w:t>
      </w:r>
      <w:r>
        <w:rPr>
          <w:rFonts w:ascii="Times New Roman" w:eastAsia="Times New Roman" w:hAnsi="Times New Roman" w:cs="Times New Roman"/>
        </w:rPr>
        <w:t>. Argentina. Disponible en:</w:t>
      </w:r>
    </w:p>
    <w:p w14:paraId="5E42C687" w14:textId="77777777" w:rsidR="00870ABC" w:rsidRDefault="00870ABC" w:rsidP="00870ABC">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http://www.unicef.org/argentina/spanish/educacion_Integracion_TIC_sistemas_formacion_docente.pdf</w:t>
      </w:r>
    </w:p>
    <w:p w14:paraId="1B34F818" w14:textId="42C71F5B" w:rsidR="00870ABC" w:rsidRDefault="00870ABC" w:rsidP="00870ABC">
      <w:pPr>
        <w:pStyle w:val="NormalWeb"/>
        <w:spacing w:before="0" w:beforeAutospacing="0" w:after="240" w:afterAutospacing="0"/>
        <w:jc w:val="both"/>
      </w:pPr>
      <w:r>
        <w:rPr>
          <w:rFonts w:ascii="Cambria" w:hAnsi="Cambria"/>
          <w:color w:val="000000"/>
        </w:rPr>
        <w:t xml:space="preserve">Vercellino, S. (2020). Dispositivos pedagógicos y condiciones de posibilidad del aprendizaje escolar. En A. </w:t>
      </w:r>
      <w:proofErr w:type="spellStart"/>
      <w:r>
        <w:rPr>
          <w:rFonts w:ascii="Cambria" w:hAnsi="Cambria"/>
          <w:color w:val="000000"/>
        </w:rPr>
        <w:t>Kornblit</w:t>
      </w:r>
      <w:proofErr w:type="spellEnd"/>
      <w:r>
        <w:rPr>
          <w:rFonts w:ascii="Cambria" w:hAnsi="Cambria"/>
          <w:color w:val="000000"/>
        </w:rPr>
        <w:t xml:space="preserve"> (Ed.), </w:t>
      </w:r>
      <w:r>
        <w:rPr>
          <w:rFonts w:ascii="Cambria" w:hAnsi="Cambria"/>
          <w:i/>
          <w:iCs/>
          <w:color w:val="000000"/>
        </w:rPr>
        <w:t>Investigación educativa: enfoques y perspectivas</w:t>
      </w:r>
      <w:r>
        <w:rPr>
          <w:rFonts w:ascii="Cambria" w:hAnsi="Cambria"/>
          <w:color w:val="000000"/>
        </w:rPr>
        <w:t xml:space="preserve"> (pp. 51-66). Editorial de la Universidad Nacional de Quilmes.</w:t>
      </w:r>
    </w:p>
    <w:p w14:paraId="4F7ED780" w14:textId="1A27AF8A" w:rsidR="005825DC" w:rsidRDefault="00315F57" w:rsidP="00870ABC">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Vercellino, S. (2023). Los procesos de democratización de la universidad argentina y sus derivaciones institucionales. </w:t>
      </w:r>
      <w:r>
        <w:rPr>
          <w:rFonts w:ascii="Times New Roman" w:eastAsia="Times New Roman" w:hAnsi="Times New Roman" w:cs="Times New Roman"/>
          <w:i/>
          <w:iCs/>
        </w:rPr>
        <w:t>Trayectorias Universitarias</w:t>
      </w:r>
      <w:r>
        <w:rPr>
          <w:rFonts w:ascii="Times New Roman" w:eastAsia="Times New Roman" w:hAnsi="Times New Roman" w:cs="Times New Roman"/>
        </w:rPr>
        <w:t xml:space="preserve">, </w:t>
      </w:r>
      <w:r>
        <w:rPr>
          <w:rFonts w:ascii="Times New Roman" w:eastAsia="Times New Roman" w:hAnsi="Times New Roman" w:cs="Times New Roman"/>
          <w:i/>
          <w:iCs/>
        </w:rPr>
        <w:t>9</w:t>
      </w:r>
      <w:r>
        <w:rPr>
          <w:rFonts w:ascii="Times New Roman" w:eastAsia="Times New Roman" w:hAnsi="Times New Roman" w:cs="Times New Roman"/>
        </w:rPr>
        <w:t>(17), 131.</w:t>
      </w:r>
    </w:p>
    <w:p w14:paraId="7CE40E2D" w14:textId="77777777" w:rsidR="005825DC" w:rsidRDefault="005825DC">
      <w:pPr>
        <w:spacing w:line="240" w:lineRule="auto"/>
        <w:jc w:val="center"/>
        <w:rPr>
          <w:rFonts w:ascii="Times New Roman" w:eastAsia="Times New Roman" w:hAnsi="Times New Roman" w:cs="Times New Roman"/>
        </w:rPr>
      </w:pPr>
    </w:p>
    <w:p w14:paraId="5400D752" w14:textId="77777777" w:rsidR="005825DC" w:rsidRDefault="005825DC">
      <w:pPr>
        <w:spacing w:line="240" w:lineRule="auto"/>
        <w:jc w:val="center"/>
        <w:rPr>
          <w:rFonts w:ascii="Times New Roman" w:eastAsia="Times New Roman" w:hAnsi="Times New Roman" w:cs="Times New Roman"/>
        </w:rPr>
      </w:pPr>
    </w:p>
    <w:sectPr w:rsidR="005825DC">
      <w:headerReference w:type="default" r:id="rId10"/>
      <w:footerReference w:type="default" r:id="rId11"/>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B9454" w14:textId="77777777" w:rsidR="00D72C40" w:rsidRDefault="00D72C40">
      <w:pPr>
        <w:spacing w:after="0" w:line="240" w:lineRule="auto"/>
      </w:pPr>
      <w:r>
        <w:separator/>
      </w:r>
    </w:p>
  </w:endnote>
  <w:endnote w:type="continuationSeparator" w:id="0">
    <w:p w14:paraId="42DB05BC" w14:textId="77777777" w:rsidR="00D72C40" w:rsidRDefault="00D72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B20F5B13-A0D2-45EC-AF63-6B04AEEC30D6}"/>
    <w:embedItalic r:id="rId2" w:fontKey="{46C6F603-6DFB-41CB-9BF2-7B300BC3E1E9}"/>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02C9FEFD-DA19-4AA6-A060-0B5300B5373D}"/>
    <w:embedItalic r:id="rId4" w:fontKey="{E6C44135-3D50-4817-B8A9-094EB97EA3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49D1" w14:textId="77777777" w:rsidR="005825DC" w:rsidRDefault="00315F57">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0006BCD4" wp14:editId="1D86B8CE">
          <wp:extent cx="5400040"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78799484" w14:textId="77777777" w:rsidR="005825DC" w:rsidRDefault="005825D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C34CF" w14:textId="77777777" w:rsidR="00D72C40" w:rsidRDefault="00D72C40">
      <w:pPr>
        <w:spacing w:after="0" w:line="240" w:lineRule="auto"/>
      </w:pPr>
      <w:r>
        <w:separator/>
      </w:r>
    </w:p>
  </w:footnote>
  <w:footnote w:type="continuationSeparator" w:id="0">
    <w:p w14:paraId="41A8423A" w14:textId="77777777" w:rsidR="00D72C40" w:rsidRDefault="00D72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CD60" w14:textId="77777777" w:rsidR="005825DC" w:rsidRDefault="00315F57">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48D392EE" wp14:editId="77B89A5C">
          <wp:extent cx="2617939" cy="1091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F7087"/>
    <w:multiLevelType w:val="multilevel"/>
    <w:tmpl w:val="66A09532"/>
    <w:lvl w:ilvl="0">
      <w:start w:val="1"/>
      <w:numFmt w:val="bullet"/>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6424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5DC"/>
    <w:rsid w:val="00004E2F"/>
    <w:rsid w:val="000A2305"/>
    <w:rsid w:val="00315F57"/>
    <w:rsid w:val="005825DC"/>
    <w:rsid w:val="00870ABC"/>
    <w:rsid w:val="009C382F"/>
    <w:rsid w:val="00B35EC1"/>
    <w:rsid w:val="00C70B48"/>
    <w:rsid w:val="00D207EF"/>
    <w:rsid w:val="00D72C40"/>
    <w:rsid w:val="00EC12C0"/>
    <w:rsid w:val="00FF07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607F"/>
  <w15:docId w15:val="{6CBC250E-98D5-442B-9E23-007E33F6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character" w:styleId="Hipervnculo">
    <w:name w:val="Hyperlink"/>
    <w:basedOn w:val="Fuentedeprrafopredeter"/>
    <w:uiPriority w:val="99"/>
    <w:unhideWhenUsed/>
    <w:rsid w:val="00C70B48"/>
    <w:rPr>
      <w:color w:val="0000FF" w:themeColor="hyperlink"/>
      <w:u w:val="single"/>
    </w:rPr>
  </w:style>
  <w:style w:type="character" w:styleId="Mencinsinresolver">
    <w:name w:val="Unresolved Mention"/>
    <w:basedOn w:val="Fuentedeprrafopredeter"/>
    <w:uiPriority w:val="99"/>
    <w:semiHidden/>
    <w:unhideWhenUsed/>
    <w:rsid w:val="00C70B48"/>
    <w:rPr>
      <w:color w:val="605E5C"/>
      <w:shd w:val="clear" w:color="auto" w:fill="E1DFDD"/>
    </w:rPr>
  </w:style>
  <w:style w:type="paragraph" w:styleId="NormalWeb">
    <w:name w:val="Normal (Web)"/>
    <w:basedOn w:val="Normal"/>
    <w:uiPriority w:val="99"/>
    <w:semiHidden/>
    <w:unhideWhenUsed/>
    <w:rsid w:val="00870ABC"/>
    <w:pPr>
      <w:spacing w:before="100" w:beforeAutospacing="1" w:after="100" w:afterAutospacing="1" w:line="240" w:lineRule="auto"/>
    </w:pPr>
    <w:rPr>
      <w:rFonts w:ascii="Times New Roman" w:eastAsia="Times New Roman" w:hAnsi="Times New Roman" w:cs="Times New Roman"/>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lacso.org.ar/publicaciones/la-situacion-educativo-laboral-de-las-juventudes-america-latina-y-argentin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itcinterfor.org/programa-universitario-escuelas-educaci%C3%B3n-profesional-fortalecimiento-educaci%C3%B3n-profesional-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LlNV62wKRpx4dL+cX08N/VMB1w==">CgMxLjA4AHIhMTZQdkVOUTNZRHVXYnBGankxTk0tOU53dkQ3bDdyUVZp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8233</Words>
  <Characters>45287</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Ibañez</dc:creator>
  <cp:lastModifiedBy>Susana Ibañez</cp:lastModifiedBy>
  <cp:revision>3</cp:revision>
  <dcterms:created xsi:type="dcterms:W3CDTF">2026-06-30T19:32:00Z</dcterms:created>
  <dcterms:modified xsi:type="dcterms:W3CDTF">2026-06-30T23:28:00Z</dcterms:modified>
</cp:coreProperties>
</file>