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Análisis de los diseños curriculares de la formación superior pública agropecuaria de Uruguay</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Rodríguez Sanabia, Eduardo</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Facultad de Veterinaria, Universidad de la República</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eduardo.rodriguez@fvet.edu.uy</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Passarini, José</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Facultad de Veterinaria, Universidad de la República</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ahoma" w:cs="Tahoma" w:eastAsia="Tahoma" w:hAnsi="Tahoma"/>
        </w:rPr>
      </w:pPr>
      <w:r w:rsidDel="00000000" w:rsidR="00000000" w:rsidRPr="00000000">
        <w:rPr>
          <w:rFonts w:ascii="Times New Roman" w:cs="Times New Roman" w:eastAsia="Times New Roman" w:hAnsi="Times New Roman"/>
          <w:rtl w:val="0"/>
        </w:rPr>
        <w:t xml:space="preserve">jose.passarini@fvet.edu.uy</w:t>
      </w:r>
      <w:r w:rsidDel="00000000" w:rsidR="00000000" w:rsidRPr="00000000">
        <w:rPr>
          <w:rtl w:val="0"/>
        </w:rPr>
      </w:r>
    </w:p>
    <w:p w:rsidR="00000000" w:rsidDel="00000000" w:rsidP="00000000" w:rsidRDefault="00000000" w:rsidRPr="00000000" w14:paraId="00000009">
      <w:pPr>
        <w:spacing w:after="0" w:line="360"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A">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Resumen: </w:t>
      </w:r>
      <w:r w:rsidDel="00000000" w:rsidR="00000000" w:rsidRPr="00000000">
        <w:rPr>
          <w:rFonts w:ascii="Times New Roman" w:cs="Times New Roman" w:eastAsia="Times New Roman" w:hAnsi="Times New Roman"/>
          <w:rtl w:val="0"/>
        </w:rPr>
        <w:t xml:space="preserve">El presente trabajo es producto de una investigación en curso que indaga sobre las posibilidades de articulación curricular dentro del Sistema de Educación Terciaria Pública de Uruguay. El foco está puesto en las carreras vinculadas a las ciencias agropecuarias impartidas por la Universidad de la República, la Dirección General de Educación Técnico Profesional y la Universidad Tecnológica. El sector agropecuario ocupa un rol importante en el desarrollo socioeconómico nacional y en este sentido, la formación de profesionales en esta área necesita de un diseño curricular flexible, integrado y eficiente que responda a las necesidades sociales y al avance científico-tecnológico. El objetivo central es analizar los documentos curriculares de las carreras terciarias de las tres instituciones mencionadas, con el interés de identificar convergencias epistemológicas, pedagógicas y disciplinares que permitan establecer mecanismos efectivos de navegabilidad y movilidad estudiantil entre ellas. Se implementó un diseño metodológico cualitativo basado en el análisis documental comparado, examinando los planes de estudio, los perfiles de egreso, las mallas curriculares, los programas de las asignaturas y los sistemas de asignación de créditos de las distintas ofertas académicas. Se incluyeron carreras tradicionales consolidadas históricamente, como son los casos de Ingeniería Agronómica y Medicina Veterinaria, así como también diversas tecnicaturas, licenciaturas y formaciones tecnológicas de reciente creación que responden directamente a nuevas necesidades socioproductivas. Los resultados de la investigación dan cuenta de la existencia de un núcleo duro de saberes profesionales altamente compartidos, especialmente en áreas estratégicas como el bienestar animal, el desarrollo sustentable, la gestión de agronegocios y la extensión rural. Sin embargo, el análisis -aún en curso- también evidencia asimetrías significativas en la estructuración de los ciclos formativos y en las lógicas de flexibilización curricular. Mientras que algunas propuestas evidencian una alta modularización con una clara adopción de enfoques basados en competencias, otras mantienen estructuras más rígidas y tradicionales que dificultan el reconocimiento formal de trayectos formativos previos. Se constató que las principales barreras operativas para la navegabilidad no radican en  las diferencias de contenido disciplinar, sino primordialmente en la enorme heterogeneidad de las métricas académicas, las burocráticas normativas de reválidas y las discordancias existentes en los requisitos de previaturas. A partir de estos hallazgos se observa que existe un escenario propicio para la construcción de trayectorias educativas integradas dentro de la formación pública del área agropecuaria, pero que materializar esto requiere superar la actual fragmentación institucional mediante acuerdos interinstitucionales mucho más robustos que los existentes. Como principal producto derivado de este análisis, se propone formalmente el diseño de una matriz estandarizada de equivalencias, el cual podría operar como un dispositivo traductor entre las distintas culturas organizacionales. El avance hacia una convergencia curricular en la formación agropecuaria no solo facilitaría el tránsito horizontal y vertical del estudiantado, sino que también consolidaría un ecosistema educativo público con una optimización de los recursos del Estado.</w:t>
      </w:r>
      <w:r w:rsidDel="00000000" w:rsidR="00000000" w:rsidRPr="00000000">
        <w:rPr>
          <w:rtl w:val="0"/>
        </w:rPr>
      </w:r>
    </w:p>
    <w:p w:rsidR="00000000" w:rsidDel="00000000" w:rsidP="00000000" w:rsidRDefault="00000000" w:rsidRPr="00000000" w14:paraId="0000000B">
      <w:pPr>
        <w:spacing w:line="240" w:lineRule="auto"/>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rtl w:val="0"/>
        </w:rPr>
        <w:t xml:space="preserve">Palabras clave: </w:t>
      </w:r>
      <w:r w:rsidDel="00000000" w:rsidR="00000000" w:rsidRPr="00000000">
        <w:rPr>
          <w:rFonts w:ascii="Times New Roman" w:cs="Times New Roman" w:eastAsia="Times New Roman" w:hAnsi="Times New Roman"/>
          <w:rtl w:val="0"/>
        </w:rPr>
        <w:t xml:space="preserve">EDUCACIÓN SUPERIOR, CIENCIAS AGROPECUARIAS, DISEÑO CURRICULAR</w:t>
      </w:r>
      <w:r w:rsidDel="00000000" w:rsidR="00000000" w:rsidRPr="00000000">
        <w:rPr>
          <w:rtl w:val="0"/>
        </w:rPr>
      </w:r>
    </w:p>
    <w:p w:rsidR="00000000" w:rsidDel="00000000" w:rsidP="00000000" w:rsidRDefault="00000000" w:rsidRPr="00000000" w14:paraId="0000000C">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Introducción</w:t>
      </w:r>
    </w:p>
    <w:p w:rsidR="00000000" w:rsidDel="00000000" w:rsidP="00000000" w:rsidRDefault="00000000" w:rsidRPr="00000000" w14:paraId="0000000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sistema de educación superior uruguayo atraviesa un proceso de reconfiguración que busca dejar atrás una fragmentación histórica y avanzar hacia trayectorias educativas más integradas. Se trata de un país cuya matriz productiva y cuya inserción en el mercado internacional dependen en buena medida del sector primario y agroindustrial, así que la formación de profesionales en ciencias agropecuarias no es un tema menor. Esta dimensión tiene un peso importante para el desarrollo socioeconómico del país. Durante décadas, la educación terciaria pública y universitaria estuvo sostenida casi en su totalidad por la Universidad de la República (Udelar), una institución autónoma y cogobernada que concentró la formación académica, la investigación y la extensión. Dentro de esa estructura, facultades centenarias como la de Agronomía y la de Veterinaria construyeron los perfiles profesionales dominantes del sector agropecuario, tradicionalmente caracterizados por una fuerte impronta académica y una radicación centralizada en Montevideo, con despliegues posteriores hacia el interior del país.</w:t>
      </w:r>
    </w:p>
    <w:p w:rsidR="00000000" w:rsidDel="00000000" w:rsidP="00000000" w:rsidRDefault="00000000" w:rsidRPr="00000000" w14:paraId="0000000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 la intención de justificar por qué este sector concentra tanta atención de la política educativa es preciso señalar que la economía uruguaya sigue apoyada, en buena medida, en la producción y en la exportación de bienes primarios: carne, lana, granos, lácteos y más recientemente, celulosa. Ese perfil productivo es relevante para pensar la formación superior, porque significa que buena parte de la innovación tecnológica, de la generación de divisas y del empleo calificado del interior del país depende, directa o indirectamente, de que existan profesionales bien formados en ciencias agropecuarias. Cualquier ineficiencia en ese proceso formativo, entonces, repercute también sobre la capacidad productiva del país.</w:t>
      </w:r>
    </w:p>
    <w:p w:rsidR="00000000" w:rsidDel="00000000" w:rsidP="00000000" w:rsidRDefault="00000000" w:rsidRPr="00000000" w14:paraId="0000000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últimas tres décadas han atestiguado una diversificación institucional significativa en el nivel terciario público. Este proceso fue impulsado, en primera instancia, por la consolidación y expansión de la oferta terciaria de la Dirección General de Educación Técnico Profesional (DGETP, ex UTU), dependiente de la Administración Nacional de Educación Pública (ANEP). La DGETP generó trayectos de tecnicaturas superiores orientadas al "saber hacer", con un fuerte anclaje territorial en los distintos departamentos y un vínculo directo con los sectores productivos locales. El panorama se amplía con la creación de la Universidad Tecnológica (UTEC) en 2012, una institución con un mandato fundacional de descentralización territorial, dictando sus carreras exclusivamente en el interior del país y con un modelo pedagógico orientado a la formación tecnológica y el aprendizaje basado en competencias y proyectos.</w:t>
      </w:r>
    </w:p>
    <w:p w:rsidR="00000000" w:rsidDel="00000000" w:rsidP="00000000" w:rsidRDefault="00000000" w:rsidRPr="00000000" w14:paraId="0000001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 pluralidad institucional aumenta el acceso a la educación superior y ofrece una mayor cantidad de opciones de formación científico-tecnológica en muchos casos aplicadas al agro. Pero la convivencia de tres macroinstituciones con historias, normativas y culturas organizacionales tan distintas (Udelar, ANEP-DGETP y UTEC) genera tensiones a la hora de articularlas entre sí. Cada una tiene su propia lógica académica, sus propias normas y su propia manera de hacer las cosas y esa mezcla arma un escenario difícil a la hora de pensar la convergencia y complementariedad institucional. En este contexto, el diseño curricular deja de ser un instrumento técnico de organización de contenidos, tiempos y evaluaciones, para transformarse en un dispositivo político que habilita u obstaculiza la navegabilidad académica de los sujetos.</w:t>
      </w:r>
    </w:p>
    <w:p w:rsidR="00000000" w:rsidDel="00000000" w:rsidP="00000000" w:rsidRDefault="00000000" w:rsidRPr="00000000" w14:paraId="0000001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Este trabajo, que surge de una investigación en curso, aborda la articulación curricular en el Sistema de Educación Terciaria Pública uruguayo, con el foco puesto en las carreras de ciencias agropecuarias que dictan la Udelar, la DGETP y la UTEC. El propósito general es analizar los documentos curriculares de estas tres instituciones para identificar dónde convergen desde lo disciplinar y dónde divergen desde lo estructural, en la medida </w:t>
      </w:r>
      <w:r w:rsidDel="00000000" w:rsidR="00000000" w:rsidRPr="00000000">
        <w:rPr>
          <w:rFonts w:ascii="Times New Roman" w:cs="Times New Roman" w:eastAsia="Times New Roman" w:hAnsi="Times New Roman"/>
          <w:rtl w:val="0"/>
        </w:rPr>
        <w:t xml:space="preserve">en que superar esas </w:t>
      </w:r>
      <w:r w:rsidDel="00000000" w:rsidR="00000000" w:rsidRPr="00000000">
        <w:rPr>
          <w:rFonts w:ascii="Times New Roman" w:cs="Times New Roman" w:eastAsia="Times New Roman" w:hAnsi="Times New Roman"/>
          <w:rtl w:val="0"/>
        </w:rPr>
        <w:t xml:space="preserve">divergencias podría facilitar, a futuro, generar mecanismos de movilidad estudiantil.</w:t>
      </w:r>
    </w:p>
    <w:p w:rsidR="00000000" w:rsidDel="00000000" w:rsidP="00000000" w:rsidRDefault="00000000" w:rsidRPr="00000000" w14:paraId="0000001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partir del análisis comparado de planes de estudio, mallas curriculares, normativas y sistemas de reválidas, este trabajo busca responder algunas preguntas centrales. ¿En qué medida las estructuras curriculares de estas tres instituciones responden a lógicas de flexibilización? ¿Cuáles son los obstáculos, ya sean epistemológicos, pedagógicos o burocráticos, que penalizan el tránsito del estudiantado entre ellas? ¿Qué mecanismos institucionales podrían diseñarse para traducir las distintas métricas académicas y garantizar trayectorias continuas? Avanzar hacia una convergencia curricular en este sector específico facilitaría el tránsito horizontal y vertical de los estudiantes. Y podría funcionar, además, como modelo piloto para pensar la optimización de los recursos del Estado y la conformación de un verdadero Sistema Nacional de Educación Terciaria.</w:t>
      </w:r>
    </w:p>
    <w:p w:rsidR="00000000" w:rsidDel="00000000" w:rsidP="00000000" w:rsidRDefault="00000000" w:rsidRPr="00000000" w14:paraId="0000001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pregunta por la navegabilidad no es únicamente un problema desde el punto de vista administrativo. Detrás de una reválida rechazada o de una previatura que obliga a repetir un curso similar ya aprobado en otra institución hay una persona que ve postergado su proyecto de vida. Un sujeto que egresa de una tecnicatura agraria de la DGETP y quiere seguir estudiando en la Udelar o en la UTEC suele descubrir que sus saberes previos no pueden ser reconocidos para continuar sus estudios. Y a la inversa, un estudiante universitario que decide reorientar su formación hacia una carrera tecnológica más corta se topa con el mismo muro, aunque en sentido contrario. Ese costo humano y también económico, porque cursar de nuevo lo ya aprendido implica años de trabajo estatal duplicado, es lo que motiva en última instancia esta indagación. </w:t>
      </w:r>
    </w:p>
    <w:p w:rsidR="00000000" w:rsidDel="00000000" w:rsidP="00000000" w:rsidRDefault="00000000" w:rsidRPr="00000000" w14:paraId="0000001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 que aquí se presenta corresponde a una etapa intermedia del trabajo, en la que ya se relevó y sistematizó buena parte del corpus documental, aunque el análisis de ciertos aspectos normativos, sobre todo los vinculados a las comisiones de reválida (o estructuras similares) de cada institución, sigue en desarrollo. Por esa razón, algunas de las afirmaciones que se presentan más adelante tienen un carácter provisorio y podrán ajustarse a medida que avance la investigación. </w:t>
      </w:r>
    </w:p>
    <w:p w:rsidR="00000000" w:rsidDel="00000000" w:rsidP="00000000" w:rsidRDefault="00000000" w:rsidRPr="00000000" w14:paraId="0000001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Este texto se organiza de la siguiente manera. Primero se expone el marco teórico que sostiene la indagación, construido a partir de los aportes provenientes del campo de la teoría del currículum recostando su análisis al campo de la educación superior latinoamericana. Luego se describe la metodología empleada que da cuenta de la constitución del corpus y de las dimensiones de análisis utilizadas. Después se presentan los resultados y la discusión, organizados en torno a las convergencias disciplinares encontradas, las asimetrías estructurales entre instituciones y las barreras operativas concretas que hoy dificultan las posibilidades de movilidad estudiantil. Finalmente, se plantean las conclusiones y se esboza una propuesta de elaboración de una matriz estandarizada de equivalencias, pensada como punto de partida para la discusión de política educativa.</w:t>
      </w:r>
    </w:p>
    <w:p w:rsidR="00000000" w:rsidDel="00000000" w:rsidP="00000000" w:rsidRDefault="00000000" w:rsidRPr="00000000" w14:paraId="00000016">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Marco Teórico</w:t>
      </w:r>
    </w:p>
    <w:p w:rsidR="00000000" w:rsidDel="00000000" w:rsidP="00000000" w:rsidRDefault="00000000" w:rsidRPr="00000000" w14:paraId="0000001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 entender las asimetrías y las convergencias de la formación superior agropecuaria uruguaya este trabajo recupera en la teoría del currículum algunos aportes para pensar la organización de educación superior. El marco que sostiene esta investigación se ordena en tres ejes: primero, una conceptualización del currículum entendido como un campo de tensiones y de culturas institucionales; segundo, el debate entre enfoques asignaturistas y enfoques por competencias que atraviesan hoy los planes de estudio y tercero, el problema de la navegabilidad dentro de los sistemas de educación superior, que pretende introducir un sentido político a todo lo anterior.</w:t>
      </w:r>
    </w:p>
    <w:p w:rsidR="00000000" w:rsidDel="00000000" w:rsidP="00000000" w:rsidRDefault="00000000" w:rsidRPr="00000000" w14:paraId="00000018">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El currículum universitario como campo de tensiones y culturas institucionales</w:t>
      </w:r>
    </w:p>
    <w:p w:rsidR="00000000" w:rsidDel="00000000" w:rsidP="00000000" w:rsidRDefault="00000000" w:rsidRPr="00000000" w14:paraId="0000001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currículum no es solamente un plan de estudios ni una lista prescriptiva de contenidos a impartir. De Alba (1998) propone entenderlo como una síntesis de elementos culturales (conocimientos, valores, costumbres, creencias, hábitos) que conforma una propuesta político-educativa, pensada e impulsada por grupos y sectores sociales cuyos intereses no siempre coinciden entre sí y muchas veces se contradicen abiertamente. Esta manera de mirar el currículum es especialmente útil para el caso agropecuario uruguayo, porque ahí se juega qué tipos de desarrollos productivos se prioriza (agronegocio, agroecología, producción familiar) y qué clase de profesional necesita el país para sostenerlo. En este sentido, en el diseño de cada plan de estudio se toma partido en esa discusión, aunque casi nunca se enuncia de manera explícita.</w:t>
      </w:r>
    </w:p>
    <w:p w:rsidR="00000000" w:rsidDel="00000000" w:rsidP="00000000" w:rsidRDefault="00000000" w:rsidRPr="00000000" w14:paraId="0000001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Sumado a lo anterior expuesto, Gimeno Sacristán (1998) agrega un matiz importante y es que el currículum que efectivamente viven los estudiantes está moldeado tanto por los docentes como por las lógicas organizativas de la institución y eso pesa mucho más de lo que las normas escritas dejan entrever. Las tradiciones institucionales condicionan cómo se estructuran las carreras, muchas veces con independencia de lo que digan los documentos oficiales. La Udelar, con su impronta humboldtiana y reformista, tiende a organizar la enseñanza superior alrededor de la libertad de cátedra y de una especialización disciplinar fuerte, heredada de más de un siglo de tradición universitaria. La UTEC, en cambio, nace sin ese peso histórico y esa ausencia de tradición le permite adoptar con más agilidad modelos prescriptivos de corte internacional, centrados en la empleabilidad, conectados estrechamente con el sector productivo y en lo que se podría interpretar como una especie de estandarización de saberes aplicados. El choque entre estas culturas institucionales queda plasmado en los documentos curriculares que terminan generando códigos que a menudo resultan casi intraducibles entre un subsistema y otro. Por ejemplo, lo que en una institución se llama "crédito" no equivale del todo a lo que en otra se llama "hora reloj". O lo que en una se certifica como "competencia" no tiene correspondencia exacta en la lógica de asignaturas de la otra.</w:t>
      </w:r>
    </w:p>
    <w:p w:rsidR="00000000" w:rsidDel="00000000" w:rsidP="00000000" w:rsidRDefault="00000000" w:rsidRPr="00000000" w14:paraId="0000001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 pensar esa intraducibilidad resulta útil la distinción que propone Bernstein (1998) entre códigos curriculares. Bernstein diferencia el currículo de colección, donde los contenidos se mantienen separados unos de otros en disciplinas estancas con fronteras rígidas, del currículo integrado, donde esos límites disciplinares se difuminan para subordinarse a un proyecto o a una idea que los aglutina. Las carreras agropecuarias tradicionales respondieron históricamente al modelo de colección y de ahí deriva la alta cantidad de asignaturas con cierta interdependencia entre sí y la rigidez de las cadenas de previaturas que todavía hoy las caracterizan. Pensar la articulación interinstitucional exige, desde esta perspectiva, flexibilizar esas fronteras disciplinares, algo que no todas las instituciones están dispuestas a hacer con la misma velocidad.</w:t>
      </w:r>
    </w:p>
    <w:p w:rsidR="00000000" w:rsidDel="00000000" w:rsidP="00000000" w:rsidRDefault="00000000" w:rsidRPr="00000000" w14:paraId="0000001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Siguiendo a Bernstein (1998) se recupera en esta discusión la distinción entre clasificación y enmarcación, dos nociones que ayudan a entender por qué algunas instituciones cambian más rápido que otras. La clasificación remite al grado de aislamiento entre los contenidos (qué tan separadas están las materias entre sí, por ejemplo), mientras que la enmarcación remite al control que tiene el docente, o la cátedra, sobre qué se enseña y cómo se evalúa. En las facultades de la Udelar, tanto la clasificación como la enmarcación tienden a ser altas. Las asignaturas están fuertemente delimitadas y cada equipo docente (históricamente denominado como cátedra) conserva un margen amplio de autonomía sobre su programa, en sus contenidos y en su forma de evaluar. Ese margen de autonomía, que tiene sentido cuando se lo mira desde la libertad de cátedra, es justamente lo que después dificulta la tarea de traducir esos programas a un lenguaje común con otras instituciones. Cuando una comisión de reválida tiene que decidir si un curso de otra institución equivale al suyo, no está comparando solamente contenidos, sino compitiendo contra décadas de autonomía que nadie quiere ceder fácilmente.</w:t>
      </w:r>
    </w:p>
    <w:p w:rsidR="00000000" w:rsidDel="00000000" w:rsidP="00000000" w:rsidRDefault="00000000" w:rsidRPr="00000000" w14:paraId="0000001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Esto no equivale a decir que las culturas institucionales sean un obstáculo que deba eliminarse. Son, más bien, el resultado de historias particulares, de decisiones tomadas en contextos distintos y de comunidades académicas que construyeron su identidad alrededor de ciertas formas de enseñar y de evaluar. El problema no es que existan culturas distintas, sino que no hay todavía un lenguaje compartido que permita traducir entre ellas sin que una tenga que renunciar a lo que la define.</w:t>
      </w:r>
    </w:p>
    <w:p w:rsidR="00000000" w:rsidDel="00000000" w:rsidP="00000000" w:rsidRDefault="00000000" w:rsidRPr="00000000" w14:paraId="0000001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 tensión entre culturas institucionales no es exclusiva de Uruguay. En buena parte de América Latina, la expansión de la educación superior terciaria no universitaria convivió, con distinto grado de conflicto, con universidades públicas de fuerte tradición autonómica. Brasil, con sus institutos federales de educación tecnológica, o Chile, con su sistema de centros de formación técnica y de institutos profesionales, enfrentaron dilemas parecidos al que hoy se discute en esta investigación. Cómo lograr que un título técnico dialogue con uno universitario sin que ese diálogo implique subordinar uno al otro. Lo que distingue el caso uruguayo -y en cierta medida justifica estudiarlo en particular- es la escala relativamente pequeña del sistema, que en principio debería facilitar los acuerdos interinstitucionales. Sumado a esto la novedad de la UTEC, que ofrece una oportunidad de observar cómo se construye una cultura curricular desde cero, sin las capas de sedimentación institucional que sí tienen la Udelar o la DGETP.</w:t>
      </w:r>
    </w:p>
    <w:p w:rsidR="00000000" w:rsidDel="00000000" w:rsidP="00000000" w:rsidRDefault="00000000" w:rsidRPr="00000000" w14:paraId="0000001F">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Entre el asignaturismo y las competencias, dos enfoques curriculares en disputa. </w:t>
      </w:r>
    </w:p>
    <w:p w:rsidR="00000000" w:rsidDel="00000000" w:rsidP="00000000" w:rsidRDefault="00000000" w:rsidRPr="00000000" w14:paraId="0000002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análisis comparado de los planes de estudio uruguayos deja a la vista un debate pedagógico y epistemológico que está lejos de saldarse. Díaz Barriga (2003) señala que las reformas de la educación superior de las últimas décadas estuvieron marcadas por la tensión entre los enfoques academicistas, centrados en la lógica interna de cada disciplina y los enfoques centrados en el desempeño o en las competencias, que ponen el acento en lo que el egresado es capaz de hacer.</w:t>
      </w:r>
    </w:p>
    <w:p w:rsidR="00000000" w:rsidDel="00000000" w:rsidP="00000000" w:rsidRDefault="00000000" w:rsidRPr="00000000" w14:paraId="0000002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tecnicaturas de la DGETP y las carreras más nuevas de la UTEC muestran una adopción, explícita en algunos casos e implícita en otros, de modelos orientados a competencias. La apuesta es acortar la distancia entre el mundo académico y el mundo del trabajo, dándole prioridad al saber hacer fundamentado y a la resolución de problemas reales del ámbito socioproductivo. En términos estructurales, esto se traduce en mallas modulares, donde acreditar un tramo de la carrera no depende de aprobar una asignatura teórica aislada, sino de demostrar que se integraron conocimientos en talleres, laboratorios o prácticas preprofesionales concretas.</w:t>
      </w:r>
    </w:p>
    <w:p w:rsidR="00000000" w:rsidDel="00000000" w:rsidP="00000000" w:rsidRDefault="00000000" w:rsidRPr="00000000" w14:paraId="0000002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formaciones universitarias más clásicas, en cambio, sostienen estructuras donde el peso epistémico recae en las ciencias básicas (matemática, física, bioquímica) durante los primeros años, con un enfoque propedéutico y recién en los ciclos superiores se habilita la inmersión en la práctica profesional. Esto ocurre pese a los avances reales hacia la flexibilización y la incorporación de sistemas de créditos que la propia Udelar viene impulsando. Esa asimetría en la secuencia de los saberes, es decir, en el momento del plan en que se enseña la práctica y el momento en que se enseña la teoría básica, constituye uno de los obstáculos a la hora de establecer equivalencias entre instituciones. Las instituciones suelen exigir muy a menudo que se corresponda de manera exacta el contenido teórico antes de reconocer los saberes aplicados que un estudiante de tecnicatura ya trae consigo, sin importar cuán sólidos sean esos saberes en la práctica.</w:t>
      </w:r>
    </w:p>
    <w:p w:rsidR="00000000" w:rsidDel="00000000" w:rsidP="00000000" w:rsidRDefault="00000000" w:rsidRPr="00000000" w14:paraId="0000002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Vale la pena detenerse en un matiz que suele perderse en este debate. Se trata del enfrentamiento dicotómico entre asignaturismo y competencias que no es simplemente una discusión de forma. Detrás de cada práctica curricular hay una teoría sobre cómo se aprende y sobre qué cuenta como conocimiento válido. El enfoque academicista asume que primero hay que dominar los fundamentos abstractos de una ciencia para después poder aplicarlos, una lógica que viene de la tradición universitaria europea del siglo XIX. El enfoque por competencias, en cambio, parte de la idea de que el conocimiento se construye en la resolución de problemas concretos y que la teoría se aprende mejor cuando aparece al servicio de una práctica que el estudiante ya está intentando resolver. Ninguno de los dos enfoques es superior al otro, cada uno tiene fortalezas y debilidades que dependen del tipo de profesional que se quiera formar. El problema no es que coexistan ambos enfoques, sino que conviven sin dialogar, cada uno convencido de que su lógica es la única legítima.</w:t>
      </w:r>
    </w:p>
    <w:p w:rsidR="00000000" w:rsidDel="00000000" w:rsidP="00000000" w:rsidRDefault="00000000" w:rsidRPr="00000000" w14:paraId="0000002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 tensión se agudiza cuando se piensa en la empleabilidad inmediata de cada perfil. Un profesional de perfil técnico o tecnológico suele insertarse en el mercado laboral rápidamente, muchas veces incluso antes de terminar sus estudios, porque las empresas del sector valoran la resolución práctica de problemas por encima del título. Un ingeniero agrónomo de la Udelar, en cambio, atraviesa un recorrido más largo antes de insertarse laboralmente, pero suele acceder después a posiciones de mayor responsabilidad técnica o de gestión. Ambos recorridos son legítimos y necesarios para el sector productivo, que necesita tanto de quien resuelve el problema en el campo como de quien diseña la estrategia técnica de largo plazo. El desafío para el sistema educativo es reconocer que ambos trayectos aportan algo distinto sin por eso jerarquizar uno sobre el otro de manera automática.</w:t>
      </w:r>
    </w:p>
    <w:p w:rsidR="00000000" w:rsidDel="00000000" w:rsidP="00000000" w:rsidRDefault="00000000" w:rsidRPr="00000000" w14:paraId="0000002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 estudiante que logre combinar ambos recorridos a lo largo de su vida, por ejemplo, alguien que curse primero una tecnicatura, trabaje unos años y más adelante decida completar una licenciatura o una ingeniería, representa hoy más una excepción que una trayectoria habilitada de manera natural por el sistema. Sin embargo, ese tipo de recorrido combinado es, en muchos sentidos, el que mejor se ajusta a las necesidades reales del sector agropecuario, que valora tanto la experiencia de campo como la formación avanzada.</w:t>
      </w:r>
    </w:p>
    <w:p w:rsidR="00000000" w:rsidDel="00000000" w:rsidP="00000000" w:rsidRDefault="00000000" w:rsidRPr="00000000" w14:paraId="00000026">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La navegabilidad y la masificación de la educación superior</w:t>
      </w:r>
    </w:p>
    <w:p w:rsidR="00000000" w:rsidDel="00000000" w:rsidP="00000000" w:rsidRDefault="00000000" w:rsidRPr="00000000" w14:paraId="0000002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necesidad de articular el sistema terciario agropecuario responde a la transformación demográfica a la que asiste la educación superior en los últimos años. América Latina atraviesa un proceso de masificación y diversificación institucional en el que los perfiles del estudiantado han ido cambiando, Rama (2006). Investigaciones como las de Protesoni  et al (2026) y Fernández (2010) dan cuenta que la noción de estudiante tradicional, de tiempo completo y trayectoria lineal desde la educación media hasta el egreso terciario o universitario, se ha ido perdiendo frente a sujetos con inserción laboral temprana, responsabilidades familiares y trayectorias fragmentadas o discontinuas, que entran y salen del sistema educativo según lo permitan sus circunstancias. </w:t>
      </w:r>
    </w:p>
    <w:p w:rsidR="00000000" w:rsidDel="00000000" w:rsidP="00000000" w:rsidRDefault="00000000" w:rsidRPr="00000000" w14:paraId="0000002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ese marco, la navegabilidad se vuelve una categoría central para pensar la educación superior pública. Implica la capacidad del sistema para reconocer formalmente los trayectos previos de una persona, sin importar en qué institución los haya cursado y permitirle continuar su formación sin someterla a la repetición de saberes que ya adquirió. Arocena y Sutz (2001) vienen argumentando desde hace años que las universidades públicas latinoamericanas tienen la responsabilidad de conformar verdaderos sistemas nacionales orientados al desarrollo integral del país. Para lograrlo sostienen que hace falta superar los enfoques corporativos de cada institución. En Uruguay, la ausencia de un mecanismo integrado hace que el pasaje de una carrera técnica de la DGETP hacia una carrera de grado en la Udelar o en la UTEC choque con barreras operativas que, en los hechos, funcionan como un filtro que termina excluyendo a buena parte de quienes lo intentan.</w:t>
      </w:r>
    </w:p>
    <w:p w:rsidR="00000000" w:rsidDel="00000000" w:rsidP="00000000" w:rsidRDefault="00000000" w:rsidRPr="00000000" w14:paraId="0000002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Conviene precisar que la masificación de la que habla Rama (2006) no es un fenómeno reciente ni exclusivo de Uruguay. Desde mediados de los años noventa, la mayoría de los países de la región vio crecer de manera sostenida la matrícula terciaria, impulsada por políticas de ampliación del acceso, por la creación de nuevas instituciones y por una demanda social que empezó a ver los estudios superiores como un requisito casi obligatorio para la movilidad social. Este crecimiento trajo consigo una diversificación de las trayectorias estudiantiles que los sistemas educativos, pensados originalmente para un estudiante de tiempo completo proveniente de sectores medios y altos, no siempre supieron acompañar.</w:t>
      </w:r>
    </w:p>
    <w:p w:rsidR="00000000" w:rsidDel="00000000" w:rsidP="00000000" w:rsidRDefault="00000000" w:rsidRPr="00000000" w14:paraId="0000002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categoría de navegabilidad, además, no debería entenderse como una cuestión de trámites administrativos más ágiles. Implica también una dimensión de justicia curricular, al decir de Connell (2009), quienes más sufren la falta de articulación entre instituciones suelen ser los estudiantes de sectores populares, que llegan a la educación superior por rutas menos convencionales, combinan el estudio con el trabajo y no siempre pueden repetir contenidos ya aprendidos. Pensar la navegabilidad como problema técnico y despojarla de esta dimensión social sería, en los hechos, quedarse a mitad de camino.</w:t>
      </w:r>
    </w:p>
    <w:p w:rsidR="00000000" w:rsidDel="00000000" w:rsidP="00000000" w:rsidRDefault="00000000" w:rsidRPr="00000000" w14:paraId="0000002B">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Metodología</w:t>
      </w:r>
    </w:p>
    <w:p w:rsidR="00000000" w:rsidDel="00000000" w:rsidP="00000000" w:rsidRDefault="00000000" w:rsidRPr="00000000" w14:paraId="0000002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 abordar las tensiones interinstitucionales y curriculares que se expuso anteriormente, esta investigación adoptó un diseño metodológico cualitativo, apoyado en el análisis documental comparado (Bowen, 2009). Se eligió esta perspectiva porque el objetivo no era quedarse en la descripción normativa de los planes de estudio, sino interrogar los documentos como textos políticos que cristalizan relaciones de poder, concepciones pedagógicas hegemónicas y culturas institucionales específicas. Collazo (2022) plantea que el currículo universitario debe ser interpelado para develar las singularidades epistemológicas y pedagógicas que estructuran cada campo de formación y esa fue la premisa de trabajo adoptada aquí. Los documentos no son neutrales, vehiculizan lógicas de inclusión o de exclusión que impactan de manera directa en las trayectorias de quienes se forman.</w:t>
      </w:r>
    </w:p>
    <w:p w:rsidR="00000000" w:rsidDel="00000000" w:rsidP="00000000" w:rsidRDefault="00000000" w:rsidRPr="00000000" w14:paraId="0000002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corpus documental se delimitó a las ofertas formativas de nivel terciario y universitario del área de las ciencias agropecuarias que se dictan en el ámbito público uruguayo. Los documentos analizados incluyeron, en primer lugar, en la órbita de la Udelar, los planes de estudio y las normativas complementarias de la carrera de Ingeniería Agronómica, que dicta la Facultad de Agronomía, y de Medicina Veterinaria, que dicta la Facultad de Veterinaria. Se prestó especial atención a las ordenanzas de grado vigentes, a los reglamentos del sistema de créditos y a las pautas que rigen las reválidas internas y externas de ambas facultades.</w:t>
      </w:r>
    </w:p>
    <w:p w:rsidR="00000000" w:rsidDel="00000000" w:rsidP="00000000" w:rsidRDefault="00000000" w:rsidRPr="00000000" w14:paraId="0000002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segundo lugar, dentro de la órbita de la UTEC, se relevaron los diseños curriculares de la Licenciatura en Análisis Alimentario y de la Ingeniería en Agua y Desarrollo Sostenible, junto con las salidas intermedias que estas carreras habilitan. Se analizaron también los documentos fundacionales del modelo pedagógico de la UTEC, los perfiles de egreso construidos sobre la base de competencias y las rúbricas que se usan para evaluar el aprendizaje basado en proyectos, que constituye el eje metodológico de buena parte de su oferta.</w:t>
      </w:r>
    </w:p>
    <w:p w:rsidR="00000000" w:rsidDel="00000000" w:rsidP="00000000" w:rsidRDefault="00000000" w:rsidRPr="00000000" w14:paraId="0000002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tercer lugar, en la órbita de la Dirección General de Educación Técnico Profesional, se revisaron los planes de estudio de nivel terciario correspondientes a la Tecnicatura en Producción Agropecuaria, la Tecnicatura en Gestión Agropecuaria y la Tecnicatura en Sistemas Intensivos de Producción Animal. El relevamiento incluyó las mallas curriculares, la asignación de carga horaria medida en horas reloj y los reglamentos de evaluación y de pasaje de grado que estructuran las correlatividades de estas tres tecnicaturas.</w:t>
      </w:r>
    </w:p>
    <w:p w:rsidR="00000000" w:rsidDel="00000000" w:rsidP="00000000" w:rsidRDefault="00000000" w:rsidRPr="00000000" w14:paraId="00000030">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Dimensiones y categorías de análisis</w:t>
      </w:r>
    </w:p>
    <w:p w:rsidR="00000000" w:rsidDel="00000000" w:rsidP="00000000" w:rsidRDefault="00000000" w:rsidRPr="00000000" w14:paraId="0000003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procesamiento se organizó mediante la construcción de una matriz de análisis categorial. Cada plan de estudio fue codificado según cinco dimensiones que se explican a continuación.</w:t>
      </w:r>
    </w:p>
    <w:p w:rsidR="00000000" w:rsidDel="00000000" w:rsidP="00000000" w:rsidRDefault="00000000" w:rsidRPr="00000000" w14:paraId="0000003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primera es la dimensión epistemológica, orientada a identificar qué tipo de profesional agropecuario busca formar cada institución. Aquí se analizaron los perfiles de egreso, los objetivos generales de cada carrera y la concepción implícita o explícita de las ciencias agrarias que manejaba cada documento, prestando atención a si predominaba un enfoque productivista clásico, uno agroecológico o uno centrado en los agronegocios.</w:t>
      </w:r>
    </w:p>
    <w:p w:rsidR="00000000" w:rsidDel="00000000" w:rsidP="00000000" w:rsidRDefault="00000000" w:rsidRPr="00000000" w14:paraId="0000003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segunda es la dimensión estructural, referida a la organización de la malla curricular. Los diseños se clasificaron en continuos, es decir, formatos tubulares con escasa optatividad para el estudiante, o modulares y flexibles, que permiten mayor libertad de recorrido. También se observó el peso relativo que cada plan le asigna a la formación básica frente a la formación profesional y tecnológica y en qué momento de la carrera ocurre ese pasaje.</w:t>
      </w:r>
    </w:p>
    <w:p w:rsidR="00000000" w:rsidDel="00000000" w:rsidP="00000000" w:rsidRDefault="00000000" w:rsidRPr="00000000" w14:paraId="0000003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tercera es la dimensión formal, centrada en las previaturas, es decir, en los sistemas de correlatividades entre asignaturas. Se mapearon los nudos y las barreras de progresión, buscando establecer cuántas asignaturas necesita tener aprobadas un estudiante para poder inscribirse en los niveles superiores de cada carrera.</w:t>
      </w:r>
    </w:p>
    <w:p w:rsidR="00000000" w:rsidDel="00000000" w:rsidP="00000000" w:rsidRDefault="00000000" w:rsidRPr="00000000" w14:paraId="0000003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cuarta es la dimensión métrica, que contrasta las unidades de medida del tiempo pedagógico que usa cada institución. Se comparó la lógica de asignación de créditos propia de la Udelar con la cuantificación por horas presenciales que usa la DGETP y con la evaluación por demostración de competencias que caracteriza a la UTEC, buscando entender qué asume cada métrica sobre el trabajo real del estudiante.</w:t>
      </w:r>
    </w:p>
    <w:p w:rsidR="00000000" w:rsidDel="00000000" w:rsidP="00000000" w:rsidRDefault="00000000" w:rsidRPr="00000000" w14:paraId="0000003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quinta y última es la dimensión regulatoria de la movilidad, que implicó una mirada de las normativas de reválidas institucionales. El objetivo aquí fue identificar si el enfoque predominante en cada institución es el de equivalencia analítica de contenidos o el de reconocimiento de saberes y ciclos formativos. Dentro de esta dimensión se prestó atención particular a quién integra cada comités de reválidas (o estructuras similares), con qué plazos resuelve y si existe o no la posibilidad de apelar una decisión desfavorable, tres aspectos que rara vez se estudian juntos y que determinan en la práctica si un mecanismo de reválida es accesible o disuasivo para quien lo solicita.</w:t>
      </w:r>
    </w:p>
    <w:p w:rsidR="00000000" w:rsidDel="00000000" w:rsidP="00000000" w:rsidRDefault="00000000" w:rsidRPr="00000000" w14:paraId="0000003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trabajo de codificación se hizo en dos rondas. En la primera, cada documento se leyó de manera completa y se marcaron los fragmentos que remitían a alguna de las cinco dimensiones, sin forzar todavía ninguna comparación entre instituciones. En la segunda ronda, ya con el corpus completo codificado, se armaron cuadros comparativos por dimensión, que permitieron poner en la misma tabla, por ejemplo, la manera en que la Udelar, la DGETP y la UTEC definen sus perfiles de egreso o la cantidad de previaturas que exige cada plan para llegar al último tercio de la carrera. </w:t>
      </w:r>
    </w:p>
    <w:p w:rsidR="00000000" w:rsidDel="00000000" w:rsidP="00000000" w:rsidRDefault="00000000" w:rsidRPr="00000000" w14:paraId="0000003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 necesario reconocer también los límites de esta aproximación. El análisis documental, no permite capturar del todo lo que Sacristán (1998) llama el currículum en acción, es decir, lo que efectivamente ocurre en el aula más allá de lo que dice el papel. Una institución puede tener un programa rígido en el texto y sin embargo, aplicarlo con bastante flexibilidad en la práctica cotidiana, o viceversa. Por esa razón, esta investigación no pretende agotar el problema de la articulación curricular únicamente con el análisis de documentos. Se trata de una primera aproximación, necesaria para mapear el terreno normativo, que en etapas posteriores del proyecto se complementa con entrevistas a docentes, a integrantes de comisiones de reválida y a estudiantes que efectivamente transitaron, o intentaron transitar, entre estas instituciones.</w:t>
      </w:r>
    </w:p>
    <w:p w:rsidR="00000000" w:rsidDel="00000000" w:rsidP="00000000" w:rsidRDefault="00000000" w:rsidRPr="00000000" w14:paraId="00000039">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Resultados y discusión</w:t>
      </w:r>
    </w:p>
    <w:p w:rsidR="00000000" w:rsidDel="00000000" w:rsidP="00000000" w:rsidRDefault="00000000" w:rsidRPr="00000000" w14:paraId="0000003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dimensiones analíticas mencionadas en el apartado anterior dejan a la vista un escenario institucional atravesado por un conjunto de tensiones. Existe un acuerdo bastante amplio sobre qué tipo de profesional agropecuario necesita el Uruguay del siglo veintiuno, pero las estructuras organizacionales de cada institución siguen fragmentadas de una manera que enlentece, de forma sistemática, el diálogo académico entre ellas.</w:t>
      </w:r>
    </w:p>
    <w:p w:rsidR="00000000" w:rsidDel="00000000" w:rsidP="00000000" w:rsidRDefault="00000000" w:rsidRPr="00000000" w14:paraId="0000003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Buena parte de la literatura en el tema asume que la falta de diálogo entre instituciones responde a visiones distintas sobre el conocimiento que hay que enseñar. Si ese fuera el caso en Uruguay, la solución pasaría por una negociación de fondo sobre contenidos, un proceso largo y con final incierto. Lo que muestra este relevamiento es un panorama distinto y en cierto sentido más alentador. El desacuerdo de fondo sobre qué enseñar es mucho menor de lo esperado, lo que desplaza el centro del problema hacia un terreno donde las soluciones institucionales, aunque no sean sencillas, resultan bastante más viables en el corto y mediano plazo.</w:t>
      </w:r>
    </w:p>
    <w:p w:rsidR="00000000" w:rsidDel="00000000" w:rsidP="00000000" w:rsidRDefault="00000000" w:rsidRPr="00000000" w14:paraId="0000003C">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Convergencias disciplinares: el núcleo duro de las ciencias agropecuarias</w:t>
      </w:r>
    </w:p>
    <w:p w:rsidR="00000000" w:rsidDel="00000000" w:rsidP="00000000" w:rsidRDefault="00000000" w:rsidRPr="00000000" w14:paraId="0000003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 primer hallazgo es la fuerte convergencia epistemológica que muestran las tres instituciones respecto de las áreas disciplinares que hoy se consideran centrales. Al leer los perfiles de egreso y los fundamentos teóricos de las carreras analizadas, queda claro que el modelo agropecuario estrictamente extractivista, que dominó los currículos durante buena parte del siglo XX, ya fue superado en el discurso oficial de las tres instituciones.</w:t>
      </w:r>
    </w:p>
    <w:p w:rsidR="00000000" w:rsidDel="00000000" w:rsidP="00000000" w:rsidRDefault="00000000" w:rsidRPr="00000000" w14:paraId="0000003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Hoy, tanto la Udelar como la DGETP y la UTEC organizan su oferta alrededor de un núcleo de saberes compartidos que trasciende el tipo de título que otorgan. Temas como la gestión integral de los recursos naturales, el impacto del cambio climático sobre los sistemas productivos, el bienestar animal, la bioética, la extensión rural y la administración de agronegocios aparecen de manera transversal y obligatoria en los tres corpus documentales relevados. </w:t>
      </w:r>
    </w:p>
    <w:p w:rsidR="00000000" w:rsidDel="00000000" w:rsidP="00000000" w:rsidRDefault="00000000" w:rsidRPr="00000000" w14:paraId="0000003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Frente a las exigencias de trazabilidad que imponen los mercados y frente a los problemas ambientales que el propio país enfrenta, las tres instituciones coinciden en que hace falta formar profesionales capaces de integrar la dimensión ecológica, la productiva y la social en un mismo análisis. Desde el punto de vista del conocimiento que se pretende transmitir, hay un terreno fértil para pensar la navegabilidad entre instituciones. </w:t>
      </w:r>
    </w:p>
    <w:p w:rsidR="00000000" w:rsidDel="00000000" w:rsidP="00000000" w:rsidRDefault="00000000" w:rsidRPr="00000000" w14:paraId="0000004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Durante mucho tiempo, el sentido común dentro del propio sistema educativo asumió que la principal dificultad para articular carreras agropecuarias de distintas instituciones era la diferencia de nivel o de profundidad en el conocimiento que cada una enseñaba. El análisis documental realizado en esta investigación no confirma ese supuesto, al menos no en las áreas temáticas centrales. Lo que se enseña es, en gran medida, lo mismo, o al menos parte de una misma matriz de problemas. Lo que cambia es el orden en que se enseña, la manera en que se evalúa y el lenguaje institucional con el que se lo nombra. Esta distinción, que puede parecer sutil, tiene consecuencias prácticas a la hora de diseñar cualquier política de articulación, porque desplaza el problema del terreno de los contenidos, hacia el terreno de la organización institucional, donde sí existen márgenes concretos para intervenir.</w:t>
      </w:r>
    </w:p>
    <w:p w:rsidR="00000000" w:rsidDel="00000000" w:rsidP="00000000" w:rsidRDefault="00000000" w:rsidRPr="00000000" w14:paraId="00000041">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Asimetrías estructurales y las reglas del currículo</w:t>
      </w:r>
    </w:p>
    <w:p w:rsidR="00000000" w:rsidDel="00000000" w:rsidP="00000000" w:rsidRDefault="00000000" w:rsidRPr="00000000" w14:paraId="0000004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Pese a esta sintonía en el qué se debe enseñar, las formas de organizar, secuenciar y evaluar esos conocimientos muestran diferencias que operan como limitadores para una posible movilidad estudiantil. Estas asimetrías se explican, en gran medida, por la sedimentación de distintas culturas organizacionales a lo largo de mucho tiempo.</w:t>
      </w:r>
    </w:p>
    <w:p w:rsidR="00000000" w:rsidDel="00000000" w:rsidP="00000000" w:rsidRDefault="00000000" w:rsidRPr="00000000" w14:paraId="0000004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propuestas de la UTEC, por un lado, muestran un diseño de última generación, fuertemente modularizado. La mencionada institución logró implementar un currículo que se acerca al tipo integrado del que habla Bernstein (1998). Las mallas no se agrupan únicamente por asignaturas, sino por competencias y por ejes problemáticos que atraviesan varias materias a la vez. Esto habilita que la evaluación no dependa exclusivamente de un examen final sobre un contenido teórico, sino de la demostración de desempeños concretos a través del aprendizaje basado en proyectos, que es el eje medular a nivel metodológico de buena parte de la oferta de la UTEC. Esta estructura resulta más flexible y permite certificar tramos más cortos de la formación.</w:t>
      </w:r>
    </w:p>
    <w:p w:rsidR="00000000" w:rsidDel="00000000" w:rsidP="00000000" w:rsidRDefault="00000000" w:rsidRPr="00000000" w14:paraId="0000004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análisis de las formaciones históricas de la Udelar y de varias de las tecnicaturas consolidadas de la DGETP, en cambio, muestra una resistencia estructural a abandonar la lógica de colección que también describe Bernstein (1998). La Udelar viene impulsando, en las últimas décadas, políticas centralizadas de renovación de la enseñanza y de flexibilización curricular. Pero la autonomía de las facultades y la fuerte estructuración disciplinar generan tiempos de asimilación muy dispares entre una carrera y otra, incluso dentro de la misma universidad. Collazo (2022) advierte, en este sentido, que los procesos de cambio curricular en el ámbito universitario suelen enfrentar tensiones epistemológicas y políticas fuertes al interior de las comunidades académicas, donde las disciplinas tradicionales defienden sus fronteras y sus espacios de poder con una energía que no siempre es visible desde afuera. En carreras como Agronomía o Veterinaria, la estructura sigue manteniendo una jerarquía asignaturista bastante marcada. El inicio de la formación sostenido por las ciencias básicas, posterga la inmersión en la práctica hasta las etapas superiores de la carrera.</w:t>
      </w:r>
    </w:p>
    <w:p w:rsidR="00000000" w:rsidDel="00000000" w:rsidP="00000000" w:rsidRDefault="00000000" w:rsidRPr="00000000" w14:paraId="0000004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DGETP, por su parte, presenta diseños curriculares que, aunque están orientados al saber hacer tecnológico, conservan formatos bastante rígidos en su progreso académico. La organización del tiempo en horas reloj presenciales, sumada a la estructuración por asignaturas anuales o semestrales cerradas, dan cuenta de diseños bastante anquilosados.</w:t>
      </w:r>
    </w:p>
    <w:p w:rsidR="00000000" w:rsidDel="00000000" w:rsidP="00000000" w:rsidRDefault="00000000" w:rsidRPr="00000000" w14:paraId="0000004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Resulta curioso que la UTEC, la institución más joven de las tres y sin ninguna tradición previa en el área agropecuaria, haya logrado un diseño curricular más flexible que instituciones con muchísima más experiencia acumulada en la formación de profesionales del agro. Esto sugiere que la flexibilidad curricular no depende tanto de la acumulación de experiencia institucional como tal vez sí de la ausencia de estructuras heredadas. Una institución nueva puede diseñar su currículo, sin contar con tradiciones disciplinares consolidadas ni con equilibrios de poder internos construidos durante décadas. Las instituciones más antiguas, en cambio, cargan con una historia que, aunque les da prestigio y legitimidad social, también les impone una inercia estructural difícil de modificar en el corto plazo. En este sentido, todo proceso de articulación curricular lleva consigo resistencias que no son solamente técnicas, sino también culturales y políticas.</w:t>
      </w:r>
    </w:p>
    <w:p w:rsidR="00000000" w:rsidDel="00000000" w:rsidP="00000000" w:rsidRDefault="00000000" w:rsidRPr="00000000" w14:paraId="00000047">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Las reválidas, previaturas y las métricas académicas</w:t>
      </w:r>
    </w:p>
    <w:p w:rsidR="00000000" w:rsidDel="00000000" w:rsidP="00000000" w:rsidRDefault="00000000" w:rsidRPr="00000000" w14:paraId="0000004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estudio de los reglamentos vigentes confirma que los obstáculos para integrar el sistema terciario y universitario en el área agropecuaria no son, en rigor, de orden epistemológico, sino administrativo. La diversidad de las métricas académicas emerge como elemento nodal en el estudio. El sistema educativo público uruguayo no ha logrado consensuar una unidad de medida común para el trabajo estudiantil. La Udelar, impulsada por las directrices de su Ordenanza de Estudios de Grado, transitó hacia la consolidación de un sistema de créditos. En ese esquema, un crédito representa convencionalmente quince horas de trabajo del estudiante, e integra tanto las horas presenciales (clases teóricas, prácticas, laboratorios) como el trabajo autónomo que implica leer, preparar exámenes o realizar trabajos de campo. Sin embargo, tal como lo expresa  Collazo, (2022). Dentro de las propias facultades, la adopción real de estos créditos a menudo funciona como una simple traducción aritmética de la antigua carga horaria presencial, sin que eso modifique de fondo la matriz de enseñanza que había antes.</w:t>
      </w:r>
    </w:p>
    <w:p w:rsidR="00000000" w:rsidDel="00000000" w:rsidP="00000000" w:rsidRDefault="00000000" w:rsidRPr="00000000" w14:paraId="0000004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DGETP, por su parte, organiza tradicionalmente sus trayectos mediante el cálculo de horas reloj semanales presenciales, un modelo heredado de la educación media y técnica que subrepresenta el volumen real de estudio autónomo que exige el nivel terciario. La UTEC, en paralelo, maneja métricas asociadas a la certificación de competencias, donde el foco se desplaza del tiempo que el estudiante está en el aula hacia la evidencia de saberes integrados en proyectos concretos.</w:t>
      </w:r>
    </w:p>
    <w:p w:rsidR="00000000" w:rsidDel="00000000" w:rsidP="00000000" w:rsidRDefault="00000000" w:rsidRPr="00000000" w14:paraId="0000004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Vale la pena notar que ninguna de las tres métricas es, en sí misma, mejor que las otras. El sistema de créditos de la Udelar tiene la virtud de reconocer el trabajo autónomo del estudiante. Las horas reloj, permiten garantizar un piso mínimo de acompañamiento presencial. Por su parte, la certificación por competencias de la UTEC centra la evaluación en lo que el estudiante efectivamente sabe hacer, más allá del tiempo que le haya llevado aprenderlo. El problema no es que exista más de una métrica, sino que no hay ningún mecanismo institucional que las ponga a dialogar entre sí.</w:t>
      </w:r>
    </w:p>
    <w:p w:rsidR="00000000" w:rsidDel="00000000" w:rsidP="00000000" w:rsidRDefault="00000000" w:rsidRPr="00000000" w14:paraId="0000004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 reglamentos muestran que el análisis de reválidas opera casi siempre bajo una lógica analítica uno a uno. Los tribunales comparan el programa de la asignatura de origen con el de destino y exigen altos porcentajes de coincidencia en el temario, en la bibliografía y en la profundidad teórica de cada tema.</w:t>
      </w:r>
    </w:p>
    <w:p w:rsidR="00000000" w:rsidDel="00000000" w:rsidP="00000000" w:rsidRDefault="00000000" w:rsidRPr="00000000" w14:paraId="0000004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la misma línea, los regímenes de previaturas constituyen otro eslabón de esta cadena de barreras. Pensadas originalmente como un mecanismo para asegurar que el estudiante cuente con las herramientas previas necesarias antes de abordar un saber nuevo, las previaturas se transformaron con el tiempo en dispositivos de control administrativo que ya no responden del todo a esa lógica original. El mapeo de las mallas curriculares de las carreras tradicionales muestra extensas cadenas de correlatividades que no siempre responden a una necesidad pedagógica estricta, sino más bien a la tradición sostenida durante años sin mayor revisión. </w:t>
      </w:r>
    </w:p>
    <w:p w:rsidR="00000000" w:rsidDel="00000000" w:rsidP="00000000" w:rsidRDefault="00000000" w:rsidRPr="00000000" w14:paraId="0000004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 dato que surgió del relevamiento documental es la disparidad en la información disponible para el propio estudiante. Mientras que la UTEC publica de manera clara y accesible sus rutas de progresión y las condiciones para acceder a salidas intermedias, buena parte de la normativa de reválidas de la Udelar y de la DGETP está dispersa en resoluciones de distintos años, muchas veces difíciles de encontrar para alguien que no forma parte de la institución. Esto agrega una barrera adicional que no es estrictamente curricular pero que opera en los hechos como tal y es que un estudiante puede tener el derecho formal a solicitar una reválida y sin embargo desconocer por completo cómo ejercerlo, qué documentación necesita reunir o ante quién debe presentarla. La opacidad normativa termina funcionando como otra forma más de exclusión.</w:t>
      </w:r>
    </w:p>
    <w:p w:rsidR="00000000" w:rsidDel="00000000" w:rsidP="00000000" w:rsidRDefault="00000000" w:rsidRPr="00000000" w14:paraId="0000004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Este punto conecta con algo que Collazo (2022) señala respecto de las reformas curriculares universitarias. Buena parte de la resistencia al cambio no proviene de un rechazo explícito a la idea de articulación, sino de la inercia de procedimientos que nadie diseñó pensando en la movilidad interinstitucional, porque en el momento en que se redactaron esos reglamentos ese problema todavía no estaba planteado. Las comisiones de reválida de la Udelar, por ejemplo, no fueron creadas pensando en recibir solicitudes de egresados de la DGETP o de la UTEC. El resultado es un desfasaje entre una normativa pensada para un sistema binario, casi exclusivamente universitario y una realidad institucional que ya es, desde hace tiempo, tripartita.</w:t>
      </w:r>
    </w:p>
    <w:p w:rsidR="00000000" w:rsidDel="00000000" w:rsidP="00000000" w:rsidRDefault="00000000" w:rsidRPr="00000000" w14:paraId="0000004F">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Hacia la articulación del ecosistema público</w:t>
      </w:r>
    </w:p>
    <w:p w:rsidR="00000000" w:rsidDel="00000000" w:rsidP="00000000" w:rsidRDefault="00000000" w:rsidRPr="00000000" w14:paraId="0000005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 constatar que la fragmentación actual responde más a cuestiones administrativas y a discordancias de métricas que a diferencias en la concepción del conocimiento sobre las ciencias agropecuarias, se vuelve necesario diseñar políticas institucionales que superen ese estado de cosas. </w:t>
      </w:r>
    </w:p>
    <w:p w:rsidR="00000000" w:rsidDel="00000000" w:rsidP="00000000" w:rsidRDefault="00000000" w:rsidRPr="00000000" w14:paraId="0000005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 propone diseñar una Matriz Estandarizada de Equivalencias para el sector agropecuario del Sistema de Educación Terciaria Pública. No con intenciones de homogeneizar los planes de estudio o cambiar los perfiles de egreso de cada institución. Las diferencias entre las formaciones son necesarias y enriquecen la matriz productiva del país, pero se requiere de un mecanismo que permita traducirlas entre sí.</w:t>
      </w:r>
    </w:p>
    <w:p w:rsidR="00000000" w:rsidDel="00000000" w:rsidP="00000000" w:rsidRDefault="00000000" w:rsidRPr="00000000" w14:paraId="0000005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matriz propuesta se apoyaría en tres principios. El primero es la traducción de las métricas, ya que se necesitan acuerdos técnicos interinstitucionales que generen un factor de conversión unificado, capaz de poner en diálogo las diferentes formas de medidas. El segundo es la certificación por bloques formativos. El reconocimiento debe superar la lógica asignaturista y generar clústeres de saberes que permitan a cada institución reconocer tramos enteros de la formación previa de un estudiante y no materias. El tercero es la transparencia y la previsibilidad de las equivalencias, para que no quede en el dictamen coyuntural de una comisión y se establezcan previamente, mediante convenios marco firmados entre las instituciones las  rutas de navegabilidad explícitas y de acceso público, de manera que cualquier estudiante pueda planificar su propia trayectoria con anticipación.</w:t>
      </w:r>
    </w:p>
    <w:p w:rsidR="00000000" w:rsidDel="00000000" w:rsidP="00000000" w:rsidRDefault="00000000" w:rsidRPr="00000000" w14:paraId="00000053">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Consideraciones finales</w:t>
      </w:r>
    </w:p>
    <w:p w:rsidR="00000000" w:rsidDel="00000000" w:rsidP="00000000" w:rsidRDefault="00000000" w:rsidRPr="00000000" w14:paraId="0000005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recorrido de este trabajo muestra que el Sistema de Educación Terciaria Pública uruguayo a nivel de la formación agropecuaria atraviesa hoy una fase de transición marcada por algunas contradicciones. La diversificación institucional, que se materializó en la expansión territorial de la DGETP y en la irrupción descentralizadora de la UTEC, eliminó el monopolio que durante décadas tuvo la Udelar sobre la formación superior. Ese fenómeno representa un avance en la democratización del acceso a la educación superior y una respuesta necesaria frente a las complejidades del sector productivo nacional. El análisis documental muestra, sin embargo, que esa masificación de la oferta no vino acompañada de la construcción de un andamiaje capaz de garantizar la continuidad y el tránsito de las personas que habitan estas instituciones.</w:t>
      </w:r>
    </w:p>
    <w:p w:rsidR="00000000" w:rsidDel="00000000" w:rsidP="00000000" w:rsidRDefault="00000000" w:rsidRPr="00000000" w14:paraId="0000005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 desprende de estas reflexiones que el contraste entre los planes de estudio es la existencia de una asimetría profunda entre la convergencia epistemológica y la divergencia administrativa. Las tres instituciones de la educación pública coinciden en los fundamentos centrales que definen al profesional agropecuario y existe, en el plano de los saberes prescritos, un campo común. </w:t>
      </w:r>
    </w:p>
    <w:p w:rsidR="00000000" w:rsidDel="00000000" w:rsidP="00000000" w:rsidRDefault="00000000" w:rsidRPr="00000000" w14:paraId="0000005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Esa sintonía discursiva choca con lo que podría llamarse el currículum oculto de la burocracia académica. Al interpelar los documentos como textos políticos, siguiendo a de Alba (1998) y a Collazo (2022), queda claro que las normas organizacionales de cada institución funcionan como mecanismos de clausura institucional, aunque nadie los haya diseñado con esa intención explícita. La persistencia de currículos de colección, en el sentido de Bernstein (1998), altamente fragmentados en asignaturas, sumada a las cadenas de previaturas que todavía sostienen varias carreras, penaliza estructuralmente al sujeto que intenta moverse entre instituciones. </w:t>
      </w:r>
    </w:p>
    <w:p w:rsidR="00000000" w:rsidDel="00000000" w:rsidP="00000000" w:rsidRDefault="00000000" w:rsidRPr="00000000" w14:paraId="0000005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régimen de reválidas vigente, sostenido en la comparación de programas asignatura por asignatura, junto con la cuantificación del tiempo pedagógico entre créditos y horas reloj, configuran un dispositivo que termina siendo excluyente, aunque ninguna de las tres instituciones se lo proponga de manera deliberada. Estos mecanismos convierten la </w:t>
      </w:r>
      <w:r w:rsidDel="00000000" w:rsidR="00000000" w:rsidRPr="00000000">
        <w:rPr>
          <w:rFonts w:ascii="Times New Roman" w:cs="Times New Roman" w:eastAsia="Times New Roman" w:hAnsi="Times New Roman"/>
          <w:rtl w:val="0"/>
        </w:rPr>
        <w:t xml:space="preserve">navegabilidad posible</w:t>
      </w:r>
      <w:r w:rsidDel="00000000" w:rsidR="00000000" w:rsidRPr="00000000">
        <w:rPr>
          <w:rFonts w:ascii="Times New Roman" w:cs="Times New Roman" w:eastAsia="Times New Roman" w:hAnsi="Times New Roman"/>
          <w:rtl w:val="0"/>
        </w:rPr>
        <w:t xml:space="preserve"> en obstáculos, donde el estudiante se ve forzado a repetir contenidos que ya domina o a abandonar directamente su intento de continuidad formativa. Este desgaste administrativo golpea con más dureza a los sectores estudiantiles cuyas trayectorias discontinuas o mediadas por la inserción laboral temprana exigen, precisamente, la máxima flexibilidad curricular posible.</w:t>
      </w:r>
    </w:p>
    <w:p w:rsidR="00000000" w:rsidDel="00000000" w:rsidP="00000000" w:rsidRDefault="00000000" w:rsidRPr="00000000" w14:paraId="0000005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contexto, la necesidad de articulación constituye un imperativo ético y político. Arocena y Sutz (2001) sostienen que la universidad y la educación superior pública latinoamericana tienen la responsabilidad de conformar sistemas nacionales orientados al desarrollo equitativo de sus sociedades. Sostener la fragmentación actual implica una subutilización poco estratégica de los recursos del Estado. Duplicar esfuerzos formativos e invisibilizar los trayectos ya recorridos por un estudiante atenta directamente contra la eficiencia del sistema público en su conjunto.</w:t>
      </w:r>
    </w:p>
    <w:p w:rsidR="00000000" w:rsidDel="00000000" w:rsidP="00000000" w:rsidRDefault="00000000" w:rsidRPr="00000000" w14:paraId="0000005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Hay un argumento de escala que conviene no perder de vista. Uruguay es un país pequeño, con un sistema de educación terciaria pública que, comparado con el de otros países de la región, tiene un volumen de instituciones y de matrícula bastante menor. Esa escala reducida, que a veces se menciona como una limitación para el desarrollo de ciertas políticas, es en este caso una ventaja para coordinar instituciones y construir entre ellas propuestas de articulación con una complejidad menor que la que enfrentarían otros países de la región.</w:t>
      </w:r>
    </w:p>
    <w:p w:rsidR="00000000" w:rsidDel="00000000" w:rsidP="00000000" w:rsidRDefault="00000000" w:rsidRPr="00000000" w14:paraId="0000005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 cerrar, cabe señalar que este análisis permitió mapear las convergencias epistemológicas y las asimetrías estructurales entre las tres instituciones, pero el problema de la navegabilidad estudiantil no requiere refundar el sistema educativo público ni discutir de nuevo qué es lo que un profesional, en este caso del agro, necesita saber. Requiere de la construcción de los puentes normativos que hoy faltan entre instituciones que tienen bastante más en común de lo que sus respectivos reglamentos dejan entrever.</w:t>
      </w:r>
    </w:p>
    <w:p w:rsidR="00000000" w:rsidDel="00000000" w:rsidP="00000000" w:rsidRDefault="00000000" w:rsidRPr="00000000" w14:paraId="0000005B">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Referencias Bibliográficas </w:t>
      </w:r>
    </w:p>
    <w:p w:rsidR="00000000" w:rsidDel="00000000" w:rsidP="00000000" w:rsidRDefault="00000000" w:rsidRPr="00000000" w14:paraId="0000005C">
      <w:pPr>
        <w:spacing w:line="240" w:lineRule="auto"/>
        <w:ind w:left="720.0000000000001" w:hanging="720.000000000000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Arocena, R., &amp; Sutz, J. (2000). </w:t>
      </w:r>
      <w:r w:rsidDel="00000000" w:rsidR="00000000" w:rsidRPr="00000000">
        <w:rPr>
          <w:rFonts w:ascii="Times New Roman" w:cs="Times New Roman" w:eastAsia="Times New Roman" w:hAnsi="Times New Roman"/>
          <w:i w:val="1"/>
          <w:iCs w:val="1"/>
          <w:rtl w:val="0"/>
        </w:rPr>
        <w:t xml:space="preserve">La universidad latinoamericana del futuro. Tendencias - Escenarios - Alternativas</w:t>
      </w:r>
      <w:r w:rsidDel="00000000" w:rsidR="00000000" w:rsidRPr="00000000">
        <w:rPr>
          <w:rFonts w:ascii="Times New Roman" w:cs="Times New Roman" w:eastAsia="Times New Roman" w:hAnsi="Times New Roman"/>
          <w:rtl w:val="0"/>
        </w:rPr>
        <w:t xml:space="preserve">. UDUAL.</w:t>
      </w:r>
    </w:p>
    <w:p w:rsidR="00000000" w:rsidDel="00000000" w:rsidP="00000000" w:rsidRDefault="00000000" w:rsidRPr="00000000" w14:paraId="0000005D">
      <w:pPr>
        <w:spacing w:line="240" w:lineRule="auto"/>
        <w:ind w:left="720.0000000000001" w:hanging="720.000000000000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Bernstein, B. (1998). </w:t>
      </w:r>
      <w:r w:rsidDel="00000000" w:rsidR="00000000" w:rsidRPr="00000000">
        <w:rPr>
          <w:rFonts w:ascii="Times New Roman" w:cs="Times New Roman" w:eastAsia="Times New Roman" w:hAnsi="Times New Roman"/>
          <w:i w:val="1"/>
          <w:iCs w:val="1"/>
          <w:rtl w:val="0"/>
        </w:rPr>
        <w:t xml:space="preserve">Pedagogía, control simbólico e identidad. Teoría, investigación y crítica.</w:t>
      </w:r>
      <w:r w:rsidDel="00000000" w:rsidR="00000000" w:rsidRPr="00000000">
        <w:rPr>
          <w:rFonts w:ascii="Times New Roman" w:cs="Times New Roman" w:eastAsia="Times New Roman" w:hAnsi="Times New Roman"/>
          <w:rtl w:val="0"/>
        </w:rPr>
        <w:t xml:space="preserve"> Ediciones Morata.</w:t>
      </w:r>
    </w:p>
    <w:p w:rsidR="00000000" w:rsidDel="00000000" w:rsidP="00000000" w:rsidRDefault="00000000" w:rsidRPr="00000000" w14:paraId="0000005E">
      <w:pPr>
        <w:spacing w:line="240" w:lineRule="auto"/>
        <w:ind w:left="720.0000000000001" w:hanging="720.0000000000001"/>
        <w:jc w:val="both"/>
        <w:rPr>
          <w:rFonts w:ascii="Times New Roman" w:cs="Times New Roman" w:eastAsia="Times New Roman" w:hAnsi="Times New Roman"/>
          <w:color w:val="1155cc"/>
        </w:rPr>
      </w:pPr>
      <w:r w:rsidDel="00000000" w:rsidR="00000000" w:rsidRPr="00000000">
        <w:rPr>
          <w:rFonts w:ascii="Times New Roman" w:cs="Times New Roman" w:eastAsia="Times New Roman" w:hAnsi="Times New Roman"/>
          <w:rtl w:val="0"/>
        </w:rPr>
        <w:t xml:space="preserve">Bowen, G. A. (2009). Document analysis as a qualitative research method. </w:t>
      </w:r>
      <w:r w:rsidDel="00000000" w:rsidR="00000000" w:rsidRPr="00000000">
        <w:rPr>
          <w:rFonts w:ascii="Times New Roman" w:cs="Times New Roman" w:eastAsia="Times New Roman" w:hAnsi="Times New Roman"/>
          <w:i w:val="1"/>
          <w:iCs w:val="1"/>
          <w:rtl w:val="0"/>
        </w:rPr>
        <w:t xml:space="preserve">Qualitative Research Journal, 9(2), 27-40</w:t>
      </w:r>
      <w:r w:rsidDel="00000000" w:rsidR="00000000" w:rsidRPr="00000000">
        <w:rPr>
          <w:rFonts w:ascii="Times New Roman" w:cs="Times New Roman" w:eastAsia="Times New Roman" w:hAnsi="Times New Roman"/>
          <w:rtl w:val="0"/>
        </w:rPr>
        <w:t xml:space="preserve">.</w:t>
      </w:r>
      <w:hyperlink r:id="rId6">
        <w:r w:rsidDel="00000000" w:rsidR="00000000" w:rsidRPr="00000000">
          <w:rPr>
            <w:rFonts w:ascii="Times New Roman" w:cs="Times New Roman" w:eastAsia="Times New Roman" w:hAnsi="Times New Roman"/>
            <w:rtl w:val="0"/>
          </w:rPr>
          <w:t xml:space="preserve"> </w:t>
        </w:r>
      </w:hyperlink>
      <w:hyperlink r:id="rId7">
        <w:r w:rsidDel="00000000" w:rsidR="00000000" w:rsidRPr="00000000">
          <w:rPr>
            <w:rFonts w:ascii="Times New Roman" w:cs="Times New Roman" w:eastAsia="Times New Roman" w:hAnsi="Times New Roman"/>
            <w:color w:val="1155cc"/>
            <w:rtl w:val="0"/>
          </w:rPr>
          <w:t xml:space="preserve">https://doi.org/10.3316/QRJ0902027</w:t>
        </w:r>
      </w:hyperlink>
      <w:r w:rsidDel="00000000" w:rsidR="00000000" w:rsidRPr="00000000">
        <w:rPr>
          <w:rtl w:val="0"/>
        </w:rPr>
      </w:r>
    </w:p>
    <w:p w:rsidR="00000000" w:rsidDel="00000000" w:rsidP="00000000" w:rsidRDefault="00000000" w:rsidRPr="00000000" w14:paraId="0000005F">
      <w:pPr>
        <w:spacing w:line="240" w:lineRule="auto"/>
        <w:ind w:left="720.0000000000001" w:hanging="720.000000000000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Connell, R. W. (2009). La justicia curricular. </w:t>
      </w:r>
      <w:r w:rsidDel="00000000" w:rsidR="00000000" w:rsidRPr="00000000">
        <w:rPr>
          <w:rFonts w:ascii="Times New Roman" w:cs="Times New Roman" w:eastAsia="Times New Roman" w:hAnsi="Times New Roman"/>
          <w:i w:val="1"/>
          <w:iCs w:val="1"/>
          <w:rtl w:val="0"/>
        </w:rPr>
        <w:t xml:space="preserve">Referencias</w:t>
      </w:r>
      <w:r w:rsidDel="00000000" w:rsidR="00000000" w:rsidRPr="00000000">
        <w:rPr>
          <w:rFonts w:ascii="Times New Roman" w:cs="Times New Roman" w:eastAsia="Times New Roman" w:hAnsi="Times New Roman"/>
          <w:rtl w:val="0"/>
        </w:rPr>
        <w:t xml:space="preserve">, 6(27).</w:t>
      </w:r>
    </w:p>
    <w:p w:rsidR="00000000" w:rsidDel="00000000" w:rsidP="00000000" w:rsidRDefault="00000000" w:rsidRPr="00000000" w14:paraId="00000060">
      <w:pPr>
        <w:spacing w:line="240" w:lineRule="auto"/>
        <w:ind w:left="720.0000000000001" w:hanging="720.000000000000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Collazo, M. (2022). </w:t>
      </w:r>
      <w:r w:rsidDel="00000000" w:rsidR="00000000" w:rsidRPr="00000000">
        <w:rPr>
          <w:rFonts w:ascii="Times New Roman" w:cs="Times New Roman" w:eastAsia="Times New Roman" w:hAnsi="Times New Roman"/>
          <w:i w:val="1"/>
          <w:iCs w:val="1"/>
          <w:rtl w:val="0"/>
        </w:rPr>
        <w:t xml:space="preserve">El currículo universitario interpelado: Aportes para la investigación de las singularidades políticas, epistemológicas y pedagógicas de los campos de formación. </w:t>
      </w:r>
      <w:r w:rsidDel="00000000" w:rsidR="00000000" w:rsidRPr="00000000">
        <w:rPr>
          <w:rFonts w:ascii="Times New Roman" w:cs="Times New Roman" w:eastAsia="Times New Roman" w:hAnsi="Times New Roman"/>
          <w:rtl w:val="0"/>
        </w:rPr>
        <w:t xml:space="preserve">Comisión Sectorial de Enseñanza, Universidad de la República.</w:t>
      </w:r>
    </w:p>
    <w:p w:rsidR="00000000" w:rsidDel="00000000" w:rsidP="00000000" w:rsidRDefault="00000000" w:rsidRPr="00000000" w14:paraId="00000061">
      <w:pPr>
        <w:spacing w:line="240" w:lineRule="auto"/>
        <w:ind w:left="720.0000000000001" w:hanging="720.000000000000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Alba, A. (1998). </w:t>
      </w:r>
      <w:r w:rsidDel="00000000" w:rsidR="00000000" w:rsidRPr="00000000">
        <w:rPr>
          <w:rFonts w:ascii="Times New Roman" w:cs="Times New Roman" w:eastAsia="Times New Roman" w:hAnsi="Times New Roman"/>
          <w:i w:val="1"/>
          <w:iCs w:val="1"/>
          <w:rtl w:val="0"/>
        </w:rPr>
        <w:t xml:space="preserve">Currículum</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crisis, mito y perspectivas.</w:t>
      </w:r>
      <w:r w:rsidDel="00000000" w:rsidR="00000000" w:rsidRPr="00000000">
        <w:rPr>
          <w:rFonts w:ascii="Times New Roman" w:cs="Times New Roman" w:eastAsia="Times New Roman" w:hAnsi="Times New Roman"/>
          <w:rtl w:val="0"/>
        </w:rPr>
        <w:t xml:space="preserve"> Miño y Dávila Editores.</w:t>
      </w:r>
    </w:p>
    <w:p w:rsidR="00000000" w:rsidDel="00000000" w:rsidP="00000000" w:rsidRDefault="00000000" w:rsidRPr="00000000" w14:paraId="00000062">
      <w:pPr>
        <w:spacing w:line="240" w:lineRule="auto"/>
        <w:ind w:left="720.0000000000001" w:hanging="720.000000000000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Díaz Barriga, Á. (2003). </w:t>
      </w:r>
      <w:r w:rsidDel="00000000" w:rsidR="00000000" w:rsidRPr="00000000">
        <w:rPr>
          <w:rFonts w:ascii="Times New Roman" w:cs="Times New Roman" w:eastAsia="Times New Roman" w:hAnsi="Times New Roman"/>
          <w:i w:val="1"/>
          <w:iCs w:val="1"/>
          <w:rtl w:val="0"/>
        </w:rPr>
        <w:t xml:space="preserve">Currículum</w:t>
      </w:r>
      <w:r w:rsidDel="00000000" w:rsidR="00000000" w:rsidRPr="00000000">
        <w:rPr>
          <w:rFonts w:ascii="Times New Roman" w:cs="Times New Roman" w:eastAsia="Times New Roman" w:hAnsi="Times New Roman"/>
          <w:rtl w:val="0"/>
        </w:rPr>
        <w:t xml:space="preserve">. Tensiones conceptuales y prácticas. </w:t>
      </w:r>
      <w:r w:rsidDel="00000000" w:rsidR="00000000" w:rsidRPr="00000000">
        <w:rPr>
          <w:rFonts w:ascii="Times New Roman" w:cs="Times New Roman" w:eastAsia="Times New Roman" w:hAnsi="Times New Roman"/>
          <w:i w:val="1"/>
          <w:iCs w:val="1"/>
          <w:rtl w:val="0"/>
        </w:rPr>
        <w:t xml:space="preserve">Revista Electrónica de Investigación Educativa</w:t>
      </w:r>
      <w:r w:rsidDel="00000000" w:rsidR="00000000" w:rsidRPr="00000000">
        <w:rPr>
          <w:rFonts w:ascii="Times New Roman" w:cs="Times New Roman" w:eastAsia="Times New Roman" w:hAnsi="Times New Roman"/>
          <w:rtl w:val="0"/>
        </w:rPr>
        <w:t xml:space="preserve">, 5(2), 1-13.</w:t>
      </w:r>
    </w:p>
    <w:p w:rsidR="00000000" w:rsidDel="00000000" w:rsidP="00000000" w:rsidRDefault="00000000" w:rsidRPr="00000000" w14:paraId="00000063">
      <w:pPr>
        <w:spacing w:line="240" w:lineRule="auto"/>
        <w:ind w:left="720.0000000000001" w:hanging="720.000000000000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Fernández, T. (Coord.). (2010). </w:t>
      </w:r>
      <w:r w:rsidDel="00000000" w:rsidR="00000000" w:rsidRPr="00000000">
        <w:rPr>
          <w:rFonts w:ascii="Times New Roman" w:cs="Times New Roman" w:eastAsia="Times New Roman" w:hAnsi="Times New Roman"/>
          <w:i w:val="1"/>
          <w:iCs w:val="1"/>
          <w:rtl w:val="0"/>
        </w:rPr>
        <w:t xml:space="preserve">La desafiliación en la educación media y superior de Uruguay: Conceptos, estudios y políticas.</w:t>
      </w:r>
      <w:r w:rsidDel="00000000" w:rsidR="00000000" w:rsidRPr="00000000">
        <w:rPr>
          <w:rFonts w:ascii="Times New Roman" w:cs="Times New Roman" w:eastAsia="Times New Roman" w:hAnsi="Times New Roman"/>
          <w:rtl w:val="0"/>
        </w:rPr>
        <w:t xml:space="preserve"> Comisión Sectorial de Investigación Científica (CSIC) - Universidad de la República.</w:t>
      </w:r>
    </w:p>
    <w:p w:rsidR="00000000" w:rsidDel="00000000" w:rsidP="00000000" w:rsidRDefault="00000000" w:rsidRPr="00000000" w14:paraId="00000064">
      <w:pPr>
        <w:spacing w:line="240" w:lineRule="auto"/>
        <w:ind w:left="720.0000000000001" w:hanging="720.000000000000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Gimeno Sacristán, J. (1998). </w:t>
      </w:r>
      <w:r w:rsidDel="00000000" w:rsidR="00000000" w:rsidRPr="00000000">
        <w:rPr>
          <w:rFonts w:ascii="Times New Roman" w:cs="Times New Roman" w:eastAsia="Times New Roman" w:hAnsi="Times New Roman"/>
          <w:i w:val="1"/>
          <w:iCs w:val="1"/>
          <w:rtl w:val="0"/>
        </w:rPr>
        <w:t xml:space="preserve">El currículum: una reflexión sobre la práctica.</w:t>
      </w:r>
      <w:r w:rsidDel="00000000" w:rsidR="00000000" w:rsidRPr="00000000">
        <w:rPr>
          <w:rFonts w:ascii="Times New Roman" w:cs="Times New Roman" w:eastAsia="Times New Roman" w:hAnsi="Times New Roman"/>
          <w:rtl w:val="0"/>
        </w:rPr>
        <w:t xml:space="preserve"> Ediciones Morata.</w:t>
      </w:r>
    </w:p>
    <w:p w:rsidR="00000000" w:rsidDel="00000000" w:rsidP="00000000" w:rsidRDefault="00000000" w:rsidRPr="00000000" w14:paraId="00000065">
      <w:pPr>
        <w:spacing w:line="240" w:lineRule="auto"/>
        <w:ind w:left="720.0000000000001" w:hanging="720.000000000000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Protesoni, A., Chiavone, L., Madriaga, C., Pequeño, I., &amp; Gadea, S. (2026). Ritmos de avance curricular y sentidos otorgados a las trayectorias académicas</w:t>
      </w:r>
      <w:r w:rsidDel="00000000" w:rsidR="00000000" w:rsidRPr="00000000">
        <w:rPr>
          <w:rFonts w:ascii="Times New Roman" w:cs="Times New Roman" w:eastAsia="Times New Roman" w:hAnsi="Times New Roman"/>
          <w:i w:val="1"/>
          <w:iCs w:val="1"/>
          <w:rtl w:val="0"/>
        </w:rPr>
        <w:t xml:space="preserve">. Revista De Educación Superior Del Sur Global - RESUR</w:t>
      </w:r>
      <w:r w:rsidDel="00000000" w:rsidR="00000000" w:rsidRPr="00000000">
        <w:rPr>
          <w:rFonts w:ascii="Times New Roman" w:cs="Times New Roman" w:eastAsia="Times New Roman" w:hAnsi="Times New Roman"/>
          <w:rtl w:val="0"/>
        </w:rPr>
        <w:t xml:space="preserve">, (21). </w:t>
      </w:r>
      <w:hyperlink r:id="rId8">
        <w:r w:rsidDel="00000000" w:rsidR="00000000" w:rsidRPr="00000000">
          <w:rPr>
            <w:rFonts w:ascii="Times New Roman" w:cs="Times New Roman" w:eastAsia="Times New Roman" w:hAnsi="Times New Roman"/>
            <w:color w:val="1155cc"/>
            <w:u w:val="single"/>
            <w:rtl w:val="0"/>
          </w:rPr>
          <w:t xml:space="preserve">https:/doi.org/10.25087/resur21a1</w:t>
        </w:r>
      </w:hyperlink>
      <w:r w:rsidDel="00000000" w:rsidR="00000000" w:rsidRPr="00000000">
        <w:rPr>
          <w:rtl w:val="0"/>
        </w:rPr>
      </w:r>
    </w:p>
    <w:p w:rsidR="00000000" w:rsidDel="00000000" w:rsidP="00000000" w:rsidRDefault="00000000" w:rsidRPr="00000000" w14:paraId="00000066">
      <w:pPr>
        <w:spacing w:line="240" w:lineRule="auto"/>
        <w:ind w:left="720.0000000000001" w:hanging="720.000000000000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Rama, C. (2006). </w:t>
      </w:r>
      <w:r w:rsidDel="00000000" w:rsidR="00000000" w:rsidRPr="00000000">
        <w:rPr>
          <w:rFonts w:ascii="Times New Roman" w:cs="Times New Roman" w:eastAsia="Times New Roman" w:hAnsi="Times New Roman"/>
          <w:i w:val="1"/>
          <w:iCs w:val="1"/>
          <w:rtl w:val="0"/>
        </w:rPr>
        <w:t xml:space="preserve">La tercera reforma de la educación superior en América Latina.</w:t>
      </w:r>
      <w:r w:rsidDel="00000000" w:rsidR="00000000" w:rsidRPr="00000000">
        <w:rPr>
          <w:rFonts w:ascii="Times New Roman" w:cs="Times New Roman" w:eastAsia="Times New Roman" w:hAnsi="Times New Roman"/>
          <w:rtl w:val="0"/>
        </w:rPr>
        <w:t xml:space="preserve"> Fondo de Cultura Económica.</w:t>
      </w:r>
      <w:r w:rsidDel="00000000" w:rsidR="00000000" w:rsidRPr="00000000">
        <w:rPr>
          <w:rtl w:val="0"/>
        </w:rPr>
      </w:r>
    </w:p>
    <w:sectPr>
      <w:headerReference r:id="rId9" w:type="default"/>
      <w:footerReference r:id="rId10" w:type="default"/>
      <w:pgSz w:h="16838" w:w="11906" w:orient="portrait"/>
      <w:pgMar w:bottom="1843" w:top="2410" w:left="1701" w:right="1701" w:header="284"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Tahoma">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5400040" cy="428625"/>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400040" cy="428625"/>
                  </a:xfrm>
                  <a:prstGeom prst="rect"/>
                  <a:ln/>
                </pic:spPr>
              </pic:pic>
            </a:graphicData>
          </a:graphic>
        </wp:inline>
      </w:drawing>
    </w: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2617939" cy="1091320"/>
          <wp:effectExtent b="0" l="0" r="0" t="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2617939" cy="109132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s_419"/>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https://doi.org/10.3316/QRJ0902027" TargetMode="External"/><Relationship Id="rId7" Type="http://schemas.openxmlformats.org/officeDocument/2006/relationships/hyperlink" Target="https://doi.org/10.3316/QRJ0902027" TargetMode="External"/><Relationship Id="rId8" Type="http://schemas.openxmlformats.org/officeDocument/2006/relationships/hyperlink" Target="http://doi.org/10.25087/resur21a1"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