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2C2628" w:rsidRDefault="00C802F5" w:rsidP="001923DC">
      <w:pPr>
        <w:jc w:val="center"/>
        <w:rPr>
          <w:rFonts w:ascii="Times New Roman" w:hAnsi="Times New Roman" w:cs="Times New Roman"/>
          <w:color w:val="000000" w:themeColor="text1"/>
        </w:rPr>
      </w:pPr>
    </w:p>
    <w:p w14:paraId="6ADD0C76" w14:textId="1485DF50" w:rsidR="008040EC" w:rsidRPr="002C2628" w:rsidRDefault="008040EC" w:rsidP="008040EC">
      <w:pPr>
        <w:jc w:val="center"/>
        <w:rPr>
          <w:rFonts w:ascii="Times New Roman" w:hAnsi="Times New Roman" w:cs="Times New Roman"/>
          <w:b/>
          <w:bCs/>
          <w:color w:val="000000" w:themeColor="text1"/>
        </w:rPr>
      </w:pPr>
      <w:r w:rsidRPr="002C2628">
        <w:rPr>
          <w:rFonts w:ascii="Times New Roman" w:hAnsi="Times New Roman" w:cs="Times New Roman"/>
          <w:b/>
          <w:bCs/>
          <w:color w:val="000000" w:themeColor="text1"/>
        </w:rPr>
        <w:t>Vocaciones científicas en carreras profesionalizantes: políticas institucionales, articulación curricular e innovación en prácticas de investigación</w:t>
      </w:r>
      <w:r w:rsidR="002337CB">
        <w:rPr>
          <w:rFonts w:ascii="Times New Roman" w:hAnsi="Times New Roman" w:cs="Times New Roman"/>
          <w:b/>
          <w:bCs/>
          <w:color w:val="000000" w:themeColor="text1"/>
        </w:rPr>
        <w:t>.</w:t>
      </w:r>
    </w:p>
    <w:p w14:paraId="43C49479" w14:textId="77777777" w:rsidR="005F3B2E" w:rsidRPr="002C2628" w:rsidRDefault="005F3B2E" w:rsidP="001923DC">
      <w:pPr>
        <w:jc w:val="center"/>
        <w:rPr>
          <w:rFonts w:ascii="Times New Roman" w:hAnsi="Times New Roman" w:cs="Times New Roman"/>
          <w:color w:val="000000" w:themeColor="text1"/>
        </w:rPr>
      </w:pPr>
    </w:p>
    <w:p w14:paraId="4E738780" w14:textId="2A58C7FA" w:rsidR="005F3B2E" w:rsidRPr="002C2628" w:rsidRDefault="00B0374E" w:rsidP="005F3B2E">
      <w:pPr>
        <w:spacing w:after="0" w:line="240" w:lineRule="auto"/>
        <w:jc w:val="right"/>
        <w:rPr>
          <w:rFonts w:ascii="Times New Roman" w:hAnsi="Times New Roman" w:cs="Times New Roman"/>
          <w:color w:val="000000" w:themeColor="text1"/>
        </w:rPr>
      </w:pPr>
      <w:r w:rsidRPr="002C2628">
        <w:rPr>
          <w:rFonts w:ascii="Times New Roman" w:hAnsi="Times New Roman" w:cs="Times New Roman"/>
          <w:color w:val="000000" w:themeColor="text1"/>
        </w:rPr>
        <w:t>Martínez Julio Alejandro</w:t>
      </w:r>
    </w:p>
    <w:p w14:paraId="6C2AECCA" w14:textId="0762EF75" w:rsidR="005F3B2E" w:rsidRPr="003820D8" w:rsidRDefault="00B0374E" w:rsidP="005F3B2E">
      <w:pPr>
        <w:spacing w:after="0" w:line="240" w:lineRule="auto"/>
        <w:jc w:val="right"/>
        <w:rPr>
          <w:rFonts w:ascii="Times New Roman" w:hAnsi="Times New Roman" w:cs="Times New Roman"/>
          <w:color w:val="000000" w:themeColor="text1"/>
        </w:rPr>
      </w:pPr>
      <w:r w:rsidRPr="002C2628">
        <w:rPr>
          <w:rFonts w:ascii="Times New Roman" w:hAnsi="Times New Roman" w:cs="Times New Roman"/>
          <w:color w:val="000000" w:themeColor="text1"/>
        </w:rPr>
        <w:t xml:space="preserve">Universidad Nacional de </w:t>
      </w:r>
      <w:r w:rsidR="003820D8" w:rsidRPr="003820D8">
        <w:rPr>
          <w:rFonts w:ascii="Times New Roman" w:hAnsi="Times New Roman" w:cs="Times New Roman"/>
          <w:color w:val="000000" w:themeColor="text1"/>
        </w:rPr>
        <w:t>L</w:t>
      </w:r>
      <w:r w:rsidRPr="003820D8">
        <w:rPr>
          <w:rFonts w:ascii="Times New Roman" w:hAnsi="Times New Roman" w:cs="Times New Roman"/>
          <w:color w:val="000000" w:themeColor="text1"/>
        </w:rPr>
        <w:t>a Matanza</w:t>
      </w:r>
    </w:p>
    <w:p w14:paraId="7D0026CD" w14:textId="223ED0AB" w:rsidR="005F3B2E" w:rsidRPr="003820D8" w:rsidRDefault="00B0374E" w:rsidP="005F3B2E">
      <w:pPr>
        <w:spacing w:after="0" w:line="240" w:lineRule="auto"/>
        <w:jc w:val="right"/>
        <w:rPr>
          <w:rFonts w:ascii="Times New Roman" w:hAnsi="Times New Roman" w:cs="Times New Roman"/>
          <w:color w:val="000000" w:themeColor="text1"/>
        </w:rPr>
      </w:pPr>
      <w:r w:rsidRPr="003820D8">
        <w:rPr>
          <w:rFonts w:ascii="Times New Roman" w:hAnsi="Times New Roman" w:cs="Times New Roman"/>
          <w:color w:val="000000" w:themeColor="text1"/>
        </w:rPr>
        <w:t>almartinez@unlam.edu.ar</w:t>
      </w:r>
    </w:p>
    <w:p w14:paraId="1FA0F857" w14:textId="77777777" w:rsidR="005F3B2E" w:rsidRPr="003820D8" w:rsidRDefault="005F3B2E" w:rsidP="005F3B2E">
      <w:pPr>
        <w:rPr>
          <w:rFonts w:ascii="Times New Roman" w:hAnsi="Times New Roman" w:cs="Times New Roman"/>
          <w:color w:val="000000" w:themeColor="text1"/>
        </w:rPr>
      </w:pPr>
    </w:p>
    <w:p w14:paraId="1275A9C7" w14:textId="1143DACD" w:rsidR="005F3B2E" w:rsidRPr="003820D8" w:rsidRDefault="00B0374E" w:rsidP="005F3B2E">
      <w:pPr>
        <w:spacing w:after="0" w:line="240" w:lineRule="auto"/>
        <w:jc w:val="right"/>
        <w:rPr>
          <w:rFonts w:ascii="Times New Roman" w:hAnsi="Times New Roman" w:cs="Times New Roman"/>
          <w:color w:val="000000" w:themeColor="text1"/>
        </w:rPr>
      </w:pPr>
      <w:r w:rsidRPr="003820D8">
        <w:rPr>
          <w:rFonts w:ascii="Times New Roman" w:hAnsi="Times New Roman" w:cs="Times New Roman"/>
          <w:color w:val="000000" w:themeColor="text1"/>
        </w:rPr>
        <w:t>Ragusa Facundo Luis</w:t>
      </w:r>
    </w:p>
    <w:p w14:paraId="7B8FA3F6" w14:textId="1BDC702A" w:rsidR="00B0374E" w:rsidRPr="002C2628" w:rsidRDefault="00B0374E" w:rsidP="00B0374E">
      <w:pPr>
        <w:spacing w:after="0" w:line="240" w:lineRule="auto"/>
        <w:jc w:val="right"/>
        <w:rPr>
          <w:rFonts w:ascii="Times New Roman" w:hAnsi="Times New Roman" w:cs="Times New Roman"/>
          <w:color w:val="000000" w:themeColor="text1"/>
        </w:rPr>
      </w:pPr>
      <w:r w:rsidRPr="003820D8">
        <w:rPr>
          <w:rFonts w:ascii="Times New Roman" w:hAnsi="Times New Roman" w:cs="Times New Roman"/>
          <w:color w:val="000000" w:themeColor="text1"/>
        </w:rPr>
        <w:t xml:space="preserve">Universidad Nacional de </w:t>
      </w:r>
      <w:r w:rsidR="003820D8" w:rsidRPr="003820D8">
        <w:rPr>
          <w:rFonts w:ascii="Times New Roman" w:hAnsi="Times New Roman" w:cs="Times New Roman"/>
          <w:color w:val="000000" w:themeColor="text1"/>
        </w:rPr>
        <w:t>L</w:t>
      </w:r>
      <w:r w:rsidRPr="003820D8">
        <w:rPr>
          <w:rFonts w:ascii="Times New Roman" w:hAnsi="Times New Roman" w:cs="Times New Roman"/>
          <w:color w:val="000000" w:themeColor="text1"/>
        </w:rPr>
        <w:t>a Matanza</w:t>
      </w:r>
    </w:p>
    <w:p w14:paraId="3CAC774D" w14:textId="6149F33F" w:rsidR="005F3B2E" w:rsidRPr="002C2628" w:rsidRDefault="00B0374E" w:rsidP="005F3B2E">
      <w:pPr>
        <w:spacing w:after="0" w:line="240" w:lineRule="auto"/>
        <w:jc w:val="right"/>
        <w:rPr>
          <w:rFonts w:ascii="Times New Roman" w:hAnsi="Times New Roman" w:cs="Times New Roman"/>
          <w:color w:val="000000" w:themeColor="text1"/>
        </w:rPr>
      </w:pPr>
      <w:r w:rsidRPr="002C2628">
        <w:rPr>
          <w:rFonts w:ascii="Times New Roman" w:hAnsi="Times New Roman" w:cs="Times New Roman"/>
          <w:color w:val="000000" w:themeColor="text1"/>
        </w:rPr>
        <w:t>fragusa@unlam.edu.ar</w:t>
      </w:r>
    </w:p>
    <w:p w14:paraId="640847CC" w14:textId="77777777" w:rsidR="005F3B2E" w:rsidRPr="002C2628" w:rsidRDefault="005F3B2E" w:rsidP="005F3B2E">
      <w:pPr>
        <w:spacing w:after="0" w:line="240" w:lineRule="auto"/>
        <w:jc w:val="right"/>
        <w:rPr>
          <w:rFonts w:ascii="Times New Roman" w:hAnsi="Times New Roman" w:cs="Times New Roman"/>
          <w:color w:val="000000" w:themeColor="text1"/>
        </w:rPr>
      </w:pPr>
    </w:p>
    <w:p w14:paraId="3D73DB11" w14:textId="6D0595D8" w:rsidR="005F3B2E" w:rsidRPr="002C2628" w:rsidRDefault="00C802F5" w:rsidP="00B0374E">
      <w:pPr>
        <w:tabs>
          <w:tab w:val="center" w:pos="4252"/>
          <w:tab w:val="right" w:pos="8504"/>
        </w:tabs>
        <w:spacing w:after="0" w:line="240" w:lineRule="auto"/>
        <w:rPr>
          <w:rFonts w:ascii="Times New Roman" w:hAnsi="Times New Roman" w:cs="Times New Roman"/>
          <w:color w:val="000000" w:themeColor="text1"/>
        </w:rPr>
      </w:pPr>
      <w:r w:rsidRPr="002C2628">
        <w:rPr>
          <w:rFonts w:ascii="Times New Roman" w:hAnsi="Times New Roman" w:cs="Times New Roman"/>
          <w:color w:val="000000" w:themeColor="text1"/>
        </w:rPr>
        <w:tab/>
      </w:r>
      <w:r w:rsidRPr="002C2628">
        <w:rPr>
          <w:rFonts w:ascii="Times New Roman" w:hAnsi="Times New Roman" w:cs="Times New Roman"/>
          <w:color w:val="000000" w:themeColor="text1"/>
        </w:rPr>
        <w:tab/>
      </w:r>
    </w:p>
    <w:p w14:paraId="1B43FD84" w14:textId="77777777" w:rsidR="001923DC" w:rsidRPr="002C2628" w:rsidRDefault="001923DC" w:rsidP="001923DC">
      <w:pPr>
        <w:jc w:val="center"/>
        <w:rPr>
          <w:rFonts w:ascii="Times New Roman" w:hAnsi="Times New Roman" w:cs="Times New Roman"/>
          <w:color w:val="000000" w:themeColor="text1"/>
        </w:rPr>
      </w:pPr>
    </w:p>
    <w:p w14:paraId="7B9027E2" w14:textId="77777777" w:rsidR="00BA642E" w:rsidRPr="002C2628" w:rsidRDefault="00BA642E" w:rsidP="005F3B2E">
      <w:pPr>
        <w:rPr>
          <w:rFonts w:ascii="Times New Roman" w:hAnsi="Times New Roman" w:cs="Times New Roman"/>
          <w:b/>
          <w:bCs/>
          <w:color w:val="000000" w:themeColor="text1"/>
        </w:rPr>
      </w:pPr>
    </w:p>
    <w:p w14:paraId="5F183AD2" w14:textId="77777777" w:rsidR="00494625" w:rsidRPr="002C2628" w:rsidRDefault="00494625">
      <w:pPr>
        <w:rPr>
          <w:rFonts w:ascii="Times New Roman" w:hAnsi="Times New Roman" w:cs="Times New Roman"/>
          <w:b/>
          <w:bCs/>
          <w:color w:val="000000" w:themeColor="text1"/>
          <w:lang w:val="en-US"/>
        </w:rPr>
      </w:pPr>
      <w:r w:rsidRPr="002C2628">
        <w:rPr>
          <w:rFonts w:ascii="Times New Roman" w:hAnsi="Times New Roman" w:cs="Times New Roman"/>
          <w:b/>
          <w:bCs/>
          <w:color w:val="000000" w:themeColor="text1"/>
          <w:lang w:val="en-US"/>
        </w:rPr>
        <w:br w:type="page"/>
      </w:r>
    </w:p>
    <w:p w14:paraId="35A6682C" w14:textId="05C48468" w:rsidR="00BA642E" w:rsidRPr="002C2628" w:rsidRDefault="00BA642E" w:rsidP="007B5B5F">
      <w:pPr>
        <w:spacing w:line="240" w:lineRule="auto"/>
        <w:jc w:val="both"/>
        <w:rPr>
          <w:rFonts w:ascii="Times New Roman" w:hAnsi="Times New Roman" w:cs="Times New Roman"/>
          <w:b/>
          <w:bCs/>
          <w:color w:val="000000" w:themeColor="text1"/>
          <w:lang w:val="en-US"/>
        </w:rPr>
      </w:pPr>
      <w:proofErr w:type="spellStart"/>
      <w:r w:rsidRPr="002C2628">
        <w:rPr>
          <w:rFonts w:ascii="Times New Roman" w:hAnsi="Times New Roman" w:cs="Times New Roman"/>
          <w:b/>
          <w:bCs/>
          <w:color w:val="000000" w:themeColor="text1"/>
          <w:lang w:val="en-US"/>
        </w:rPr>
        <w:lastRenderedPageBreak/>
        <w:t>Resumen</w:t>
      </w:r>
      <w:proofErr w:type="spellEnd"/>
      <w:r w:rsidRPr="002C2628">
        <w:rPr>
          <w:rFonts w:ascii="Times New Roman" w:hAnsi="Times New Roman" w:cs="Times New Roman"/>
          <w:b/>
          <w:bCs/>
          <w:color w:val="000000" w:themeColor="text1"/>
          <w:lang w:val="en-US"/>
        </w:rPr>
        <w:t>:</w:t>
      </w:r>
    </w:p>
    <w:p w14:paraId="70A90776" w14:textId="77777777" w:rsidR="00494625" w:rsidRPr="002C2628" w:rsidRDefault="00494625" w:rsidP="00494625">
      <w:pPr>
        <w:spacing w:line="240" w:lineRule="auto"/>
        <w:jc w:val="both"/>
        <w:rPr>
          <w:rFonts w:ascii="Times New Roman" w:hAnsi="Times New Roman" w:cs="Times New Roman"/>
          <w:color w:val="000000" w:themeColor="text1"/>
        </w:rPr>
      </w:pPr>
      <w:r w:rsidRPr="002C2628">
        <w:rPr>
          <w:rFonts w:ascii="Times New Roman" w:hAnsi="Times New Roman" w:cs="Times New Roman"/>
          <w:color w:val="000000" w:themeColor="text1"/>
        </w:rPr>
        <w:t>La investigación constituye una de las funciones sustantivas de la universidad y desempeña un papel estratégico en la producción de conocimiento, la formación de recursos humanos y la vinculación con las demandas sociales. En las carreras de grado profesionalizantes, particularmente en el campo de las ciencias económicas, la formación para la investigación representa un desafío permanente, debido a que el perfil profesional suele ocupar un lugar predominante dentro de las propuestas curriculares. En este escenario, fortalecer las vocaciones científicas implica generar decisiones institucionales y curriculares capaces de incorporar la investigación como una dimensión constitutiva de la formación universitaria.</w:t>
      </w:r>
    </w:p>
    <w:p w14:paraId="1F9027B7" w14:textId="77777777" w:rsidR="00494625" w:rsidRPr="002C2628" w:rsidRDefault="00494625" w:rsidP="00494625">
      <w:pPr>
        <w:spacing w:line="240" w:lineRule="auto"/>
        <w:jc w:val="both"/>
        <w:rPr>
          <w:rFonts w:ascii="Times New Roman" w:hAnsi="Times New Roman" w:cs="Times New Roman"/>
          <w:color w:val="000000" w:themeColor="text1"/>
        </w:rPr>
      </w:pPr>
      <w:r w:rsidRPr="002C2628">
        <w:rPr>
          <w:rFonts w:ascii="Times New Roman" w:hAnsi="Times New Roman" w:cs="Times New Roman"/>
          <w:color w:val="000000" w:themeColor="text1"/>
        </w:rPr>
        <w:t xml:space="preserve">La presente ponencia expone avances de una investigación en desarrollo, radicada en el Departamento de Ciencias Económicas de la Universidad Nacional de La Matanza, denominada </w:t>
      </w:r>
      <w:r w:rsidRPr="002C2628">
        <w:rPr>
          <w:rFonts w:ascii="Times New Roman" w:hAnsi="Times New Roman" w:cs="Times New Roman"/>
          <w:i/>
          <w:iCs/>
          <w:color w:val="000000" w:themeColor="text1"/>
        </w:rPr>
        <w:t>“Decisiones en torno a políticas para la promoción y el fortalecimiento de vocaciones científicas en carreras de grado profesionalizantes”</w:t>
      </w:r>
      <w:r w:rsidRPr="002C2628">
        <w:rPr>
          <w:rFonts w:ascii="Times New Roman" w:hAnsi="Times New Roman" w:cs="Times New Roman"/>
          <w:color w:val="000000" w:themeColor="text1"/>
        </w:rPr>
        <w:t xml:space="preserve"> (PROINCE). El estudio tiene como objetivo analizar las decisiones institucionales orientadas a fortalecer la formación para la investigación y promover vocaciones científicas en carreras profesionalizantes. Desde un enfoque cualitativo y descriptivo, la investigación articula el análisis de documentos normativos e institucionales, el relevamiento de políticas públicas vinculadas con la promoción de la investigación y el estudio de decisiones académicas implementadas en el Departamento de Ciencias Económicas, constituyendo este último el caso de estudio de la investigación.</w:t>
      </w:r>
    </w:p>
    <w:p w14:paraId="7850560B" w14:textId="77777777" w:rsidR="00494625" w:rsidRPr="002C2628" w:rsidRDefault="00494625" w:rsidP="00494625">
      <w:pPr>
        <w:spacing w:line="240" w:lineRule="auto"/>
        <w:jc w:val="both"/>
        <w:rPr>
          <w:rFonts w:ascii="Times New Roman" w:hAnsi="Times New Roman" w:cs="Times New Roman"/>
          <w:color w:val="000000" w:themeColor="text1"/>
        </w:rPr>
      </w:pPr>
      <w:r w:rsidRPr="002C2628">
        <w:rPr>
          <w:rFonts w:ascii="Times New Roman" w:hAnsi="Times New Roman" w:cs="Times New Roman"/>
          <w:color w:val="000000" w:themeColor="text1"/>
        </w:rPr>
        <w:t xml:space="preserve">Los avances alcanzados permiten reconocer que uno de los principales impulsores de estas decisiones se vincula con el proceso de acreditación de la carrera de Contador Público y con las transformaciones institucionales promovidas a partir de los estándares establecidos por el Consejo de Decanos de Ciencias Económicas y las políticas de aseguramiento de la calidad impulsadas por la CONEAU. En este marco, el Departamento de Ciencias Económicas de la Universidad Nacional de La Matanza ha desarrollado diferentes estrategias para fortalecer la función de investigación. Entre ellas se destaca el lugar que ocupa la asignatura </w:t>
      </w:r>
      <w:r w:rsidRPr="002C2628">
        <w:rPr>
          <w:rFonts w:ascii="Times New Roman" w:hAnsi="Times New Roman" w:cs="Times New Roman"/>
          <w:i/>
          <w:iCs/>
          <w:color w:val="000000" w:themeColor="text1"/>
        </w:rPr>
        <w:t>Introducción al Conocimiento Científico</w:t>
      </w:r>
      <w:r w:rsidRPr="002C2628">
        <w:rPr>
          <w:rFonts w:ascii="Times New Roman" w:hAnsi="Times New Roman" w:cs="Times New Roman"/>
          <w:color w:val="000000" w:themeColor="text1"/>
        </w:rPr>
        <w:t>, actualmente en proceso de revisión y actualización curricular, como un espacio estratégico para el desarrollo de capacidades investigativas y la aproximación temprana de los estudiantes a la producción de conocimiento científico.</w:t>
      </w:r>
    </w:p>
    <w:p w14:paraId="3D01D789" w14:textId="77777777" w:rsidR="00494625" w:rsidRPr="002C2628" w:rsidRDefault="00494625" w:rsidP="00494625">
      <w:pPr>
        <w:spacing w:line="240" w:lineRule="auto"/>
        <w:jc w:val="both"/>
        <w:rPr>
          <w:rFonts w:ascii="Times New Roman" w:hAnsi="Times New Roman" w:cs="Times New Roman"/>
          <w:color w:val="000000" w:themeColor="text1"/>
        </w:rPr>
      </w:pPr>
      <w:r w:rsidRPr="002C2628">
        <w:rPr>
          <w:rFonts w:ascii="Times New Roman" w:hAnsi="Times New Roman" w:cs="Times New Roman"/>
          <w:color w:val="000000" w:themeColor="text1"/>
        </w:rPr>
        <w:t>En un plano más amplio, el relevamiento realizado permitió identificar un conjunto de políticas públicas orientadas a promover la iniciación científica de estudiantes universitarios, entre ellas las Becas de Estímulo a las Vocaciones Científicas (EVC-CIN), el Programa de Promoción de Vocaciones Científicas (</w:t>
      </w:r>
      <w:proofErr w:type="spellStart"/>
      <w:r w:rsidRPr="002C2628">
        <w:rPr>
          <w:rFonts w:ascii="Times New Roman" w:hAnsi="Times New Roman" w:cs="Times New Roman"/>
          <w:color w:val="000000" w:themeColor="text1"/>
        </w:rPr>
        <w:t>VocAr</w:t>
      </w:r>
      <w:proofErr w:type="spellEnd"/>
      <w:r w:rsidRPr="002C2628">
        <w:rPr>
          <w:rFonts w:ascii="Times New Roman" w:hAnsi="Times New Roman" w:cs="Times New Roman"/>
          <w:color w:val="000000" w:themeColor="text1"/>
        </w:rPr>
        <w:t xml:space="preserve">) del CONICET y la iniciativa </w:t>
      </w:r>
      <w:r w:rsidRPr="002C2628">
        <w:rPr>
          <w:rFonts w:ascii="Times New Roman" w:hAnsi="Times New Roman" w:cs="Times New Roman"/>
          <w:i/>
          <w:iCs/>
          <w:color w:val="000000" w:themeColor="text1"/>
        </w:rPr>
        <w:t>Científicos y Científicas Van a la Escuela</w:t>
      </w:r>
      <w:r w:rsidRPr="002C2628">
        <w:rPr>
          <w:rFonts w:ascii="Times New Roman" w:hAnsi="Times New Roman" w:cs="Times New Roman"/>
          <w:color w:val="000000" w:themeColor="text1"/>
        </w:rPr>
        <w:t>, impulsada por el entonces Ministerio de Ciencia, Tecnología e Innovación. Asimismo, el estudio incorpora como contexto el análisis de la formación para la investigación en la educación secundaria obligatoria de la provincia de Buenos Aires, identificando que las propuestas vinculadas al desarrollo de capacidades científicas en el campo de las ciencias económicas continúan siendo limitadas, configurando un escenario que condiciona las trayectorias con las que los estudiantes ingresan a la universidad.</w:t>
      </w:r>
    </w:p>
    <w:p w14:paraId="0AB68035" w14:textId="1724D625" w:rsidR="00494625" w:rsidRPr="002C2628" w:rsidRDefault="00494625" w:rsidP="00494625">
      <w:pPr>
        <w:spacing w:line="240" w:lineRule="auto"/>
        <w:jc w:val="both"/>
        <w:rPr>
          <w:rFonts w:ascii="Times New Roman" w:hAnsi="Times New Roman" w:cs="Times New Roman"/>
          <w:color w:val="000000" w:themeColor="text1"/>
        </w:rPr>
      </w:pPr>
      <w:r w:rsidRPr="002C2628">
        <w:rPr>
          <w:rFonts w:ascii="Times New Roman" w:hAnsi="Times New Roman" w:cs="Times New Roman"/>
          <w:color w:val="000000" w:themeColor="text1"/>
        </w:rPr>
        <w:lastRenderedPageBreak/>
        <w:t xml:space="preserve">Los resultados preliminares permiten sostener que la promoción de vocaciones científicas en carreras profesionalizantes no depende exclusivamente del interés individual de los estudiantes, sino de un conjunto de decisiones curriculares, pedagógicas e institucionales que favorezcan la formación para la investigación desde los primeros años de la trayectoria universitaria. </w:t>
      </w:r>
      <w:r w:rsidR="00866FFD" w:rsidRPr="00866FFD">
        <w:rPr>
          <w:rFonts w:ascii="Times New Roman" w:hAnsi="Times New Roman" w:cs="Times New Roman"/>
          <w:color w:val="000000" w:themeColor="text1"/>
        </w:rPr>
        <w:t>En esta línea</w:t>
      </w:r>
      <w:r w:rsidRPr="00866FFD">
        <w:rPr>
          <w:rFonts w:ascii="Times New Roman" w:hAnsi="Times New Roman" w:cs="Times New Roman"/>
          <w:color w:val="000000" w:themeColor="text1"/>
        </w:rPr>
        <w:t>, la</w:t>
      </w:r>
      <w:r w:rsidRPr="002C2628">
        <w:rPr>
          <w:rFonts w:ascii="Times New Roman" w:hAnsi="Times New Roman" w:cs="Times New Roman"/>
          <w:color w:val="000000" w:themeColor="text1"/>
        </w:rPr>
        <w:t xml:space="preserve"> investigación aporta evidencias sobre el papel que desempeñan las políticas institucionales, la organización curricular y los dispositivos académicos de acompañamiento en la construcción de trayectorias formativas orientadas a la investigación, contribuyendo al debate sobre los desafíos pedagógicos y curriculares que atraviesan la enseñanza universitaria en carreras de grado profesionalizantes.</w:t>
      </w:r>
    </w:p>
    <w:p w14:paraId="453315DC" w14:textId="77777777" w:rsidR="00494625" w:rsidRPr="002C2628" w:rsidRDefault="00494625" w:rsidP="007B5B5F">
      <w:pPr>
        <w:spacing w:line="240" w:lineRule="auto"/>
        <w:jc w:val="both"/>
        <w:rPr>
          <w:rFonts w:ascii="Times New Roman" w:hAnsi="Times New Roman" w:cs="Times New Roman"/>
          <w:b/>
          <w:bCs/>
          <w:color w:val="000000" w:themeColor="text1"/>
        </w:rPr>
      </w:pPr>
    </w:p>
    <w:p w14:paraId="2994BAB3" w14:textId="082023AC" w:rsidR="00BA642E" w:rsidRPr="002C2628" w:rsidRDefault="00BA642E" w:rsidP="007B5B5F">
      <w:pPr>
        <w:spacing w:line="240" w:lineRule="auto"/>
        <w:jc w:val="both"/>
        <w:rPr>
          <w:rFonts w:ascii="Times New Roman" w:hAnsi="Times New Roman" w:cs="Times New Roman"/>
          <w:b/>
          <w:bCs/>
          <w:color w:val="000000" w:themeColor="text1"/>
        </w:rPr>
      </w:pPr>
      <w:r w:rsidRPr="002C2628">
        <w:rPr>
          <w:rFonts w:ascii="Times New Roman" w:hAnsi="Times New Roman" w:cs="Times New Roman"/>
          <w:b/>
          <w:bCs/>
          <w:color w:val="000000" w:themeColor="text1"/>
        </w:rPr>
        <w:t xml:space="preserve">Palabras clave: </w:t>
      </w:r>
      <w:r w:rsidR="00494625" w:rsidRPr="002C2628">
        <w:rPr>
          <w:rFonts w:ascii="Times New Roman" w:hAnsi="Times New Roman" w:cs="Times New Roman"/>
          <w:color w:val="000000" w:themeColor="text1"/>
        </w:rPr>
        <w:t>vocaciones científicas; formación para la investigación; decisiones institucionales; currículo universitario; ciencias económicas.</w:t>
      </w:r>
    </w:p>
    <w:p w14:paraId="6363EE35" w14:textId="77777777" w:rsidR="00494625" w:rsidRPr="002C2628" w:rsidRDefault="00494625">
      <w:pPr>
        <w:rPr>
          <w:rFonts w:ascii="Times New Roman" w:hAnsi="Times New Roman" w:cs="Times New Roman"/>
          <w:b/>
          <w:bCs/>
          <w:color w:val="000000" w:themeColor="text1"/>
        </w:rPr>
      </w:pPr>
      <w:r w:rsidRPr="002C2628">
        <w:rPr>
          <w:rFonts w:ascii="Times New Roman" w:hAnsi="Times New Roman" w:cs="Times New Roman"/>
          <w:b/>
          <w:bCs/>
          <w:color w:val="000000" w:themeColor="text1"/>
        </w:rPr>
        <w:br w:type="page"/>
      </w:r>
    </w:p>
    <w:p w14:paraId="6A5547A1" w14:textId="3F9572DA" w:rsidR="00BA642E" w:rsidRPr="002C2628" w:rsidRDefault="00BA642E" w:rsidP="007B5B5F">
      <w:pPr>
        <w:spacing w:line="240" w:lineRule="auto"/>
        <w:rPr>
          <w:rFonts w:ascii="Times New Roman" w:hAnsi="Times New Roman" w:cs="Times New Roman"/>
          <w:b/>
          <w:bCs/>
          <w:color w:val="000000" w:themeColor="text1"/>
        </w:rPr>
      </w:pPr>
      <w:r w:rsidRPr="002C2628">
        <w:rPr>
          <w:rFonts w:ascii="Times New Roman" w:hAnsi="Times New Roman" w:cs="Times New Roman"/>
          <w:b/>
          <w:bCs/>
          <w:color w:val="000000" w:themeColor="text1"/>
        </w:rPr>
        <w:lastRenderedPageBreak/>
        <w:t>Introducción</w:t>
      </w:r>
    </w:p>
    <w:p w14:paraId="10CBFDBB" w14:textId="48226069" w:rsidR="00494625" w:rsidRPr="002C2628" w:rsidRDefault="00494625" w:rsidP="00494625">
      <w:p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rPr>
        <w:t xml:space="preserve">La investigación constituye una de las funciones sustantivas de la universidad, junto con la enseñanza y la extensión. Su desarrollo no solo contribuye a la producción y circulación de conocimientos científicos, sino que también fortalece la calidad de los procesos formativos, promueve la innovación y favorece la construcción de respuestas a problemáticas sociales, económicas y culturales situadas. </w:t>
      </w:r>
      <w:r w:rsidRPr="00BC317C">
        <w:rPr>
          <w:rFonts w:ascii="Times New Roman" w:hAnsi="Times New Roman" w:cs="Times New Roman"/>
          <w:color w:val="000000" w:themeColor="text1"/>
        </w:rPr>
        <w:t xml:space="preserve">En este </w:t>
      </w:r>
      <w:r w:rsidR="00BC317C" w:rsidRPr="00BC317C">
        <w:rPr>
          <w:rFonts w:ascii="Times New Roman" w:hAnsi="Times New Roman" w:cs="Times New Roman"/>
          <w:color w:val="000000" w:themeColor="text1"/>
        </w:rPr>
        <w:t>marco</w:t>
      </w:r>
      <w:r w:rsidRPr="002C2628">
        <w:rPr>
          <w:rFonts w:ascii="Times New Roman" w:hAnsi="Times New Roman" w:cs="Times New Roman"/>
          <w:color w:val="000000" w:themeColor="text1"/>
        </w:rPr>
        <w:t>, las universidades son llamadas a desempeñar un papel estratégico en la generación de conocimiento socialmente relevante, articulando la formación de recursos humanos con la producción científica y tecnológica. Desde esta perspectiva, la promoción de capacidades investigativas y la incorporación de estudiantes a experiencias tempranas de investigación adquieren una importancia creciente dentro de las agendas institucionales de educación superior.</w:t>
      </w:r>
    </w:p>
    <w:p w14:paraId="7CD1B92F" w14:textId="5E121965" w:rsidR="00494625" w:rsidRPr="002C2628" w:rsidRDefault="00BC317C" w:rsidP="00494625">
      <w:pPr>
        <w:spacing w:line="240" w:lineRule="auto"/>
        <w:jc w:val="both"/>
        <w:rPr>
          <w:rFonts w:ascii="Times New Roman" w:hAnsi="Times New Roman" w:cs="Times New Roman"/>
          <w:color w:val="000000" w:themeColor="text1"/>
          <w:lang w:val="es-ES"/>
        </w:rPr>
      </w:pPr>
      <w:r>
        <w:rPr>
          <w:rFonts w:ascii="Times New Roman" w:hAnsi="Times New Roman" w:cs="Times New Roman"/>
          <w:color w:val="000000" w:themeColor="text1"/>
          <w:lang w:val="es-ES"/>
        </w:rPr>
        <w:t>A partir de estas consideraciones</w:t>
      </w:r>
      <w:r w:rsidR="00494625" w:rsidRPr="002C2628">
        <w:rPr>
          <w:rFonts w:ascii="Times New Roman" w:hAnsi="Times New Roman" w:cs="Times New Roman"/>
          <w:color w:val="000000" w:themeColor="text1"/>
          <w:lang w:val="es-ES"/>
        </w:rPr>
        <w:t xml:space="preserve">, la siguiente ponencia expone avances de una investigación en desarrollo, radicada en el Departamento de Ciencias Económicas de la Universidad Nacional de La Matanza, denominada “Decisiones en torno a políticas para la promoción y el fortalecimiento de vocaciones científicas en carreras de grado profesionalizantes” (PROINCE). El proyecto surge del interés por analizar las estrategias institucionales orientadas a fortalecer la formación en investigación en carreras de perfil profesionalizante, considerando que la consolidación de vocaciones científicas constituye un componente estratégico para el desarrollo de la función de investigación universitaria. Tal como sostiene </w:t>
      </w:r>
      <w:proofErr w:type="spellStart"/>
      <w:r w:rsidR="00494625" w:rsidRPr="002C2628">
        <w:rPr>
          <w:rFonts w:ascii="Times New Roman" w:hAnsi="Times New Roman" w:cs="Times New Roman"/>
          <w:color w:val="000000" w:themeColor="text1"/>
          <w:lang w:val="es-ES"/>
        </w:rPr>
        <w:t>Valleys</w:t>
      </w:r>
      <w:proofErr w:type="spellEnd"/>
      <w:r w:rsidR="00494625" w:rsidRPr="002C2628">
        <w:rPr>
          <w:rFonts w:ascii="Times New Roman" w:hAnsi="Times New Roman" w:cs="Times New Roman"/>
          <w:color w:val="000000" w:themeColor="text1"/>
          <w:lang w:val="es-ES"/>
        </w:rPr>
        <w:t xml:space="preserve"> (2014), la universidad posee la responsabilidad de generar, difundir y divulgar la ciencia, la innovación y el conocimiento, con el propósito de poner a disposición el conocimiento científico a todos los sectores de la sociedad. Frente a este contexto, reflexionar sobre los mecanismos que favorecen la incorporación de nuevas generaciones a las prácticas de investigación resulta una cuestión central para el fortalecimiento de los sistemas universitarios y científicos actuales, debido a que su participación resulta fundamental no solo para la continuidad de las instituciones de educación superior, sino también para fortalecer los vínculos entre la academia, la producción del conocimiento y el desarrollo científico-tecnológico. En este sentido, la promoción de vocaciones científicas constituye un factor estratégico para las agendas de ciencia y educación, al considerar que la formación de investigadores y especialistas resulta indispensable para atender las demandas económicas y sociales de los países (Polino, 2012).</w:t>
      </w:r>
    </w:p>
    <w:p w14:paraId="14BA4081" w14:textId="77777777" w:rsidR="00494625" w:rsidRPr="002C2628" w:rsidRDefault="00494625" w:rsidP="00494625">
      <w:p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lang w:val="es-ES"/>
        </w:rPr>
        <w:t xml:space="preserve">En relación con esta problemática, diversos estudios desarrollados por Polino y Chiappe (2011a, 2011b), y Polino, Chiappe y </w:t>
      </w:r>
      <w:proofErr w:type="spellStart"/>
      <w:r w:rsidRPr="002C2628">
        <w:rPr>
          <w:rFonts w:ascii="Times New Roman" w:hAnsi="Times New Roman" w:cs="Times New Roman"/>
          <w:color w:val="000000" w:themeColor="text1"/>
          <w:lang w:val="es-ES"/>
        </w:rPr>
        <w:t>Castelfranchi</w:t>
      </w:r>
      <w:proofErr w:type="spellEnd"/>
      <w:r w:rsidRPr="002C2628">
        <w:rPr>
          <w:rFonts w:ascii="Times New Roman" w:hAnsi="Times New Roman" w:cs="Times New Roman"/>
          <w:color w:val="000000" w:themeColor="text1"/>
          <w:lang w:val="es-ES"/>
        </w:rPr>
        <w:t xml:space="preserve"> (2011), han analizado los vínculos entre los estudiantes, la ciencia y las trayectorias profesionales en Iberoamérica. A partir de investigaciones realizadas con estudiantes próximos a finalizar la educación media, los autores identifican una limitada preferencia por las carreras científicas, representaciones difusas acerca de la actividad investigativa y percepciones poco precisas sobre el trabajo de los investigadores. A su vez, señalan dificultades vinculadas con la enseñanza de las ciencias y con la capacidad de los sistemas educativos para promover el interés por la producción de conocimiento. Estos hallazgos permiten comprender que el desarrollo de vocaciones científicas no depende exclusivamente de dispositivos individuales, sino </w:t>
      </w:r>
      <w:r w:rsidRPr="002C2628">
        <w:rPr>
          <w:rFonts w:ascii="Times New Roman" w:hAnsi="Times New Roman" w:cs="Times New Roman"/>
          <w:color w:val="000000" w:themeColor="text1"/>
          <w:lang w:val="es-ES"/>
        </w:rPr>
        <w:lastRenderedPageBreak/>
        <w:t>también de las oportunidades formativas y de los dispositivos institucionales que acompañan las trayectorias educativas. En este sentido, la universidad ocupa un lugar estratégico, en tanto puede generar experiencias académicas que favorezcan la aproximación temprana de los estudiantes a las prácticas de investigación y a la construcción del conocimiento científico.</w:t>
      </w:r>
    </w:p>
    <w:p w14:paraId="4849553A" w14:textId="77777777" w:rsidR="00494625" w:rsidRPr="002C2628" w:rsidRDefault="00494625" w:rsidP="00494625">
      <w:p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lang w:val="es-ES"/>
        </w:rPr>
        <w:t xml:space="preserve">Frente a este escenario, resulta necesario profundizar la reflexión sobre las vocaciones científicas como objeto de estudio y como desafío para las instituciones universitarias. En este sentido, diversos trabajos desarrollados en el ámbito de las ciencias naturales y exactas han contribuido a la construcción de marcos conceptuales y evidencias empíricas para comprender los factores que intervienen en el interés de los jóvenes por la actividad científica y la elección de trayectorias vinculadas con la investigación (Vázquez y </w:t>
      </w:r>
      <w:proofErr w:type="spellStart"/>
      <w:r w:rsidRPr="002C2628">
        <w:rPr>
          <w:rFonts w:ascii="Times New Roman" w:hAnsi="Times New Roman" w:cs="Times New Roman"/>
          <w:color w:val="000000" w:themeColor="text1"/>
          <w:lang w:val="es-ES"/>
        </w:rPr>
        <w:t>Manassero</w:t>
      </w:r>
      <w:proofErr w:type="spellEnd"/>
      <w:r w:rsidRPr="002C2628">
        <w:rPr>
          <w:rFonts w:ascii="Times New Roman" w:hAnsi="Times New Roman" w:cs="Times New Roman"/>
          <w:color w:val="000000" w:themeColor="text1"/>
          <w:lang w:val="es-ES"/>
        </w:rPr>
        <w:t xml:space="preserve">, 2007; Vázquez et al., 2007; Vázquez y </w:t>
      </w:r>
      <w:proofErr w:type="spellStart"/>
      <w:r w:rsidRPr="002C2628">
        <w:rPr>
          <w:rFonts w:ascii="Times New Roman" w:hAnsi="Times New Roman" w:cs="Times New Roman"/>
          <w:color w:val="000000" w:themeColor="text1"/>
          <w:lang w:val="es-ES"/>
        </w:rPr>
        <w:t>Manassero</w:t>
      </w:r>
      <w:proofErr w:type="spellEnd"/>
      <w:r w:rsidRPr="002C2628">
        <w:rPr>
          <w:rFonts w:ascii="Times New Roman" w:hAnsi="Times New Roman" w:cs="Times New Roman"/>
          <w:color w:val="000000" w:themeColor="text1"/>
          <w:lang w:val="es-ES"/>
        </w:rPr>
        <w:t xml:space="preserve">, 2008; </w:t>
      </w:r>
      <w:proofErr w:type="spellStart"/>
      <w:r w:rsidRPr="002C2628">
        <w:rPr>
          <w:rFonts w:ascii="Times New Roman" w:hAnsi="Times New Roman" w:cs="Times New Roman"/>
          <w:color w:val="000000" w:themeColor="text1"/>
          <w:lang w:val="es-ES"/>
        </w:rPr>
        <w:t>Zelzman</w:t>
      </w:r>
      <w:proofErr w:type="spellEnd"/>
      <w:r w:rsidRPr="002C2628">
        <w:rPr>
          <w:rFonts w:ascii="Times New Roman" w:hAnsi="Times New Roman" w:cs="Times New Roman"/>
          <w:color w:val="000000" w:themeColor="text1"/>
          <w:lang w:val="es-ES"/>
        </w:rPr>
        <w:t xml:space="preserve"> et al., 2009). Sin embargo, en el campo de las ciencias económicas y otras ciencias aplicadas es otro el panorama con el que nos encontramos, debido a que la literatura es limitada en cuanto a investigaciones que aborden la problemática de las vocaciones científicas en carreras profesionalizantes. Esta situación evidencia la necesidad de generar conocimientos que permitan comprender cómo las universidades promueven la formación en investigación y qué estrategias institucionales, curriculares y pedagógicas resultan más significativas para fortalecer las vocaciones científicas en contextos donde el perfil profesional suele ocupar un lugar predominante en la formación de grado.</w:t>
      </w:r>
    </w:p>
    <w:p w14:paraId="40576D09" w14:textId="77777777" w:rsidR="00494625" w:rsidRPr="002C2628" w:rsidRDefault="00494625" w:rsidP="00494625">
      <w:p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lang w:val="es-ES"/>
        </w:rPr>
        <w:t>Además del estudio de las vocaciones científicas, esta investigación incorpora la categoría de decisión como una dimensión analítica para comprender los procesos mediante los cuales las universidades diseñan, implementan y sostienen políticas orientadas al fortalecimiento de la función de investigación. En esta línea, la revisión de antecedentes recupera los aportes de la teoría de la decisión (</w:t>
      </w:r>
      <w:proofErr w:type="spellStart"/>
      <w:r w:rsidRPr="002C2628">
        <w:rPr>
          <w:rFonts w:ascii="Times New Roman" w:hAnsi="Times New Roman" w:cs="Times New Roman"/>
          <w:color w:val="000000" w:themeColor="text1"/>
          <w:lang w:val="es-ES"/>
        </w:rPr>
        <w:t>Simon</w:t>
      </w:r>
      <w:proofErr w:type="spellEnd"/>
      <w:r w:rsidRPr="002C2628">
        <w:rPr>
          <w:rFonts w:ascii="Times New Roman" w:hAnsi="Times New Roman" w:cs="Times New Roman"/>
          <w:color w:val="000000" w:themeColor="text1"/>
          <w:lang w:val="es-ES"/>
        </w:rPr>
        <w:t xml:space="preserve">, 1978; Pavesi, 1991), así como investigaciones que analizan los procesos decisionales en el ámbito universitario (Pont Vidal y Andre, 2016). Desde esta perspectiva, las vocaciones científicas no son concebidas exclusivamente como el resultado de intereses individuales o de trayectorias personales, sino como una construcción que también se configura a partir de las decisiones institucionales que inciden sobre el currículo, las propuestas de enseñanza, la asignación de recursos, la creación de dispositivos de acompañamiento y las oportunidades de participación en actividades de investigación. </w:t>
      </w:r>
    </w:p>
    <w:p w14:paraId="74FEB960" w14:textId="63D5874D" w:rsidR="00494625" w:rsidRPr="002C2628" w:rsidRDefault="00020221" w:rsidP="00494625">
      <w:pPr>
        <w:spacing w:line="240" w:lineRule="auto"/>
        <w:jc w:val="both"/>
        <w:rPr>
          <w:rFonts w:ascii="Times New Roman" w:hAnsi="Times New Roman" w:cs="Times New Roman"/>
          <w:color w:val="000000" w:themeColor="text1"/>
          <w:lang w:val="es-ES"/>
        </w:rPr>
      </w:pPr>
      <w:r w:rsidRPr="00020221">
        <w:rPr>
          <w:rFonts w:ascii="Times New Roman" w:hAnsi="Times New Roman" w:cs="Times New Roman"/>
          <w:color w:val="000000" w:themeColor="text1"/>
          <w:lang w:val="es-ES"/>
        </w:rPr>
        <w:t>Sobre esta base</w:t>
      </w:r>
      <w:r w:rsidR="00494625" w:rsidRPr="00020221">
        <w:rPr>
          <w:rFonts w:ascii="Times New Roman" w:hAnsi="Times New Roman" w:cs="Times New Roman"/>
          <w:color w:val="000000" w:themeColor="text1"/>
          <w:lang w:val="es-ES"/>
        </w:rPr>
        <w:t>,</w:t>
      </w:r>
      <w:r w:rsidR="00494625" w:rsidRPr="002C2628">
        <w:rPr>
          <w:rFonts w:ascii="Times New Roman" w:hAnsi="Times New Roman" w:cs="Times New Roman"/>
          <w:color w:val="000000" w:themeColor="text1"/>
          <w:lang w:val="es-ES"/>
        </w:rPr>
        <w:t xml:space="preserve"> la investigación centra su </w:t>
      </w:r>
      <w:r w:rsidR="00BC317C" w:rsidRPr="00BC317C">
        <w:rPr>
          <w:rFonts w:ascii="Times New Roman" w:hAnsi="Times New Roman" w:cs="Times New Roman"/>
          <w:color w:val="000000" w:themeColor="text1"/>
          <w:lang w:val="es-ES"/>
        </w:rPr>
        <w:t>análisis</w:t>
      </w:r>
      <w:r w:rsidR="00494625" w:rsidRPr="00BC317C">
        <w:rPr>
          <w:rFonts w:ascii="Times New Roman" w:hAnsi="Times New Roman" w:cs="Times New Roman"/>
          <w:color w:val="000000" w:themeColor="text1"/>
          <w:lang w:val="es-ES"/>
        </w:rPr>
        <w:t xml:space="preserve"> en las decisiones académicas vinculadas con la gestión de la investigación y el desarrollo en el ámbito universitario (Clark, 1991; Toribio, 1999; Vega, 2010), con el propósito de comprender c</w:t>
      </w:r>
      <w:r w:rsidR="00BC317C" w:rsidRPr="00BC317C">
        <w:rPr>
          <w:rFonts w:ascii="Times New Roman" w:hAnsi="Times New Roman" w:cs="Times New Roman"/>
          <w:color w:val="000000" w:themeColor="text1"/>
          <w:lang w:val="es-ES"/>
        </w:rPr>
        <w:t>ó</w:t>
      </w:r>
      <w:r w:rsidR="00494625" w:rsidRPr="00BC317C">
        <w:rPr>
          <w:rFonts w:ascii="Times New Roman" w:hAnsi="Times New Roman" w:cs="Times New Roman"/>
          <w:color w:val="000000" w:themeColor="text1"/>
          <w:lang w:val="es-ES"/>
        </w:rPr>
        <w:t>mo</w:t>
      </w:r>
      <w:r w:rsidR="00494625" w:rsidRPr="002C2628">
        <w:rPr>
          <w:rFonts w:ascii="Times New Roman" w:hAnsi="Times New Roman" w:cs="Times New Roman"/>
          <w:color w:val="000000" w:themeColor="text1"/>
          <w:lang w:val="es-ES"/>
        </w:rPr>
        <w:t xml:space="preserve"> favorecen la formación para la investigación y contribuyen al fortalecimiento de las vocaciones científicas en carreras de grado profesionalizantes.</w:t>
      </w:r>
    </w:p>
    <w:p w14:paraId="6B1A802C" w14:textId="340ECFAC" w:rsidR="00494625" w:rsidRPr="002C2628" w:rsidRDefault="00020221" w:rsidP="00494625">
      <w:pPr>
        <w:spacing w:line="240" w:lineRule="auto"/>
        <w:jc w:val="both"/>
        <w:rPr>
          <w:rFonts w:ascii="Times New Roman" w:hAnsi="Times New Roman" w:cs="Times New Roman"/>
          <w:color w:val="000000" w:themeColor="text1"/>
          <w:lang w:val="es-ES"/>
        </w:rPr>
      </w:pPr>
      <w:r>
        <w:rPr>
          <w:rFonts w:ascii="Times New Roman" w:hAnsi="Times New Roman" w:cs="Times New Roman"/>
          <w:color w:val="000000" w:themeColor="text1"/>
          <w:lang w:val="es-ES"/>
        </w:rPr>
        <w:t>Como parte de este recorrido</w:t>
      </w:r>
      <w:r w:rsidR="00494625" w:rsidRPr="002C2628">
        <w:rPr>
          <w:rFonts w:ascii="Times New Roman" w:hAnsi="Times New Roman" w:cs="Times New Roman"/>
          <w:color w:val="000000" w:themeColor="text1"/>
          <w:lang w:val="es-ES"/>
        </w:rPr>
        <w:t xml:space="preserve">, el presente estudio se inscribe en una trayectoria de investigación desarrollada por el equipo desde 2019, a través de proyectos acreditados radicados en el Departamento de Ciencias Económicas de la Universidad Nacional de </w:t>
      </w:r>
      <w:r w:rsidR="00494625" w:rsidRPr="003D48A8">
        <w:rPr>
          <w:rFonts w:ascii="Times New Roman" w:hAnsi="Times New Roman" w:cs="Times New Roman"/>
          <w:color w:val="000000" w:themeColor="text1"/>
          <w:lang w:val="es-ES"/>
        </w:rPr>
        <w:t>la</w:t>
      </w:r>
      <w:r w:rsidR="00494625" w:rsidRPr="002C2628">
        <w:rPr>
          <w:rFonts w:ascii="Times New Roman" w:hAnsi="Times New Roman" w:cs="Times New Roman"/>
          <w:color w:val="000000" w:themeColor="text1"/>
          <w:lang w:val="es-ES"/>
        </w:rPr>
        <w:t xml:space="preserve"> Matanza, orientados al análisis de los procesos de decisión vinculados con la gestión universitaria y su incidencia en las dinámicas académicas. La continuidad de esta línea de trabajo ha permitido profundizar el estudio de las políticas institucionales, los procesos </w:t>
      </w:r>
      <w:r w:rsidR="00494625" w:rsidRPr="002C2628">
        <w:rPr>
          <w:rFonts w:ascii="Times New Roman" w:hAnsi="Times New Roman" w:cs="Times New Roman"/>
          <w:color w:val="000000" w:themeColor="text1"/>
          <w:lang w:val="es-ES"/>
        </w:rPr>
        <w:lastRenderedPageBreak/>
        <w:t>de innovación curricular y estrategias implementadas para fortalecer las funciones sustantivas de la universidad, consolidando una producción científica sostenida y con transferencia académica comprobable.</w:t>
      </w:r>
    </w:p>
    <w:p w14:paraId="72B41231" w14:textId="77777777" w:rsidR="00494625" w:rsidRPr="002C2628" w:rsidRDefault="00494625" w:rsidP="00494625">
      <w:p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lang w:val="es-ES"/>
        </w:rPr>
        <w:t xml:space="preserve">En el ámbito del sistema universitario argentino, una de las iniciativas más relevantes orientadas a promover la formación para la investigación en estudiantes de grado ha sido el programa de Becas Estímulo a las Vocaciones Científicas (EVC), impulsado por el Consejo Interuniversitario Nacional [CIN] (2024). La convocatoria está destinada a estudiantes de las universidades que integran dicho organismo interesados en iniciar su trayectoria en actividades de investigación, favoreciendo su incorporación temprana a proyectos científicos. Las EVC se desarrollan en el marco del Plan de Fortalecimiento de la Investigación Científica, el Desarrollo Tecnológico y la Innovación en las Universidades Nacionales (Ac. Pl. </w:t>
      </w:r>
      <w:proofErr w:type="spellStart"/>
      <w:r w:rsidRPr="002C2628">
        <w:rPr>
          <w:rFonts w:ascii="Times New Roman" w:hAnsi="Times New Roman" w:cs="Times New Roman"/>
          <w:color w:val="000000" w:themeColor="text1"/>
          <w:lang w:val="es-ES"/>
        </w:rPr>
        <w:t>Nº</w:t>
      </w:r>
      <w:proofErr w:type="spellEnd"/>
      <w:r w:rsidRPr="002C2628">
        <w:rPr>
          <w:rFonts w:ascii="Times New Roman" w:hAnsi="Times New Roman" w:cs="Times New Roman"/>
          <w:color w:val="000000" w:themeColor="text1"/>
          <w:lang w:val="es-ES"/>
        </w:rPr>
        <w:t xml:space="preserve"> 676/08 687/09), con el propósito de promover la iniciación en la investigación en áreas como Ingenierías y Tecnologías, Ciencias Agrícolas, Ciencias Médicas y de la Salud, Ciencias Naturales y Exactas, Ciencias Sociales y Humanidades. Los alcances de esta política y las experiencias desarrolladas en las distintas instituciones universitarias han sido documentados en diversas publicaciones (</w:t>
      </w:r>
      <w:proofErr w:type="spellStart"/>
      <w:r w:rsidRPr="002C2628">
        <w:rPr>
          <w:rFonts w:ascii="Times New Roman" w:hAnsi="Times New Roman" w:cs="Times New Roman"/>
          <w:color w:val="000000" w:themeColor="text1"/>
          <w:lang w:val="es-ES"/>
        </w:rPr>
        <w:t>Naraskevicins</w:t>
      </w:r>
      <w:proofErr w:type="spellEnd"/>
      <w:r w:rsidRPr="002C2628">
        <w:rPr>
          <w:rFonts w:ascii="Times New Roman" w:hAnsi="Times New Roman" w:cs="Times New Roman"/>
          <w:color w:val="000000" w:themeColor="text1"/>
          <w:lang w:val="es-ES"/>
        </w:rPr>
        <w:t xml:space="preserve"> et al., 2023; Adamek, 2024), constituyéndose en un antecedente significativo para el análisis de las estrategias orientadas al fortalecimiento de las capacidades investigativas en la educación superior.</w:t>
      </w:r>
    </w:p>
    <w:p w14:paraId="012AC589" w14:textId="421E46CD" w:rsidR="00494625" w:rsidRPr="002C2628" w:rsidRDefault="00020221" w:rsidP="00494625">
      <w:pPr>
        <w:spacing w:line="240" w:lineRule="auto"/>
        <w:jc w:val="both"/>
        <w:rPr>
          <w:rFonts w:ascii="Times New Roman" w:hAnsi="Times New Roman" w:cs="Times New Roman"/>
          <w:color w:val="000000" w:themeColor="text1"/>
          <w:lang w:val="es-ES"/>
        </w:rPr>
      </w:pPr>
      <w:r>
        <w:rPr>
          <w:rFonts w:ascii="Times New Roman" w:hAnsi="Times New Roman" w:cs="Times New Roman"/>
          <w:color w:val="000000" w:themeColor="text1"/>
          <w:lang w:val="es-ES"/>
        </w:rPr>
        <w:t>De manera complementaria</w:t>
      </w:r>
      <w:r w:rsidR="00494625" w:rsidRPr="002C2628">
        <w:rPr>
          <w:rFonts w:ascii="Times New Roman" w:hAnsi="Times New Roman" w:cs="Times New Roman"/>
          <w:color w:val="000000" w:themeColor="text1"/>
          <w:lang w:val="es-ES"/>
        </w:rPr>
        <w:t>, el Consejo Nacional de Investigaciones Científicas y Técnicas (CONICET) impulsó el Programa de Promoción de Vocaciones Científicas (</w:t>
      </w:r>
      <w:proofErr w:type="spellStart"/>
      <w:r w:rsidR="00494625" w:rsidRPr="002C2628">
        <w:rPr>
          <w:rFonts w:ascii="Times New Roman" w:hAnsi="Times New Roman" w:cs="Times New Roman"/>
          <w:color w:val="000000" w:themeColor="text1"/>
          <w:lang w:val="es-ES"/>
        </w:rPr>
        <w:t>VocAr</w:t>
      </w:r>
      <w:proofErr w:type="spellEnd"/>
      <w:r w:rsidR="00494625" w:rsidRPr="002C2628">
        <w:rPr>
          <w:rFonts w:ascii="Times New Roman" w:hAnsi="Times New Roman" w:cs="Times New Roman"/>
          <w:color w:val="000000" w:themeColor="text1"/>
          <w:lang w:val="es-ES"/>
        </w:rPr>
        <w:t xml:space="preserve">), una iniciativa orientada a fortalecer la cultura científica, acercar la producción de conocimiento a la sociedad y estimular el interés de los jóvenes por las actividades científicas y tecnológicas. Para ello, el programa desarrolló propuestas experimentales, interactivas y lúdicas en distintos puntos del país, al tiempo que promovió espacios de intercambio y divulgación en los que investigadores e integrantes del organismo compartieron con la comunidad sus experiencias y prácticas científicas. Los alcances y contribuciones de esta política han sido abordados por distintos autores, entre ellos Bandin (2017) y Martínez Grau (2017), quienes destacan su aporte a la promoción de vocaciones científicas desde una perspectiva de democratización del conocimiento. </w:t>
      </w:r>
    </w:p>
    <w:p w14:paraId="60E8C341" w14:textId="590CBAA2" w:rsidR="00494625" w:rsidRPr="002C2628" w:rsidRDefault="00020221" w:rsidP="00494625">
      <w:pPr>
        <w:spacing w:line="240" w:lineRule="auto"/>
        <w:jc w:val="both"/>
        <w:rPr>
          <w:rFonts w:ascii="Times New Roman" w:hAnsi="Times New Roman" w:cs="Times New Roman"/>
          <w:color w:val="000000" w:themeColor="text1"/>
          <w:lang w:val="es-ES"/>
        </w:rPr>
      </w:pPr>
      <w:r w:rsidRPr="00020221">
        <w:rPr>
          <w:rFonts w:ascii="Times New Roman" w:hAnsi="Times New Roman" w:cs="Times New Roman"/>
          <w:color w:val="000000" w:themeColor="text1"/>
        </w:rPr>
        <w:t>Como parte de este conjunto de políticas</w:t>
      </w:r>
      <w:r w:rsidR="00494625" w:rsidRPr="002C2628">
        <w:rPr>
          <w:rFonts w:ascii="Times New Roman" w:hAnsi="Times New Roman" w:cs="Times New Roman"/>
          <w:color w:val="000000" w:themeColor="text1"/>
        </w:rPr>
        <w:t xml:space="preserve">, otra de las iniciativas impulsadas para fortalecer la vinculación entre el sistema científico y el ámbito educativo fue el programa </w:t>
      </w:r>
      <w:r w:rsidR="00494625" w:rsidRPr="002C2628">
        <w:rPr>
          <w:rFonts w:ascii="Times New Roman" w:hAnsi="Times New Roman" w:cs="Times New Roman"/>
          <w:i/>
          <w:iCs/>
          <w:color w:val="000000" w:themeColor="text1"/>
        </w:rPr>
        <w:t>Científicos y Científicas Van a la Escuela</w:t>
      </w:r>
      <w:r w:rsidR="00494625" w:rsidRPr="002C2628">
        <w:rPr>
          <w:rFonts w:ascii="Times New Roman" w:hAnsi="Times New Roman" w:cs="Times New Roman"/>
          <w:color w:val="000000" w:themeColor="text1"/>
        </w:rPr>
        <w:t xml:space="preserve">, promovido por el entonces Ministerio de Ciencia, Tecnología e Innovación Productiva de la Nación, en articulación con las universidades. Esta política tuvo como propósito favorecer el trabajo colaborativo entre docentes e integrantes de la comunidad científica mediante el diseño de proyectos empíricos orientados a enriquecer la enseñanza de las ciencias y las tecnologías, fortaleciendo los procesos educativos y promoviendo una mayor articulación entre la producción de conocimiento y las prácticas de enseñanza. Tal como se señala en la documentación del programa, se buscó "promover el trabajo creativo y colaborativo entre docentes y la comunidad científica para la formulación de proyectos empíricos orientados a enriquecer las clases de las materias relacionadas con las ciencias y las tecnologías y potenciar el proceso educativo" (LCVE, </w:t>
      </w:r>
      <w:proofErr w:type="spellStart"/>
      <w:r w:rsidR="00494625" w:rsidRPr="002C2628">
        <w:rPr>
          <w:rFonts w:ascii="Times New Roman" w:hAnsi="Times New Roman" w:cs="Times New Roman"/>
          <w:color w:val="000000" w:themeColor="text1"/>
        </w:rPr>
        <w:t>MINCyT</w:t>
      </w:r>
      <w:proofErr w:type="spellEnd"/>
      <w:r w:rsidR="00494625" w:rsidRPr="002C2628">
        <w:rPr>
          <w:rFonts w:ascii="Times New Roman" w:hAnsi="Times New Roman" w:cs="Times New Roman"/>
          <w:color w:val="000000" w:themeColor="text1"/>
        </w:rPr>
        <w:t>, 2023).</w:t>
      </w:r>
    </w:p>
    <w:p w14:paraId="5C976E14" w14:textId="77777777" w:rsidR="00494625" w:rsidRPr="002C2628" w:rsidRDefault="00494625" w:rsidP="00494625">
      <w:pPr>
        <w:spacing w:line="240" w:lineRule="auto"/>
        <w:jc w:val="both"/>
        <w:rPr>
          <w:rFonts w:ascii="Times New Roman" w:hAnsi="Times New Roman" w:cs="Times New Roman"/>
          <w:color w:val="000000" w:themeColor="text1"/>
          <w:lang w:val="es-ES"/>
        </w:rPr>
      </w:pPr>
    </w:p>
    <w:p w14:paraId="3866D5ED" w14:textId="77777777" w:rsidR="00494625" w:rsidRPr="002C2628" w:rsidRDefault="00494625" w:rsidP="00494625">
      <w:p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rPr>
        <w:t xml:space="preserve">Las experiencias desarrolladas en el marco de este programa se organizaban en torno a temáticas incluidas en la </w:t>
      </w:r>
      <w:proofErr w:type="spellStart"/>
      <w:r w:rsidRPr="002C2628">
        <w:rPr>
          <w:rFonts w:ascii="Times New Roman" w:hAnsi="Times New Roman" w:cs="Times New Roman"/>
          <w:color w:val="000000" w:themeColor="text1"/>
        </w:rPr>
        <w:t>currícula</w:t>
      </w:r>
      <w:proofErr w:type="spellEnd"/>
      <w:r w:rsidRPr="002C2628">
        <w:rPr>
          <w:rFonts w:ascii="Times New Roman" w:hAnsi="Times New Roman" w:cs="Times New Roman"/>
          <w:color w:val="000000" w:themeColor="text1"/>
        </w:rPr>
        <w:t xml:space="preserve"> escolar vinculadas con distintas disciplinas científicas. A partir de los acuerdos establecidos entre docentes y autoridades de las instituciones educativas, se definían los proyectos y se conformaban los equipos de trabajo junto a investigadores e investigadoras, favoreciendo el intercambio entre el ámbito escolar y la comunidad científica. De este modo, la iniciativa procuró fortalecer la enseñanza de las ciencias mediante estrategias de aprendizaje activo, promoviendo el desarrollo del pensamiento crítico, el interés por la actividad científica y la construcción de vínculos sostenidos entre el sistema educativo y el sistema científico-tecnológico.</w:t>
      </w:r>
    </w:p>
    <w:p w14:paraId="5C29A4B6" w14:textId="77777777" w:rsidR="00494625" w:rsidRPr="002C2628" w:rsidRDefault="00494625" w:rsidP="00494625">
      <w:p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rPr>
        <w:t>Si se considera que la investigación constituye una de las funciones sustantivas de la universidad, resulta posible reconocer distintos niveles de decisión y gestión orientados a su fortalecimiento. Estos lineamientos se expresan tanto en las políticas impulsadas desde el Estado nacional y el sistema de educación superior como en las estrategias institucionales desarrolladas por cada universidad en función de sus prioridades académicas y de investigación. No obstante, la forma en que estas políticas se traducen en acciones concretas presenta diferencias entre las instituciones, condicionadas por factores tales como sus perfiles formativos, sus trayectorias de desarrollo y el grado de consolidación de la función de investigación.</w:t>
      </w:r>
    </w:p>
    <w:p w14:paraId="44A0BC20" w14:textId="77777777" w:rsidR="00494625" w:rsidRPr="002C2628" w:rsidRDefault="00494625" w:rsidP="00494625">
      <w:p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rPr>
        <w:t xml:space="preserve">En este escenario, las universidades no solo son llamadas a desarrollar investigación científica y producción tecnológica de calidad, sino también a generar conocimientos pertinentes para la comprensión y transformación de los problemas de los contextos en los que se encuentran insertas, consolidándose como instituciones de referencia para el desarrollo social y científico (Albornoz, 2022). El cumplimiento de estas funciones supone la adopción de políticas y decisiones institucionales que orienten el fortalecimiento de la investigación, en un contexto caracterizado por transformaciones permanentes. En este sentido, Albornoz, </w:t>
      </w:r>
      <w:proofErr w:type="spellStart"/>
      <w:r w:rsidRPr="002C2628">
        <w:rPr>
          <w:rFonts w:ascii="Times New Roman" w:hAnsi="Times New Roman" w:cs="Times New Roman"/>
          <w:color w:val="000000" w:themeColor="text1"/>
        </w:rPr>
        <w:t>Estebañez</w:t>
      </w:r>
      <w:proofErr w:type="spellEnd"/>
      <w:r w:rsidRPr="002C2628">
        <w:rPr>
          <w:rFonts w:ascii="Times New Roman" w:hAnsi="Times New Roman" w:cs="Times New Roman"/>
          <w:color w:val="000000" w:themeColor="text1"/>
        </w:rPr>
        <w:t xml:space="preserve"> y Luchilo (2004) sostienen que la investigación científica en las universidades nacionales ha experimentado profundas modificaciones como resultado de la interacción entre las dinámicas del contexto internacional, las políticas científicas y universitarias nacionales y los procesos de desarrollo propios de los grupos e institutos de investigación.</w:t>
      </w:r>
    </w:p>
    <w:p w14:paraId="655DE194" w14:textId="77777777" w:rsidR="00494625" w:rsidRPr="002C2628" w:rsidRDefault="00494625" w:rsidP="00494625">
      <w:p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lang w:val="es-ES"/>
        </w:rPr>
        <w:t>Ahora bien, las unidades académicas que nuclean carreras pertenecientes al campo de las ciencias económicas enfrentan desafíos particulares para el fortalecimiento de la función de investigación y la formación de capacidades investigativas. Entre los principales aspectos identificados se destacan:</w:t>
      </w:r>
    </w:p>
    <w:p w14:paraId="5DA3CF51" w14:textId="1B248EF5" w:rsidR="00494625" w:rsidRPr="002C2628" w:rsidRDefault="003D48A8" w:rsidP="00494625">
      <w:pPr>
        <w:pStyle w:val="Prrafodelista"/>
        <w:numPr>
          <w:ilvl w:val="0"/>
          <w:numId w:val="3"/>
        </w:numPr>
        <w:spacing w:line="240" w:lineRule="auto"/>
        <w:jc w:val="both"/>
        <w:rPr>
          <w:rFonts w:ascii="Times New Roman" w:hAnsi="Times New Roman" w:cs="Times New Roman"/>
          <w:color w:val="000000" w:themeColor="text1"/>
          <w:lang w:val="es-ES"/>
        </w:rPr>
      </w:pPr>
      <w:r>
        <w:rPr>
          <w:rFonts w:ascii="Times New Roman" w:hAnsi="Times New Roman" w:cs="Times New Roman"/>
          <w:color w:val="000000" w:themeColor="text1"/>
          <w:lang w:val="es-ES"/>
        </w:rPr>
        <w:t>e</w:t>
      </w:r>
      <w:r w:rsidR="00494625" w:rsidRPr="002C2628">
        <w:rPr>
          <w:rFonts w:ascii="Times New Roman" w:hAnsi="Times New Roman" w:cs="Times New Roman"/>
          <w:color w:val="000000" w:themeColor="text1"/>
          <w:lang w:val="es-ES"/>
        </w:rPr>
        <w:t>scasa capacitación en investigación científica de los docentes del ámbito de las ciencias económicas durante su etapa de formación de grado;</w:t>
      </w:r>
    </w:p>
    <w:p w14:paraId="70554D7C" w14:textId="77777777" w:rsidR="00494625" w:rsidRPr="002C2628" w:rsidRDefault="00494625" w:rsidP="00494625">
      <w:pPr>
        <w:pStyle w:val="Prrafodelista"/>
        <w:numPr>
          <w:ilvl w:val="0"/>
          <w:numId w:val="3"/>
        </w:num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lang w:val="es-ES"/>
        </w:rPr>
        <w:t>exigua graduación de titulaciones de posgrados académicos, y</w:t>
      </w:r>
    </w:p>
    <w:p w14:paraId="138A7FF1" w14:textId="77777777" w:rsidR="00494625" w:rsidRPr="002C2628" w:rsidRDefault="00494625" w:rsidP="00494625">
      <w:pPr>
        <w:pStyle w:val="Prrafodelista"/>
        <w:numPr>
          <w:ilvl w:val="0"/>
          <w:numId w:val="3"/>
        </w:num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lang w:val="es-ES"/>
        </w:rPr>
        <w:t>breve experiencia en la incorporación de esta función en carreras profesionalizantes.</w:t>
      </w:r>
    </w:p>
    <w:p w14:paraId="435AF7A0" w14:textId="77777777" w:rsidR="00494625" w:rsidRPr="002C2628" w:rsidRDefault="00494625" w:rsidP="00494625">
      <w:p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rPr>
        <w:t xml:space="preserve">En el campo de las ciencias económicas, un punto significativo en el fortalecimiento de la función de investigación estuvo dado por el proceso de acreditación de la carrera de </w:t>
      </w:r>
      <w:r w:rsidRPr="002C2628">
        <w:rPr>
          <w:rFonts w:ascii="Times New Roman" w:hAnsi="Times New Roman" w:cs="Times New Roman"/>
          <w:color w:val="000000" w:themeColor="text1"/>
        </w:rPr>
        <w:lastRenderedPageBreak/>
        <w:t>Contador Público ante la Comisión Nacional de Evaluación y Acreditación Universitaria (CONEAU). Este proceso impulsó la incorporación de políticas orientadas a promover la investigación en una disciplina tradicionalmente identificada por su perfil profesionalizante, generando condiciones para extender dichas estrategias al conjunto de las carreras y equipos docentes del área. En este marco, y en consonancia con los estándares definidos por el Consejo de Decanos de Ciencias Económicas y las políticas de aseguramiento de la calidad, las unidades académicas avanzaron en el fortalecimiento de convocatorias y proyectos de investigación específicos del campo disciplinar, al tiempo que promovieron una mayor participación de docentes y estudiantes en actividades de investigación.</w:t>
      </w:r>
    </w:p>
    <w:p w14:paraId="13DA7C03" w14:textId="77777777" w:rsidR="00494625" w:rsidRPr="002C2628" w:rsidRDefault="00494625" w:rsidP="00494625">
      <w:p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lang w:val="es-ES"/>
        </w:rPr>
        <w:t xml:space="preserve">Este escenario condujo a que las unidades académicas reforzaran las políticas orientadas al fortalecimiento de la función de investigación y, particularmente, a la formación de docentes y estudiantes con capacidades para participar en actividades científicas. No obstante, la implementación de estas estrategias debió enfrentar diversos desafíos, entre los que se suman a los ya señalados: </w:t>
      </w:r>
    </w:p>
    <w:p w14:paraId="3FD42C1F" w14:textId="77777777" w:rsidR="00494625" w:rsidRPr="002C2628" w:rsidRDefault="00494625" w:rsidP="00494625">
      <w:pPr>
        <w:pStyle w:val="Prrafodelista"/>
        <w:numPr>
          <w:ilvl w:val="0"/>
          <w:numId w:val="2"/>
        </w:num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lang w:val="es-ES"/>
        </w:rPr>
        <w:t>insuficiente presencia de espacios curriculares de grado destinados al desarrollo de contenidos y capacidades vinculados con la investigación científica</w:t>
      </w:r>
    </w:p>
    <w:p w14:paraId="49AD8178" w14:textId="77777777" w:rsidR="00494625" w:rsidRPr="002C2628" w:rsidRDefault="00494625" w:rsidP="00494625">
      <w:pPr>
        <w:pStyle w:val="Prrafodelista"/>
        <w:numPr>
          <w:ilvl w:val="0"/>
          <w:numId w:val="2"/>
        </w:num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lang w:val="es-ES"/>
        </w:rPr>
        <w:t>poca formación en investigación recibida en la educación media de los estudiantes, al tener en cuenta que es un trayecto obligatorio a nivel nacional.</w:t>
      </w:r>
    </w:p>
    <w:p w14:paraId="204CBB20" w14:textId="77777777" w:rsidR="00494625" w:rsidRPr="002C2628" w:rsidRDefault="00494625" w:rsidP="00494625">
      <w:p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lang w:val="es-ES"/>
        </w:rPr>
        <w:t>En este marco, la investigación se orienta al análisis de las políticas y decisiones institucionales vinculadas con la promoción y el fortalecimiento de las vocaciones científicas en carreras de grado profesionalizantes. Para esto, se plantean los siguientes objetivos:</w:t>
      </w:r>
    </w:p>
    <w:p w14:paraId="3AB38EFF" w14:textId="77777777" w:rsidR="00494625" w:rsidRPr="002C2628" w:rsidRDefault="00494625" w:rsidP="00494625">
      <w:pPr>
        <w:pStyle w:val="Prrafodelista"/>
        <w:numPr>
          <w:ilvl w:val="0"/>
          <w:numId w:val="1"/>
        </w:num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lang w:val="es-ES"/>
        </w:rPr>
        <w:t>Examinar las decisiones en torno a políticas para la promoción y el fortalecimiento de vocaciones científicas en el ámbito de las ciencias económicas.</w:t>
      </w:r>
    </w:p>
    <w:p w14:paraId="15819459" w14:textId="77777777" w:rsidR="00494625" w:rsidRPr="002C2628" w:rsidRDefault="00494625" w:rsidP="00494625">
      <w:pPr>
        <w:pStyle w:val="Prrafodelista"/>
        <w:numPr>
          <w:ilvl w:val="0"/>
          <w:numId w:val="1"/>
        </w:num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lang w:val="es-ES"/>
        </w:rPr>
        <w:t xml:space="preserve">Explorar, como dimensión conceptual, los espacios curriculares de la educación media obligatoria de la provincia de Buenos Aires vinculados con la iniciación en procesos de investigación científica.  </w:t>
      </w:r>
    </w:p>
    <w:p w14:paraId="2724C74A" w14:textId="77777777" w:rsidR="00494625" w:rsidRPr="002C2628" w:rsidRDefault="00494625" w:rsidP="00494625">
      <w:pPr>
        <w:pStyle w:val="Prrafodelista"/>
        <w:numPr>
          <w:ilvl w:val="0"/>
          <w:numId w:val="1"/>
        </w:num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lang w:val="es-ES"/>
        </w:rPr>
        <w:t>Relevar los espacios curriculares orientados a la formación para la investigación científica en carreras de grado profesionalizantes.</w:t>
      </w:r>
    </w:p>
    <w:p w14:paraId="48FE3B1F" w14:textId="77777777" w:rsidR="00494625" w:rsidRPr="002C2628" w:rsidRDefault="00494625" w:rsidP="00494625">
      <w:pPr>
        <w:pStyle w:val="Prrafodelista"/>
        <w:numPr>
          <w:ilvl w:val="0"/>
          <w:numId w:val="1"/>
        </w:num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lang w:val="es-ES"/>
        </w:rPr>
        <w:t>Identificar los espacios extracurriculares diseñados para el acompañamiento en las trayectorias de formación científicas en carreras de grado profesionalizantes.</w:t>
      </w:r>
    </w:p>
    <w:p w14:paraId="5C2EFAE9" w14:textId="77777777" w:rsidR="00494625" w:rsidRPr="002C2628" w:rsidRDefault="00494625" w:rsidP="00494625">
      <w:pPr>
        <w:pStyle w:val="Prrafodelista"/>
        <w:numPr>
          <w:ilvl w:val="0"/>
          <w:numId w:val="1"/>
        </w:num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lang w:val="es-ES"/>
        </w:rPr>
        <w:t>Indagar las decisiones institucionales orientadas a la promoción de las vocaciones científicas en el ámbito universitario.</w:t>
      </w:r>
    </w:p>
    <w:p w14:paraId="115CB701" w14:textId="77777777" w:rsidR="00494625" w:rsidRPr="002C2628" w:rsidRDefault="00494625" w:rsidP="00494625">
      <w:p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lang w:val="es-ES"/>
        </w:rPr>
        <w:t>Como hipótesis de trabajo, se sostiene que la escasa presencia de la formación para la investigación en el currículo de las carreras de grado dificulta el desarrollo de vocaciones científicas y restringe las oportunidades de participación de los estudiantes en proyectos de investigación.</w:t>
      </w:r>
    </w:p>
    <w:p w14:paraId="6CEB0FDA" w14:textId="77777777" w:rsidR="00494625" w:rsidRPr="002C2628" w:rsidRDefault="00494625" w:rsidP="007B5B5F">
      <w:pPr>
        <w:spacing w:line="240" w:lineRule="auto"/>
        <w:rPr>
          <w:rFonts w:ascii="Times New Roman" w:hAnsi="Times New Roman" w:cs="Times New Roman"/>
          <w:color w:val="000000" w:themeColor="text1"/>
        </w:rPr>
      </w:pPr>
    </w:p>
    <w:p w14:paraId="211DD519" w14:textId="77777777" w:rsidR="00494625" w:rsidRPr="002C2628" w:rsidRDefault="00494625">
      <w:pPr>
        <w:rPr>
          <w:rFonts w:ascii="Times New Roman" w:hAnsi="Times New Roman" w:cs="Times New Roman"/>
          <w:b/>
          <w:bCs/>
          <w:color w:val="000000" w:themeColor="text1"/>
        </w:rPr>
      </w:pPr>
      <w:r w:rsidRPr="002C2628">
        <w:rPr>
          <w:rFonts w:ascii="Times New Roman" w:hAnsi="Times New Roman" w:cs="Times New Roman"/>
          <w:b/>
          <w:bCs/>
          <w:color w:val="000000" w:themeColor="text1"/>
        </w:rPr>
        <w:br w:type="page"/>
      </w:r>
    </w:p>
    <w:p w14:paraId="4C8EE41D" w14:textId="77777777" w:rsidR="00494625" w:rsidRPr="002C2628" w:rsidRDefault="005F3B2E" w:rsidP="00494625">
      <w:pPr>
        <w:spacing w:line="240" w:lineRule="auto"/>
        <w:rPr>
          <w:rFonts w:ascii="Times New Roman" w:hAnsi="Times New Roman" w:cs="Times New Roman"/>
          <w:b/>
          <w:bCs/>
          <w:color w:val="000000" w:themeColor="text1"/>
        </w:rPr>
      </w:pPr>
      <w:r w:rsidRPr="002C2628">
        <w:rPr>
          <w:rFonts w:ascii="Times New Roman" w:hAnsi="Times New Roman" w:cs="Times New Roman"/>
          <w:b/>
          <w:bCs/>
          <w:color w:val="000000" w:themeColor="text1"/>
        </w:rPr>
        <w:lastRenderedPageBreak/>
        <w:t>Desarrollo</w:t>
      </w:r>
    </w:p>
    <w:p w14:paraId="222A8A18" w14:textId="107751EE" w:rsidR="00494625" w:rsidRPr="002C2628" w:rsidRDefault="00494625" w:rsidP="00494625">
      <w:pPr>
        <w:spacing w:line="240" w:lineRule="auto"/>
        <w:rPr>
          <w:rFonts w:ascii="Times New Roman" w:hAnsi="Times New Roman" w:cs="Times New Roman"/>
          <w:color w:val="000000" w:themeColor="text1"/>
          <w:lang w:val="es-ES"/>
        </w:rPr>
      </w:pPr>
      <w:r w:rsidRPr="002C2628">
        <w:rPr>
          <w:rFonts w:ascii="Times New Roman" w:hAnsi="Times New Roman" w:cs="Times New Roman"/>
          <w:color w:val="000000" w:themeColor="text1"/>
          <w:lang w:val="es-ES"/>
        </w:rPr>
        <w:t xml:space="preserve">La investigación es una de las funciones principales de la universidad contemporánea, definida tanto en la normativa oficial que regula el sistema educativo superior como en los estatutos fundacionales de las instituciones que lo componen. En palabras de </w:t>
      </w:r>
      <w:proofErr w:type="spellStart"/>
      <w:r w:rsidRPr="002C2628">
        <w:rPr>
          <w:rFonts w:ascii="Times New Roman" w:hAnsi="Times New Roman" w:cs="Times New Roman"/>
          <w:color w:val="000000" w:themeColor="text1"/>
          <w:lang w:val="es-ES"/>
        </w:rPr>
        <w:t>Dallorso</w:t>
      </w:r>
      <w:proofErr w:type="spellEnd"/>
      <w:r w:rsidRPr="002C2628">
        <w:rPr>
          <w:rFonts w:ascii="Times New Roman" w:hAnsi="Times New Roman" w:cs="Times New Roman"/>
          <w:color w:val="000000" w:themeColor="text1"/>
          <w:lang w:val="es-ES"/>
        </w:rPr>
        <w:t xml:space="preserve"> et al. (2015), la investigación en la universidad tiene un rol significativo en función a las demandas sociales que se pudiesen generar, y en el caso de las universidades nacionales esa responsabilidad es aún mayor. Los autores resaltan la importancia de construir conocimientos respetuosos con las realidades locales que tiene la comunidad en donde está inserta la institución, con la posibilidad de que dichos conocimientos puedan ser debatidos, validados, aplicados y reformulados en función a las diferentes lógicas de cada ámbito profesional, a partir de una perspectiva de democratización. </w:t>
      </w:r>
    </w:p>
    <w:p w14:paraId="55009202" w14:textId="77777777" w:rsidR="00494625" w:rsidRPr="002C2628" w:rsidRDefault="00494625" w:rsidP="00494625">
      <w:p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lang w:val="es-ES"/>
        </w:rPr>
        <w:t xml:space="preserve">Si se piensa esta función en articulación con la enseñanza universitaria, y retomando los conceptos desarrollados por </w:t>
      </w:r>
      <w:proofErr w:type="spellStart"/>
      <w:r w:rsidRPr="002C2628">
        <w:rPr>
          <w:rFonts w:ascii="Times New Roman" w:hAnsi="Times New Roman" w:cs="Times New Roman"/>
          <w:color w:val="000000" w:themeColor="text1"/>
          <w:lang w:val="es-ES"/>
        </w:rPr>
        <w:t>Dallorso</w:t>
      </w:r>
      <w:proofErr w:type="spellEnd"/>
      <w:r w:rsidRPr="002C2628">
        <w:rPr>
          <w:rFonts w:ascii="Times New Roman" w:hAnsi="Times New Roman" w:cs="Times New Roman"/>
          <w:color w:val="000000" w:themeColor="text1"/>
          <w:lang w:val="es-ES"/>
        </w:rPr>
        <w:t xml:space="preserve"> et al. (2015):</w:t>
      </w:r>
    </w:p>
    <w:p w14:paraId="11EE4805" w14:textId="77777777" w:rsidR="00494625" w:rsidRPr="002C2628" w:rsidRDefault="00494625" w:rsidP="00494625">
      <w:pPr>
        <w:spacing w:line="240" w:lineRule="auto"/>
        <w:ind w:left="708"/>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lang w:val="es-ES"/>
        </w:rPr>
        <w:t>La investigación permite mejorar la enseñanza en las universidades, contribuye a la formación y actualización docente, posibilita el perfeccionamiento profesional, permite la formación de investigadores y el desarrollo científico. Esta articulación entre investigación y enseñanza imprime un rasgo distintivo a la universidad que la distingue de otros centros de formación y/o de investigación. Investigar en la universidad supone hacer esfuerzos por inscribir los nuevos conocimientos producidos en tradiciones teóricas y metodológicas que nutren los contenidos curriculares del grado y del posgrado. Uno de los valores más trascendentes de la investigación científica que, en muchas ocasiones permanece desatendido cuando se trata la cuestión de la utilidad de la investigación, es la potencia que tiene para poner en cuestión la definición misma del problema o tema a considerar. La solución o respuesta a necesidades sociales, políticas, económicas o culturales requiere frecuentemente, al menos como primer paso, repensar los términos en los que esos asuntos son presentados. Una investigación rigurosa y de calidad debe cuestionar y ofrecer alternativas a las representaciones hegemónicas que otras instituciones brindan como representaciones autoevidentes de problemas ya preconstruidos y de sus instrumentos de conocimiento. En este plano, la universidad tiene un rol destacado: contribuir a una mejor comprensión de las problemáticas sociales, políticas, económicas o culturales. (p. 109)</w:t>
      </w:r>
    </w:p>
    <w:p w14:paraId="7D4DB3DD" w14:textId="77777777" w:rsidR="00494625" w:rsidRPr="002C2628" w:rsidRDefault="00494625" w:rsidP="00494625">
      <w:p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lang w:val="es-ES"/>
        </w:rPr>
        <w:t xml:space="preserve">En continuidad con esta perspectiva, la articulación entre investigación y enseñanza constituye un rasgo distintivo de la universidad, que la diferencia de otros espacios de formación o de producción de conocimiento considerados de manera aislada. </w:t>
      </w:r>
      <w:r w:rsidRPr="002C2628">
        <w:rPr>
          <w:rFonts w:ascii="Times New Roman" w:hAnsi="Times New Roman" w:cs="Times New Roman"/>
          <w:color w:val="000000" w:themeColor="text1"/>
        </w:rPr>
        <w:t>En consecuencia, la formación para la investigación constituye una dimensión pedagógica que puede fortalecerse mediante decisiones curriculares e institucionales orientadas a la participación temprana de estudiantes en experiencias de investigación. Desde esta perspectiva, el análisis de las decisiones institucionales implementadas por el Departamento de Ciencias Económicas permite comprender de qué manera las políticas académicas y curriculares generan condiciones para fortalecer la formación para la investigación y promover vocaciones científicas.</w:t>
      </w:r>
    </w:p>
    <w:p w14:paraId="28FA3380" w14:textId="7262504B" w:rsidR="00494625" w:rsidRPr="002C2628" w:rsidRDefault="00494625" w:rsidP="00494625">
      <w:p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lang w:val="es-ES"/>
        </w:rPr>
        <w:lastRenderedPageBreak/>
        <w:t xml:space="preserve">Las profesiones son construcciones sociales que se han moldeado históricamente en respuesta a las transformaciones y demandas de la sociedad, lo que permite comprenderlas dentro de un entramado institucional más amplio. </w:t>
      </w:r>
      <w:r w:rsidR="00446F1A">
        <w:rPr>
          <w:rFonts w:ascii="Times New Roman" w:hAnsi="Times New Roman" w:cs="Times New Roman"/>
          <w:color w:val="000000" w:themeColor="text1"/>
          <w:lang w:val="es-ES"/>
        </w:rPr>
        <w:t>Desde esta perspectiva</w:t>
      </w:r>
      <w:r w:rsidRPr="002C2628">
        <w:rPr>
          <w:rFonts w:ascii="Times New Roman" w:hAnsi="Times New Roman" w:cs="Times New Roman"/>
          <w:color w:val="000000" w:themeColor="text1"/>
          <w:lang w:val="es-ES"/>
        </w:rPr>
        <w:t>, el ejercicio de una profesión implica, además, un compromiso ético y moral hacia la comunidad, aspecto que se expresa en el concepto de vocación profesional (Cortina, 1997).</w:t>
      </w:r>
    </w:p>
    <w:p w14:paraId="2196860D" w14:textId="77777777" w:rsidR="00494625" w:rsidRPr="002C2628" w:rsidRDefault="00494625" w:rsidP="00494625">
      <w:p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lang w:val="es-ES"/>
        </w:rPr>
        <w:t>El desarrollo vocacional puede interpretarse como una realización personal en el proceso de socialización y desarrollo individual, aunque también como un fenómeno que se configura en trayectorias formativas atravesadas por condiciones institucionales, donde la relación entre el individuo y su profesión se vincula con la construcción de identidades académicas y profesionales. En este marco, los atributos distintivos de la personalidad tienden a vincularse con las características de los estereotipos profesionales (Rivas y Martínez, 2003), en interacción con los contextos de formación que median dichas relaciones.</w:t>
      </w:r>
    </w:p>
    <w:p w14:paraId="26A15E51" w14:textId="77777777" w:rsidR="00494625" w:rsidRPr="002C2628" w:rsidRDefault="00494625" w:rsidP="00494625">
      <w:pPr>
        <w:spacing w:line="240" w:lineRule="auto"/>
        <w:jc w:val="both"/>
        <w:rPr>
          <w:rFonts w:ascii="Times New Roman" w:hAnsi="Times New Roman" w:cs="Times New Roman"/>
          <w:color w:val="000000" w:themeColor="text1"/>
        </w:rPr>
      </w:pPr>
      <w:r w:rsidRPr="002C2628">
        <w:rPr>
          <w:rFonts w:ascii="Times New Roman" w:hAnsi="Times New Roman" w:cs="Times New Roman"/>
          <w:color w:val="000000" w:themeColor="text1"/>
          <w:lang w:val="es-ES"/>
        </w:rPr>
        <w:t xml:space="preserve">Asimismo, la elección vocacional depende del autoconocimiento de cada individuo y de su percepción de la carrera o profesión, donde las expectativas personales, modeladas por la información contextual, desempeñan un rol crucial (Fouad, 2007). En el contexto de este trabajo, estas dimensiones </w:t>
      </w:r>
      <w:r w:rsidRPr="002C2628">
        <w:rPr>
          <w:rFonts w:ascii="Times New Roman" w:hAnsi="Times New Roman" w:cs="Times New Roman"/>
          <w:color w:val="000000" w:themeColor="text1"/>
        </w:rPr>
        <w:t>permiten comprender las vocaciones científicas como procesos que también se configuran a partir de las experiencias formativas y de las decisiones institucionales que atraviesan las trayectorias universitarias.</w:t>
      </w:r>
    </w:p>
    <w:p w14:paraId="17AC08BE" w14:textId="77777777" w:rsidR="00494625" w:rsidRPr="002C2628" w:rsidRDefault="00494625" w:rsidP="00494625">
      <w:p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lang w:val="es-ES"/>
        </w:rPr>
        <w:t>La ciencia y la tecnología (</w:t>
      </w:r>
      <w:proofErr w:type="spellStart"/>
      <w:r w:rsidRPr="002C2628">
        <w:rPr>
          <w:rFonts w:ascii="Times New Roman" w:hAnsi="Times New Roman" w:cs="Times New Roman"/>
          <w:color w:val="000000" w:themeColor="text1"/>
          <w:lang w:val="es-ES"/>
        </w:rPr>
        <w:t>CyT</w:t>
      </w:r>
      <w:proofErr w:type="spellEnd"/>
      <w:r w:rsidRPr="002C2628">
        <w:rPr>
          <w:rFonts w:ascii="Times New Roman" w:hAnsi="Times New Roman" w:cs="Times New Roman"/>
          <w:color w:val="000000" w:themeColor="text1"/>
          <w:lang w:val="es-ES"/>
        </w:rPr>
        <w:t xml:space="preserve">) han evolucionado hasta consolidarse como instituciones sociales reconocidas, cuyos practicantes (científicos, técnicos, tecnólogos e ingenieros), además de compartir los rasgos generales de una profesión, presentan características específicas y propias (Vázquez et al., 2007). En este marco, las sociedades contemporáneas establecen un contrato social con la </w:t>
      </w:r>
      <w:proofErr w:type="spellStart"/>
      <w:r w:rsidRPr="002C2628">
        <w:rPr>
          <w:rFonts w:ascii="Times New Roman" w:hAnsi="Times New Roman" w:cs="Times New Roman"/>
          <w:color w:val="000000" w:themeColor="text1"/>
          <w:lang w:val="es-ES"/>
        </w:rPr>
        <w:t>CyT</w:t>
      </w:r>
      <w:proofErr w:type="spellEnd"/>
      <w:r w:rsidRPr="002C2628">
        <w:rPr>
          <w:rFonts w:ascii="Times New Roman" w:hAnsi="Times New Roman" w:cs="Times New Roman"/>
          <w:color w:val="000000" w:themeColor="text1"/>
          <w:lang w:val="es-ES"/>
        </w:rPr>
        <w:t xml:space="preserve">, mediante el cual: la sociedad financia estas disciplinas y, a cambio, estas contribuyen a la mejora de la calidad de vida y al desarrollo económico y social (Aikenhead, 1994). </w:t>
      </w:r>
    </w:p>
    <w:p w14:paraId="3DD82728" w14:textId="77777777" w:rsidR="00494625" w:rsidRPr="002C2628" w:rsidRDefault="00494625" w:rsidP="00494625">
      <w:p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lang w:val="es-ES"/>
        </w:rPr>
        <w:t xml:space="preserve">Este contrato ha contribuido a la creciente relevancia de la </w:t>
      </w:r>
      <w:proofErr w:type="spellStart"/>
      <w:r w:rsidRPr="002C2628">
        <w:rPr>
          <w:rFonts w:ascii="Times New Roman" w:hAnsi="Times New Roman" w:cs="Times New Roman"/>
          <w:color w:val="000000" w:themeColor="text1"/>
          <w:lang w:val="es-ES"/>
        </w:rPr>
        <w:t>CyT</w:t>
      </w:r>
      <w:proofErr w:type="spellEnd"/>
      <w:r w:rsidRPr="002C2628">
        <w:rPr>
          <w:rFonts w:ascii="Times New Roman" w:hAnsi="Times New Roman" w:cs="Times New Roman"/>
          <w:color w:val="000000" w:themeColor="text1"/>
          <w:lang w:val="es-ES"/>
        </w:rPr>
        <w:t xml:space="preserve"> en la sociedad del conocimiento, dando lugar a la noción de "tecnociencia", entendida como la integración de investigación, desarrollo e innovación, y que supone la demanda de una fuerza laboral altamente cualificada (</w:t>
      </w:r>
      <w:proofErr w:type="spellStart"/>
      <w:r w:rsidRPr="002C2628">
        <w:rPr>
          <w:rFonts w:ascii="Times New Roman" w:hAnsi="Times New Roman" w:cs="Times New Roman"/>
          <w:color w:val="000000" w:themeColor="text1"/>
          <w:lang w:val="es-ES"/>
        </w:rPr>
        <w:t>Fourez</w:t>
      </w:r>
      <w:proofErr w:type="spellEnd"/>
      <w:r w:rsidRPr="002C2628">
        <w:rPr>
          <w:rFonts w:ascii="Times New Roman" w:hAnsi="Times New Roman" w:cs="Times New Roman"/>
          <w:color w:val="000000" w:themeColor="text1"/>
          <w:lang w:val="es-ES"/>
        </w:rPr>
        <w:t xml:space="preserve">, 1994; </w:t>
      </w:r>
      <w:proofErr w:type="spellStart"/>
      <w:r w:rsidRPr="002C2628">
        <w:rPr>
          <w:rFonts w:ascii="Times New Roman" w:hAnsi="Times New Roman" w:cs="Times New Roman"/>
          <w:color w:val="000000" w:themeColor="text1"/>
          <w:lang w:val="es-ES"/>
        </w:rPr>
        <w:t>Queraltó</w:t>
      </w:r>
      <w:proofErr w:type="spellEnd"/>
      <w:r w:rsidRPr="002C2628">
        <w:rPr>
          <w:rFonts w:ascii="Times New Roman" w:hAnsi="Times New Roman" w:cs="Times New Roman"/>
          <w:color w:val="000000" w:themeColor="text1"/>
          <w:lang w:val="es-ES"/>
        </w:rPr>
        <w:t xml:space="preserve">, 1993; Sánchez-Ron, 1992). En el marco de esta investigación, las transformaciones mencionadas anteriormente permiten contextualizar las condiciones en las que se abordan las decisiones institucionales orientadas a la formación de las vocaciones científicas en el nivel universitario, </w:t>
      </w:r>
      <w:r w:rsidRPr="002C2628">
        <w:rPr>
          <w:rFonts w:ascii="Times New Roman" w:hAnsi="Times New Roman" w:cs="Times New Roman"/>
          <w:color w:val="000000" w:themeColor="text1"/>
        </w:rPr>
        <w:t>lo que incrementa la necesidad de que las universidades generen condiciones para la formación de investigadores desde el grado.</w:t>
      </w:r>
    </w:p>
    <w:p w14:paraId="286303F9" w14:textId="77777777" w:rsidR="00494625" w:rsidRPr="002C2628" w:rsidRDefault="00494625" w:rsidP="00494625">
      <w:p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lang w:val="es-ES"/>
        </w:rPr>
        <w:t xml:space="preserve">Desde finales del siglo XX, diferentes informes han señalado la existencia de una "crisis de vocaciones científicas", evidenciada en la disminución de la proporción de estudiantes que optan por estudios en </w:t>
      </w:r>
      <w:proofErr w:type="spellStart"/>
      <w:r w:rsidRPr="002C2628">
        <w:rPr>
          <w:rFonts w:ascii="Times New Roman" w:hAnsi="Times New Roman" w:cs="Times New Roman"/>
          <w:color w:val="000000" w:themeColor="text1"/>
          <w:lang w:val="es-ES"/>
        </w:rPr>
        <w:t>CyT</w:t>
      </w:r>
      <w:proofErr w:type="spellEnd"/>
      <w:r w:rsidRPr="002C2628">
        <w:rPr>
          <w:rFonts w:ascii="Times New Roman" w:hAnsi="Times New Roman" w:cs="Times New Roman"/>
          <w:color w:val="000000" w:themeColor="text1"/>
          <w:lang w:val="es-ES"/>
        </w:rPr>
        <w:t>, fenómeno que presenta variaciones según el contexto temporal y geográfico (</w:t>
      </w:r>
      <w:proofErr w:type="spellStart"/>
      <w:r w:rsidRPr="002C2628">
        <w:rPr>
          <w:rFonts w:ascii="Times New Roman" w:hAnsi="Times New Roman" w:cs="Times New Roman"/>
          <w:color w:val="000000" w:themeColor="text1"/>
          <w:lang w:val="es-ES"/>
        </w:rPr>
        <w:t>Convert</w:t>
      </w:r>
      <w:proofErr w:type="spellEnd"/>
      <w:r w:rsidRPr="002C2628">
        <w:rPr>
          <w:rFonts w:ascii="Times New Roman" w:hAnsi="Times New Roman" w:cs="Times New Roman"/>
          <w:color w:val="000000" w:themeColor="text1"/>
          <w:lang w:val="es-ES"/>
        </w:rPr>
        <w:t xml:space="preserve"> y Gugenheim, 2005; </w:t>
      </w:r>
      <w:proofErr w:type="spellStart"/>
      <w:r w:rsidRPr="002C2628">
        <w:rPr>
          <w:rFonts w:ascii="Times New Roman" w:hAnsi="Times New Roman" w:cs="Times New Roman"/>
          <w:color w:val="000000" w:themeColor="text1"/>
          <w:lang w:val="es-ES"/>
        </w:rPr>
        <w:t>Organisation</w:t>
      </w:r>
      <w:proofErr w:type="spellEnd"/>
      <w:r w:rsidRPr="002C2628">
        <w:rPr>
          <w:rFonts w:ascii="Times New Roman" w:hAnsi="Times New Roman" w:cs="Times New Roman"/>
          <w:color w:val="000000" w:themeColor="text1"/>
          <w:lang w:val="es-ES"/>
        </w:rPr>
        <w:t xml:space="preserve"> </w:t>
      </w:r>
      <w:proofErr w:type="spellStart"/>
      <w:r w:rsidRPr="002C2628">
        <w:rPr>
          <w:rFonts w:ascii="Times New Roman" w:hAnsi="Times New Roman" w:cs="Times New Roman"/>
          <w:color w:val="000000" w:themeColor="text1"/>
          <w:lang w:val="es-ES"/>
        </w:rPr>
        <w:t>for</w:t>
      </w:r>
      <w:proofErr w:type="spellEnd"/>
      <w:r w:rsidRPr="002C2628">
        <w:rPr>
          <w:rFonts w:ascii="Times New Roman" w:hAnsi="Times New Roman" w:cs="Times New Roman"/>
          <w:color w:val="000000" w:themeColor="text1"/>
          <w:lang w:val="es-ES"/>
        </w:rPr>
        <w:t xml:space="preserve"> </w:t>
      </w:r>
      <w:proofErr w:type="spellStart"/>
      <w:r w:rsidRPr="002C2628">
        <w:rPr>
          <w:rFonts w:ascii="Times New Roman" w:hAnsi="Times New Roman" w:cs="Times New Roman"/>
          <w:color w:val="000000" w:themeColor="text1"/>
          <w:lang w:val="es-ES"/>
        </w:rPr>
        <w:t>Economic</w:t>
      </w:r>
      <w:proofErr w:type="spellEnd"/>
      <w:r w:rsidRPr="002C2628">
        <w:rPr>
          <w:rFonts w:ascii="Times New Roman" w:hAnsi="Times New Roman" w:cs="Times New Roman"/>
          <w:color w:val="000000" w:themeColor="text1"/>
          <w:lang w:val="es-ES"/>
        </w:rPr>
        <w:t xml:space="preserve"> </w:t>
      </w:r>
      <w:proofErr w:type="spellStart"/>
      <w:r w:rsidRPr="002C2628">
        <w:rPr>
          <w:rFonts w:ascii="Times New Roman" w:hAnsi="Times New Roman" w:cs="Times New Roman"/>
          <w:color w:val="000000" w:themeColor="text1"/>
          <w:lang w:val="es-ES"/>
        </w:rPr>
        <w:t>Co-operation</w:t>
      </w:r>
      <w:proofErr w:type="spellEnd"/>
      <w:r w:rsidRPr="002C2628">
        <w:rPr>
          <w:rFonts w:ascii="Times New Roman" w:hAnsi="Times New Roman" w:cs="Times New Roman"/>
          <w:color w:val="000000" w:themeColor="text1"/>
          <w:lang w:val="es-ES"/>
        </w:rPr>
        <w:t xml:space="preserve"> and </w:t>
      </w:r>
      <w:proofErr w:type="spellStart"/>
      <w:r w:rsidRPr="002C2628">
        <w:rPr>
          <w:rFonts w:ascii="Times New Roman" w:hAnsi="Times New Roman" w:cs="Times New Roman"/>
          <w:color w:val="000000" w:themeColor="text1"/>
          <w:lang w:val="es-ES"/>
        </w:rPr>
        <w:t>Development</w:t>
      </w:r>
      <w:proofErr w:type="spellEnd"/>
      <w:r w:rsidRPr="002C2628">
        <w:rPr>
          <w:rFonts w:ascii="Times New Roman" w:hAnsi="Times New Roman" w:cs="Times New Roman"/>
          <w:color w:val="000000" w:themeColor="text1"/>
          <w:lang w:val="es-ES"/>
        </w:rPr>
        <w:t xml:space="preserve"> [OECD], 1997; Zamora, 2004). En el marco de esta investigación, el término “vocaciones científicas” se utiliza para referir a aquellos </w:t>
      </w:r>
      <w:r w:rsidRPr="002C2628">
        <w:rPr>
          <w:rFonts w:ascii="Times New Roman" w:hAnsi="Times New Roman" w:cs="Times New Roman"/>
          <w:color w:val="000000" w:themeColor="text1"/>
          <w:lang w:val="es-ES"/>
        </w:rPr>
        <w:lastRenderedPageBreak/>
        <w:t xml:space="preserve">estudiantes interesados en formarse como investigadores en el ámbito de las ciencias económicas. </w:t>
      </w:r>
      <w:r w:rsidRPr="002C2628">
        <w:rPr>
          <w:rFonts w:ascii="Times New Roman" w:hAnsi="Times New Roman" w:cs="Times New Roman"/>
          <w:color w:val="000000" w:themeColor="text1"/>
        </w:rPr>
        <w:t>En carreras profesionalizantes, este escenario plantea el desafío de diseñar estrategias institucionales capaces de estimular el interés por la investigación durante la formación de grado.</w:t>
      </w:r>
    </w:p>
    <w:p w14:paraId="799C2425" w14:textId="77777777" w:rsidR="00494625" w:rsidRPr="002C2628" w:rsidRDefault="00494625" w:rsidP="00494625">
      <w:p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rPr>
        <w:t>En el marco de este estudio, centrado en las decisiones orientadas a la promoción y el fortalecimiento de vocaciones científicas en carreras de grado profesionalizantes, la toma de decisiones en las instituciones de educación superior constituye un eje de análisis central. Dicho proceso se configura como una práctica compleja, atravesada por múltiples dimensiones que incluyen la estructura organizativa, la dinámica y la lógica institucional, así como los procesos de producción, circulación y disponibilidad de datos e información, junto con las formas de interacción y comunicación que caracterizan a estos espacios.</w:t>
      </w:r>
    </w:p>
    <w:p w14:paraId="7623A496" w14:textId="255481E8" w:rsidR="00494625" w:rsidRPr="002C2628" w:rsidRDefault="00DB0E44" w:rsidP="00494625">
      <w:pPr>
        <w:spacing w:line="240" w:lineRule="auto"/>
        <w:jc w:val="both"/>
        <w:rPr>
          <w:rFonts w:ascii="Times New Roman" w:hAnsi="Times New Roman" w:cs="Times New Roman"/>
          <w:color w:val="000000" w:themeColor="text1"/>
          <w:lang w:val="es-ES"/>
        </w:rPr>
      </w:pPr>
      <w:r w:rsidRPr="00DB0E44">
        <w:rPr>
          <w:rFonts w:ascii="Times New Roman" w:hAnsi="Times New Roman" w:cs="Times New Roman"/>
          <w:color w:val="000000" w:themeColor="text1"/>
        </w:rPr>
        <w:t>Bajo esta concepción</w:t>
      </w:r>
      <w:r w:rsidR="00494625" w:rsidRPr="002C2628">
        <w:rPr>
          <w:rFonts w:ascii="Times New Roman" w:hAnsi="Times New Roman" w:cs="Times New Roman"/>
          <w:color w:val="000000" w:themeColor="text1"/>
        </w:rPr>
        <w:t>, la decisión no puede ser comprendida como un acto aislado, sino como un proceso cotidiano de acción institucional y humana, atravesado por interpretaciones subjetivas de quienes intervienen en él. A su vez, dicho proceso se inscribe en distintos niveles en los que confluyen dimensiones de poder político, socioeconómico y cultural, lo que complejiza su configuración y alcance. En este entramado, también se articulan saberes provenientes de campos disciplinarios específicos, de la organización del conocimiento y de estructuras formales e informales asociadas a jerarquías académicas y equipos de docencia e investigación.</w:t>
      </w:r>
    </w:p>
    <w:p w14:paraId="506E0627" w14:textId="77777777" w:rsidR="00494625" w:rsidRPr="002C2628" w:rsidRDefault="00494625" w:rsidP="00494625">
      <w:p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lang w:val="es-ES"/>
        </w:rPr>
        <w:t>De esta manera, la toma de decisiones en educación superior se comprende como un proceso multidimensional en el que interactúan variables institucionales, cognitivas y políticas que inciden en la definición de orientaciones y prioridades. En conjunto, estos elementos, junto con otros emergentes del análisis, configuran el modo en que se construyen, justifican y adoptan las decisiones en el ámbito universitario (Pont Vidal y Andre, 2016).</w:t>
      </w:r>
    </w:p>
    <w:p w14:paraId="27EEE328" w14:textId="77777777" w:rsidR="00494625" w:rsidRPr="002C2628" w:rsidRDefault="00494625" w:rsidP="00494625">
      <w:p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rPr>
        <w:t>Como parte del relevamiento de los espacios curriculares orientados a la formación para la investigación en carreras de grado profesionalizantes, la investigación analiza la asignatura Introducción al Conocimiento Científico, ubicada en el primer año de las carreras del Departamento de Ciencias Económicas de la Universidad Nacional de La Matanza. Este espacio constituye una de las primeras aproximaciones sistemáticas de los estudiantes al conocimiento científico y ocupa un lugar estratégico en la formación inicial de quienes cursan las carreras de Contador Público, Licenciatura en Administración, Comercio Internacional y Economía.</w:t>
      </w:r>
    </w:p>
    <w:p w14:paraId="128D38F8" w14:textId="77777777" w:rsidR="00494625" w:rsidRPr="002C2628" w:rsidRDefault="00494625" w:rsidP="00494625">
      <w:p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rPr>
        <w:t>La asignatura se organiza desde una perspectiva interdisciplinaria que no solo busca la adquisición de contenidos conceptuales y metodológicos, sino que también promueve una comprensión crítica de los procesos de producción, validación y comunicación del conocimiento científico. De este modo, favorece el desarrollo de capacidades vinculadas con la formulación de problemas, el análisis de información, la reflexión metodológica y la construcción de una actitud crítica frente al conocimiento, sentando las bases para trayectorias académicas comprometidas con la rigurosidad científica, la pluralidad metodológica y la responsabilidad social.</w:t>
      </w:r>
    </w:p>
    <w:p w14:paraId="4ECF47DA" w14:textId="531AE60F" w:rsidR="00494625" w:rsidRPr="002C2628" w:rsidRDefault="00494625" w:rsidP="00494625">
      <w:pPr>
        <w:spacing w:after="0" w:line="240" w:lineRule="auto"/>
        <w:jc w:val="both"/>
        <w:rPr>
          <w:rFonts w:ascii="Times New Roman" w:hAnsi="Times New Roman" w:cs="Times New Roman"/>
          <w:color w:val="000000" w:themeColor="text1"/>
          <w:highlight w:val="yellow"/>
        </w:rPr>
      </w:pPr>
      <w:r w:rsidRPr="002C2628">
        <w:rPr>
          <w:rFonts w:ascii="Times New Roman" w:hAnsi="Times New Roman" w:cs="Times New Roman"/>
          <w:color w:val="000000" w:themeColor="text1"/>
        </w:rPr>
        <w:lastRenderedPageBreak/>
        <w:t xml:space="preserve">En el marco de las decisiones institucionales analizadas, uno de los hallazgos más relevantes refiere al proceso de revisión y actualización curricular que actualmente atraviesa esta asignatura. Dicha revisión contempla la actualización de contenidos, estrategias metodológicas, modalidades de evaluación y recursos didácticos, incorporando criterios orientados a fortalecer la formación para la investigación desde los primeros años de las carreras. </w:t>
      </w:r>
      <w:r w:rsidR="006A72E4">
        <w:rPr>
          <w:rFonts w:ascii="Times New Roman" w:hAnsi="Times New Roman" w:cs="Times New Roman"/>
          <w:color w:val="000000" w:themeColor="text1"/>
        </w:rPr>
        <w:t>De este modo</w:t>
      </w:r>
      <w:r w:rsidRPr="002C2628">
        <w:rPr>
          <w:rFonts w:ascii="Times New Roman" w:hAnsi="Times New Roman" w:cs="Times New Roman"/>
          <w:color w:val="000000" w:themeColor="text1"/>
        </w:rPr>
        <w:t xml:space="preserve">, la propuesta trasciende la transmisión de conocimientos teóricos para posicionar a la asignatura como un dispositivo curricular destinado a favorecer el desarrollo de capacidades investigativas y </w:t>
      </w:r>
      <w:r w:rsidR="00400269">
        <w:rPr>
          <w:rFonts w:ascii="Times New Roman" w:hAnsi="Times New Roman" w:cs="Times New Roman"/>
          <w:color w:val="000000" w:themeColor="text1"/>
        </w:rPr>
        <w:t>el f</w:t>
      </w:r>
      <w:r w:rsidR="00400269" w:rsidRPr="00400269">
        <w:rPr>
          <w:rFonts w:ascii="Times New Roman" w:hAnsi="Times New Roman" w:cs="Times New Roman"/>
          <w:color w:val="000000" w:themeColor="text1"/>
        </w:rPr>
        <w:t>ortalecimiento de las vocaciones científicas</w:t>
      </w:r>
      <w:r w:rsidR="006A72E4" w:rsidRPr="006A72E4">
        <w:rPr>
          <w:rFonts w:ascii="Times New Roman" w:hAnsi="Times New Roman" w:cs="Times New Roman"/>
          <w:color w:val="000000" w:themeColor="text1"/>
        </w:rPr>
        <w:t xml:space="preserve"> en el ámbito de las ciencias económicas.</w:t>
      </w:r>
    </w:p>
    <w:p w14:paraId="01045429" w14:textId="230E87C1" w:rsidR="00494625" w:rsidRPr="002C2628" w:rsidRDefault="006A72E4" w:rsidP="00494625">
      <w:pPr>
        <w:spacing w:after="0" w:line="240" w:lineRule="auto"/>
        <w:jc w:val="both"/>
        <w:rPr>
          <w:rFonts w:ascii="Times New Roman" w:hAnsi="Times New Roman" w:cs="Times New Roman"/>
          <w:color w:val="000000" w:themeColor="text1"/>
        </w:rPr>
      </w:pPr>
      <w:r w:rsidRPr="006A72E4">
        <w:rPr>
          <w:rFonts w:ascii="Times New Roman" w:hAnsi="Times New Roman" w:cs="Times New Roman"/>
          <w:color w:val="000000" w:themeColor="text1"/>
        </w:rPr>
        <w:t>En esta misma línea</w:t>
      </w:r>
      <w:r w:rsidR="00494625" w:rsidRPr="006A72E4">
        <w:rPr>
          <w:rFonts w:ascii="Times New Roman" w:hAnsi="Times New Roman" w:cs="Times New Roman"/>
          <w:color w:val="000000" w:themeColor="text1"/>
        </w:rPr>
        <w:t xml:space="preserve">, la investigación </w:t>
      </w:r>
      <w:r w:rsidRPr="006A72E4">
        <w:rPr>
          <w:rFonts w:ascii="Times New Roman" w:hAnsi="Times New Roman" w:cs="Times New Roman"/>
          <w:color w:val="000000" w:themeColor="text1"/>
        </w:rPr>
        <w:t>profundiza</w:t>
      </w:r>
      <w:r w:rsidR="00494625" w:rsidRPr="006A72E4">
        <w:rPr>
          <w:rFonts w:ascii="Times New Roman" w:hAnsi="Times New Roman" w:cs="Times New Roman"/>
          <w:color w:val="000000" w:themeColor="text1"/>
        </w:rPr>
        <w:t xml:space="preserve"> en el relevamiento y sistematización de las</w:t>
      </w:r>
      <w:r w:rsidR="00494625" w:rsidRPr="002C2628">
        <w:rPr>
          <w:rFonts w:ascii="Times New Roman" w:hAnsi="Times New Roman" w:cs="Times New Roman"/>
          <w:color w:val="000000" w:themeColor="text1"/>
        </w:rPr>
        <w:t xml:space="preserve"> políticas, programas e iniciativas que promueven las vocaciones científicas en la Universidad Nacional de La Matanza, considerando distintos niveles de análisis: las políticas nacionales, las decisiones institucionales adoptadas por la universidad y las estrategias impulsadas por el Departamento de Ciencias Económicas. Este mapeo permite identificar la articulación entre políticas públicas, lineamientos institucionales y decisiones curriculares que, en conjunto, configuran las condiciones para fortalecer la formación para la investigación en carreras de perfil profesionalizante.</w:t>
      </w:r>
    </w:p>
    <w:p w14:paraId="1E1D53D5" w14:textId="250DB8DE" w:rsidR="00494625" w:rsidRPr="002C2628" w:rsidRDefault="00494625" w:rsidP="00494625">
      <w:pPr>
        <w:spacing w:after="0" w:line="240" w:lineRule="auto"/>
        <w:jc w:val="both"/>
        <w:rPr>
          <w:rFonts w:ascii="Times New Roman" w:hAnsi="Times New Roman" w:cs="Times New Roman"/>
          <w:color w:val="000000" w:themeColor="text1"/>
        </w:rPr>
      </w:pPr>
      <w:r w:rsidRPr="002C2628">
        <w:rPr>
          <w:rFonts w:ascii="Times New Roman" w:hAnsi="Times New Roman" w:cs="Times New Roman"/>
          <w:color w:val="000000" w:themeColor="text1"/>
        </w:rPr>
        <w:t xml:space="preserve">Estos resultados constituyen un primer insumo para comprender cómo las decisiones institucionales y curriculares pueden contribuir a la construcción de trayectorias formativas orientadas al desarrollo de capacidades investigativas y vocaciones científicas en carreras profesionalizantes, que generen oportunidades de participación en experiencias de investigación desde las primeras etapas de la formación universitaria. </w:t>
      </w:r>
      <w:r w:rsidR="006B4693">
        <w:rPr>
          <w:rFonts w:ascii="Times New Roman" w:hAnsi="Times New Roman" w:cs="Times New Roman"/>
          <w:color w:val="000000" w:themeColor="text1"/>
        </w:rPr>
        <w:t>Desde esta perspectiva</w:t>
      </w:r>
      <w:r w:rsidRPr="002C2628">
        <w:rPr>
          <w:rFonts w:ascii="Times New Roman" w:hAnsi="Times New Roman" w:cs="Times New Roman"/>
          <w:color w:val="000000" w:themeColor="text1"/>
        </w:rPr>
        <w:t>, la revisión curricular de la asignatura, junto con las distintas estrategias académicas desarrolladas por el Departamento de Ciencias Económicas, constituye una evidencia del lugar que la formación para la investigación comienza a ocupar dentro de las políticas académicas del Departamento de Ciencias Económicas.</w:t>
      </w:r>
    </w:p>
    <w:p w14:paraId="33400E93" w14:textId="77777777" w:rsidR="00494625" w:rsidRPr="002C2628" w:rsidRDefault="00494625">
      <w:pPr>
        <w:rPr>
          <w:rFonts w:ascii="Times New Roman" w:hAnsi="Times New Roman" w:cs="Times New Roman"/>
          <w:b/>
          <w:bCs/>
          <w:color w:val="000000" w:themeColor="text1"/>
        </w:rPr>
      </w:pPr>
      <w:r w:rsidRPr="002C2628">
        <w:rPr>
          <w:rFonts w:ascii="Times New Roman" w:hAnsi="Times New Roman" w:cs="Times New Roman"/>
          <w:b/>
          <w:bCs/>
          <w:color w:val="000000" w:themeColor="text1"/>
        </w:rPr>
        <w:br w:type="page"/>
      </w:r>
    </w:p>
    <w:p w14:paraId="12CE0BCB" w14:textId="20D1FF68" w:rsidR="005F3B2E" w:rsidRPr="002C2628" w:rsidRDefault="005F3B2E" w:rsidP="00494625">
      <w:pPr>
        <w:rPr>
          <w:rFonts w:ascii="Times New Roman" w:hAnsi="Times New Roman" w:cs="Times New Roman"/>
          <w:color w:val="000000" w:themeColor="text1"/>
        </w:rPr>
      </w:pPr>
      <w:r w:rsidRPr="002C2628">
        <w:rPr>
          <w:rFonts w:ascii="Times New Roman" w:hAnsi="Times New Roman" w:cs="Times New Roman"/>
          <w:b/>
          <w:bCs/>
          <w:color w:val="000000" w:themeColor="text1"/>
        </w:rPr>
        <w:lastRenderedPageBreak/>
        <w:t>Conclusiones</w:t>
      </w:r>
    </w:p>
    <w:p w14:paraId="6E9157A0" w14:textId="592354D8" w:rsidR="00494625" w:rsidRPr="002C2628" w:rsidRDefault="00494625" w:rsidP="00494625">
      <w:pPr>
        <w:spacing w:line="240" w:lineRule="auto"/>
        <w:jc w:val="both"/>
        <w:rPr>
          <w:rFonts w:ascii="Times New Roman" w:hAnsi="Times New Roman" w:cs="Times New Roman"/>
          <w:color w:val="000000" w:themeColor="text1"/>
        </w:rPr>
      </w:pPr>
      <w:r w:rsidRPr="002C2628">
        <w:rPr>
          <w:rFonts w:ascii="Times New Roman" w:hAnsi="Times New Roman" w:cs="Times New Roman"/>
          <w:color w:val="000000" w:themeColor="text1"/>
        </w:rPr>
        <w:t xml:space="preserve">Los avances alcanzados hasta el momento permiten reconocer que una de las decisiones institucionales más relevantes identificadas en el Departamento de Ciencias Económicas de la Universidad Nacional de La Matanza se </w:t>
      </w:r>
      <w:r w:rsidR="006B114B">
        <w:rPr>
          <w:rFonts w:ascii="Times New Roman" w:hAnsi="Times New Roman" w:cs="Times New Roman"/>
          <w:color w:val="000000" w:themeColor="text1"/>
        </w:rPr>
        <w:t>expresa</w:t>
      </w:r>
      <w:r w:rsidRPr="002C2628">
        <w:rPr>
          <w:rFonts w:ascii="Times New Roman" w:hAnsi="Times New Roman" w:cs="Times New Roman"/>
          <w:color w:val="000000" w:themeColor="text1"/>
        </w:rPr>
        <w:t xml:space="preserve"> en el lugar que ocupa la asignatura </w:t>
      </w:r>
      <w:r w:rsidRPr="002C2628">
        <w:rPr>
          <w:rFonts w:ascii="Times New Roman" w:hAnsi="Times New Roman" w:cs="Times New Roman"/>
          <w:i/>
          <w:iCs/>
          <w:color w:val="000000" w:themeColor="text1"/>
        </w:rPr>
        <w:t>Introducción al Conocimiento Científico</w:t>
      </w:r>
      <w:r w:rsidRPr="002C2628">
        <w:rPr>
          <w:rFonts w:ascii="Times New Roman" w:hAnsi="Times New Roman" w:cs="Times New Roman"/>
          <w:color w:val="000000" w:themeColor="text1"/>
        </w:rPr>
        <w:t xml:space="preserve"> dentro de la formación inicial de las carreras de grado. Su incorporación como espacio curricular específico, sumada al proceso de revisión y actualización que actualmente atraviesa, evidencia una estrategia académica orientada a fortalecer la formación para la investigación desde los primeros años de la trayectoria universitaria. Si bien esta propuesta constituye un avance significativo, los resultados preliminares permiten advertir que aún persisten desafíos para consolidar la formación investigativa como un eje transversal del conjunto de la formación profesional.</w:t>
      </w:r>
    </w:p>
    <w:p w14:paraId="58DB7A5A" w14:textId="77777777" w:rsidR="00494625" w:rsidRPr="002C2628" w:rsidRDefault="00494625" w:rsidP="00494625">
      <w:pPr>
        <w:spacing w:line="240" w:lineRule="auto"/>
        <w:jc w:val="both"/>
        <w:rPr>
          <w:rFonts w:ascii="Times New Roman" w:hAnsi="Times New Roman" w:cs="Times New Roman"/>
          <w:color w:val="000000" w:themeColor="text1"/>
        </w:rPr>
      </w:pPr>
      <w:r w:rsidRPr="002C2628">
        <w:rPr>
          <w:rFonts w:ascii="Times New Roman" w:hAnsi="Times New Roman" w:cs="Times New Roman"/>
          <w:color w:val="000000" w:themeColor="text1"/>
        </w:rPr>
        <w:t>Asimismo, el relevamiento realizado permitió identificar un conjunto de políticas públicas orientadas a promover la iniciación científica de estudiantes universitarios, entre ellas las Becas de Estímulo a las Vocaciones Científicas del CIN y las iniciativas desarrolladas por el CONICET y el entonces Ministerio de Ciencia, Tecnología e Innovación. Estas políticas configuran un marco de oportunidades que, en articulación con las decisiones institucionales adoptadas por las universidades, contribuyen al fortalecimiento de las vocaciones científicas en carreras de grado profesionalizantes, particularmente en lo referido a la posibilidad de sostener trayectorias formativas orientadas a la investigación.</w:t>
      </w:r>
    </w:p>
    <w:p w14:paraId="76F1B7D1" w14:textId="6609A328" w:rsidR="00494625" w:rsidRPr="002C2628" w:rsidRDefault="00494625" w:rsidP="00494625">
      <w:p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rPr>
        <w:t>Los avances alcanzados hasta el momento permiten identificar que la promoción de vocaciones científicas en carreras profesionalizantes se encuentra atravesada por factores que exceden el ámbito universitario, aunque no lo reemplazan como eje de análisis</w:t>
      </w:r>
      <w:r w:rsidRPr="00115BDE">
        <w:rPr>
          <w:rFonts w:ascii="Times New Roman" w:hAnsi="Times New Roman" w:cs="Times New Roman"/>
          <w:color w:val="000000" w:themeColor="text1"/>
        </w:rPr>
        <w:t xml:space="preserve">. En </w:t>
      </w:r>
      <w:r w:rsidR="00115BDE">
        <w:rPr>
          <w:rFonts w:ascii="Times New Roman" w:hAnsi="Times New Roman" w:cs="Times New Roman"/>
          <w:color w:val="000000" w:themeColor="text1"/>
        </w:rPr>
        <w:t>función de ello</w:t>
      </w:r>
      <w:r w:rsidRPr="002C2628">
        <w:rPr>
          <w:rFonts w:ascii="Times New Roman" w:hAnsi="Times New Roman" w:cs="Times New Roman"/>
          <w:color w:val="000000" w:themeColor="text1"/>
        </w:rPr>
        <w:t>, el relevamiento realizado evidencia que la formación en investigación durante el nivel secundario continúa siendo limitada en el campo de las ciencias económicas, mientras que las propuestas científicas y tecnológicas de carácter transversal se concentran, principalmente, en las ciencias exactas y naturales. Este escenario constituye un antecedente relevante que permite contextualizar las trayectorias de ingreso de los estudiantes a la universidad, así como las condiciones iniciales con las que las instituciones de educación superior trabajan para promover el interés por la investigación.</w:t>
      </w:r>
    </w:p>
    <w:p w14:paraId="3225C70F" w14:textId="77777777" w:rsidR="00494625" w:rsidRPr="002C2628" w:rsidRDefault="00494625" w:rsidP="00494625">
      <w:p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rPr>
        <w:t>Los resultados preliminares también permiten advertir que la formación para la investigación continúa desarrollándose de manera fragmentada entre los distintos niveles educativos. Tanto el relevamiento realizado en la educación secundaria como el análisis de las carreras de grado en ciencias económicas evidencian que las oportunidades de aproximación sistemática a la investigación siguen siendo limitadas durante las etapas iniciales de la trayectoria formativa. Este escenario refuerza la necesidad de promover estrategias curriculares e institucionales que favorezcan una articulación progresiva de las capacidades investigativas desde los niveles previos hasta la formación universitaria.</w:t>
      </w:r>
    </w:p>
    <w:p w14:paraId="6E526748" w14:textId="77777777" w:rsidR="00494625" w:rsidRPr="002C2628" w:rsidRDefault="00494625" w:rsidP="00494625">
      <w:pPr>
        <w:spacing w:line="240" w:lineRule="auto"/>
        <w:jc w:val="both"/>
        <w:rPr>
          <w:rFonts w:ascii="Times New Roman" w:hAnsi="Times New Roman" w:cs="Times New Roman"/>
          <w:color w:val="000000" w:themeColor="text1"/>
        </w:rPr>
      </w:pPr>
      <w:r w:rsidRPr="002C2628">
        <w:rPr>
          <w:rFonts w:ascii="Times New Roman" w:hAnsi="Times New Roman" w:cs="Times New Roman"/>
          <w:color w:val="000000" w:themeColor="text1"/>
        </w:rPr>
        <w:t xml:space="preserve">En este contexto, los espacios curriculares y las estrategias formativas orientadas a la investigación constituyen dispositivos institucionales relevantes para promover una aproximación temprana de los estudiantes a la producción de conocimiento. Experiencias como la asignatura </w:t>
      </w:r>
      <w:r w:rsidRPr="002C2628">
        <w:rPr>
          <w:rFonts w:ascii="Times New Roman" w:hAnsi="Times New Roman" w:cs="Times New Roman"/>
          <w:i/>
          <w:iCs/>
          <w:color w:val="000000" w:themeColor="text1"/>
        </w:rPr>
        <w:t>Introducción al Conocimiento Científico</w:t>
      </w:r>
      <w:r w:rsidRPr="002C2628">
        <w:rPr>
          <w:rFonts w:ascii="Times New Roman" w:hAnsi="Times New Roman" w:cs="Times New Roman"/>
          <w:color w:val="000000" w:themeColor="text1"/>
        </w:rPr>
        <w:t xml:space="preserve"> y otros dispositivos </w:t>
      </w:r>
      <w:r w:rsidRPr="002C2628">
        <w:rPr>
          <w:rFonts w:ascii="Times New Roman" w:hAnsi="Times New Roman" w:cs="Times New Roman"/>
          <w:color w:val="000000" w:themeColor="text1"/>
        </w:rPr>
        <w:lastRenderedPageBreak/>
        <w:t>formativos desarrollados en los distintos niveles educativos representan oportunidades concretas para iniciar ese recorrido. No obstante, los resultados preliminares permiten advertir que su impacto depende de la existencia de decisiones institucionales sostenidas que contemplen el fortalecimiento de los diseños curriculares, la formación específica del cuerpo docente, la consolidación de perfiles académicos con formación de posgrado y la generación de condiciones que favorezcan la participación de los estudiantes en actividades de investigación.</w:t>
      </w:r>
    </w:p>
    <w:p w14:paraId="6A513761" w14:textId="5C7CF8EE" w:rsidR="00494625" w:rsidRPr="002C2628" w:rsidRDefault="00494625" w:rsidP="00494625">
      <w:p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rPr>
        <w:t xml:space="preserve">En definitiva, los avances alcanzados permiten sostener que la promoción de vocaciones científicas en carreras de grado profesionalizantes no depende exclusivamente de las motivaciones individuales de los estudiantes ni de iniciativas aisladas, sino del conjunto de decisiones académicas e institucionales que configuran las condiciones para la formación en investigación. Desde esta perspectiva, fortalecer la formación para la investigación supone reconocerla como una dimensión constitutiva del proyecto formativo universitario y no únicamente como una función complementaria. </w:t>
      </w:r>
      <w:r w:rsidR="00D23BA0">
        <w:rPr>
          <w:rFonts w:ascii="Times New Roman" w:hAnsi="Times New Roman" w:cs="Times New Roman"/>
          <w:color w:val="000000" w:themeColor="text1"/>
        </w:rPr>
        <w:t>A partir de estos avances</w:t>
      </w:r>
      <w:r w:rsidRPr="002C2628">
        <w:rPr>
          <w:rFonts w:ascii="Times New Roman" w:hAnsi="Times New Roman" w:cs="Times New Roman"/>
          <w:color w:val="000000" w:themeColor="text1"/>
        </w:rPr>
        <w:t>, la continuidad de la investigación buscará profundizar el análisis de dichas decisiones y aportar evidencias que contribuyan al diseño de políticas académicas orientadas a consolidar la formación para la investigación en el ámbito de las ciencias económicas.</w:t>
      </w:r>
    </w:p>
    <w:p w14:paraId="544B704F" w14:textId="48C678C0" w:rsidR="00BC236F" w:rsidRPr="002C2628" w:rsidRDefault="00494625" w:rsidP="00494625">
      <w:pPr>
        <w:spacing w:line="240" w:lineRule="auto"/>
        <w:jc w:val="both"/>
        <w:rPr>
          <w:rFonts w:ascii="Times New Roman" w:hAnsi="Times New Roman" w:cs="Times New Roman"/>
          <w:color w:val="000000" w:themeColor="text1"/>
        </w:rPr>
      </w:pPr>
      <w:r w:rsidRPr="002C2628">
        <w:rPr>
          <w:color w:val="000000" w:themeColor="text1"/>
          <w:lang w:val="es-ES"/>
        </w:rPr>
        <w:br w:type="page"/>
      </w:r>
    </w:p>
    <w:p w14:paraId="39B57161" w14:textId="39EB06AC" w:rsidR="005F3B2E" w:rsidRPr="002C2628" w:rsidRDefault="00494625" w:rsidP="00494625">
      <w:pPr>
        <w:rPr>
          <w:rFonts w:ascii="Times New Roman" w:hAnsi="Times New Roman" w:cs="Times New Roman"/>
          <w:b/>
          <w:bCs/>
          <w:color w:val="000000" w:themeColor="text1"/>
        </w:rPr>
      </w:pPr>
      <w:r w:rsidRPr="002C2628">
        <w:rPr>
          <w:rFonts w:ascii="Times New Roman" w:hAnsi="Times New Roman" w:cs="Times New Roman"/>
          <w:b/>
          <w:bCs/>
          <w:color w:val="000000" w:themeColor="text1"/>
        </w:rPr>
        <w:lastRenderedPageBreak/>
        <w:t>R</w:t>
      </w:r>
      <w:r w:rsidR="005F3B2E" w:rsidRPr="002C2628">
        <w:rPr>
          <w:rFonts w:ascii="Times New Roman" w:hAnsi="Times New Roman" w:cs="Times New Roman"/>
          <w:b/>
          <w:bCs/>
          <w:color w:val="000000" w:themeColor="text1"/>
        </w:rPr>
        <w:t>eferencias Bibliográficas (APA 7)</w:t>
      </w:r>
    </w:p>
    <w:p w14:paraId="3E9E39B9" w14:textId="77777777" w:rsidR="00494625" w:rsidRPr="002C2628" w:rsidRDefault="00494625" w:rsidP="001A48A7">
      <w:pPr>
        <w:pStyle w:val="Prrafodelista"/>
        <w:numPr>
          <w:ilvl w:val="0"/>
          <w:numId w:val="4"/>
        </w:num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lang w:val="es-ES"/>
        </w:rPr>
        <w:t>Adamek, L. (2024). Proyecto de investigación en el marco de las becas EVC-CIN: “Valoración de docentes sobre su función como adultos en la gestión de prácticas participativas de adolescentes en la escuela secundaria”. En J. C. Franco (Comp.). II Encuentro de Cátedras de Psicología en la Formación Docente: diálogos entre psicologías, psicoanálisis y educación: repensar el lazo social y las prácticas de formación docente con otras-os-es. Editorial de la Universidad Nacional de La Pampa.</w:t>
      </w:r>
    </w:p>
    <w:p w14:paraId="04086A13" w14:textId="77777777" w:rsidR="00D81E1C" w:rsidRPr="00D81E1C" w:rsidRDefault="00D81E1C" w:rsidP="001A48A7">
      <w:pPr>
        <w:pStyle w:val="Prrafodelista"/>
        <w:numPr>
          <w:ilvl w:val="0"/>
          <w:numId w:val="4"/>
        </w:numPr>
        <w:spacing w:line="240" w:lineRule="auto"/>
        <w:jc w:val="both"/>
        <w:rPr>
          <w:rFonts w:ascii="Times New Roman" w:hAnsi="Times New Roman" w:cs="Times New Roman"/>
          <w:color w:val="000000" w:themeColor="text1"/>
          <w:lang w:val="es-ES"/>
        </w:rPr>
      </w:pPr>
      <w:r w:rsidRPr="00D81E1C">
        <w:rPr>
          <w:rFonts w:ascii="Times New Roman" w:hAnsi="Times New Roman" w:cs="Times New Roman"/>
          <w:color w:val="000000" w:themeColor="text1"/>
        </w:rPr>
        <w:t xml:space="preserve">Aikenhead, G. S. (1994). The social </w:t>
      </w:r>
      <w:proofErr w:type="spellStart"/>
      <w:r w:rsidRPr="00D81E1C">
        <w:rPr>
          <w:rFonts w:ascii="Times New Roman" w:hAnsi="Times New Roman" w:cs="Times New Roman"/>
          <w:color w:val="000000" w:themeColor="text1"/>
        </w:rPr>
        <w:t>contract</w:t>
      </w:r>
      <w:proofErr w:type="spellEnd"/>
      <w:r w:rsidRPr="00D81E1C">
        <w:rPr>
          <w:rFonts w:ascii="Times New Roman" w:hAnsi="Times New Roman" w:cs="Times New Roman"/>
          <w:color w:val="000000" w:themeColor="text1"/>
        </w:rPr>
        <w:t xml:space="preserve"> </w:t>
      </w:r>
      <w:proofErr w:type="spellStart"/>
      <w:r w:rsidRPr="00D81E1C">
        <w:rPr>
          <w:rFonts w:ascii="Times New Roman" w:hAnsi="Times New Roman" w:cs="Times New Roman"/>
          <w:color w:val="000000" w:themeColor="text1"/>
        </w:rPr>
        <w:t>of</w:t>
      </w:r>
      <w:proofErr w:type="spellEnd"/>
      <w:r w:rsidRPr="00D81E1C">
        <w:rPr>
          <w:rFonts w:ascii="Times New Roman" w:hAnsi="Times New Roman" w:cs="Times New Roman"/>
          <w:color w:val="000000" w:themeColor="text1"/>
        </w:rPr>
        <w:t xml:space="preserve"> </w:t>
      </w:r>
      <w:proofErr w:type="spellStart"/>
      <w:r w:rsidRPr="00D81E1C">
        <w:rPr>
          <w:rFonts w:ascii="Times New Roman" w:hAnsi="Times New Roman" w:cs="Times New Roman"/>
          <w:color w:val="000000" w:themeColor="text1"/>
        </w:rPr>
        <w:t>science</w:t>
      </w:r>
      <w:proofErr w:type="spellEnd"/>
      <w:r w:rsidRPr="00D81E1C">
        <w:rPr>
          <w:rFonts w:ascii="Times New Roman" w:hAnsi="Times New Roman" w:cs="Times New Roman"/>
          <w:color w:val="000000" w:themeColor="text1"/>
        </w:rPr>
        <w:t xml:space="preserve">: </w:t>
      </w:r>
      <w:proofErr w:type="spellStart"/>
      <w:r w:rsidRPr="00D81E1C">
        <w:rPr>
          <w:rFonts w:ascii="Times New Roman" w:hAnsi="Times New Roman" w:cs="Times New Roman"/>
          <w:color w:val="000000" w:themeColor="text1"/>
        </w:rPr>
        <w:t>Implications</w:t>
      </w:r>
      <w:proofErr w:type="spellEnd"/>
      <w:r w:rsidRPr="00D81E1C">
        <w:rPr>
          <w:rFonts w:ascii="Times New Roman" w:hAnsi="Times New Roman" w:cs="Times New Roman"/>
          <w:color w:val="000000" w:themeColor="text1"/>
        </w:rPr>
        <w:t xml:space="preserve"> </w:t>
      </w:r>
      <w:proofErr w:type="spellStart"/>
      <w:r w:rsidRPr="00D81E1C">
        <w:rPr>
          <w:rFonts w:ascii="Times New Roman" w:hAnsi="Times New Roman" w:cs="Times New Roman"/>
          <w:color w:val="000000" w:themeColor="text1"/>
        </w:rPr>
        <w:t>for</w:t>
      </w:r>
      <w:proofErr w:type="spellEnd"/>
      <w:r w:rsidRPr="00D81E1C">
        <w:rPr>
          <w:rFonts w:ascii="Times New Roman" w:hAnsi="Times New Roman" w:cs="Times New Roman"/>
          <w:color w:val="000000" w:themeColor="text1"/>
        </w:rPr>
        <w:t xml:space="preserve"> </w:t>
      </w:r>
      <w:proofErr w:type="spellStart"/>
      <w:r w:rsidRPr="00D81E1C">
        <w:rPr>
          <w:rFonts w:ascii="Times New Roman" w:hAnsi="Times New Roman" w:cs="Times New Roman"/>
          <w:color w:val="000000" w:themeColor="text1"/>
        </w:rPr>
        <w:t>teaching</w:t>
      </w:r>
      <w:proofErr w:type="spellEnd"/>
      <w:r w:rsidRPr="00D81E1C">
        <w:rPr>
          <w:rFonts w:ascii="Times New Roman" w:hAnsi="Times New Roman" w:cs="Times New Roman"/>
          <w:color w:val="000000" w:themeColor="text1"/>
        </w:rPr>
        <w:t xml:space="preserve"> </w:t>
      </w:r>
      <w:proofErr w:type="spellStart"/>
      <w:r w:rsidRPr="00D81E1C">
        <w:rPr>
          <w:rFonts w:ascii="Times New Roman" w:hAnsi="Times New Roman" w:cs="Times New Roman"/>
          <w:color w:val="000000" w:themeColor="text1"/>
        </w:rPr>
        <w:t>science</w:t>
      </w:r>
      <w:proofErr w:type="spellEnd"/>
      <w:r w:rsidRPr="00D81E1C">
        <w:rPr>
          <w:rFonts w:ascii="Times New Roman" w:hAnsi="Times New Roman" w:cs="Times New Roman"/>
          <w:color w:val="000000" w:themeColor="text1"/>
        </w:rPr>
        <w:t xml:space="preserve">. En J. Solomon y G. Aikenhead (Eds.), </w:t>
      </w:r>
      <w:r w:rsidRPr="00D81E1C">
        <w:rPr>
          <w:rFonts w:ascii="Times New Roman" w:hAnsi="Times New Roman" w:cs="Times New Roman"/>
          <w:i/>
          <w:iCs/>
          <w:color w:val="000000" w:themeColor="text1"/>
        </w:rPr>
        <w:t xml:space="preserve">STS </w:t>
      </w:r>
      <w:proofErr w:type="spellStart"/>
      <w:r w:rsidRPr="00D81E1C">
        <w:rPr>
          <w:rFonts w:ascii="Times New Roman" w:hAnsi="Times New Roman" w:cs="Times New Roman"/>
          <w:i/>
          <w:iCs/>
          <w:color w:val="000000" w:themeColor="text1"/>
        </w:rPr>
        <w:t>education</w:t>
      </w:r>
      <w:proofErr w:type="spellEnd"/>
      <w:r w:rsidRPr="00D81E1C">
        <w:rPr>
          <w:rFonts w:ascii="Times New Roman" w:hAnsi="Times New Roman" w:cs="Times New Roman"/>
          <w:i/>
          <w:iCs/>
          <w:color w:val="000000" w:themeColor="text1"/>
        </w:rPr>
        <w:t xml:space="preserve">: International </w:t>
      </w:r>
      <w:proofErr w:type="spellStart"/>
      <w:r w:rsidRPr="00D81E1C">
        <w:rPr>
          <w:rFonts w:ascii="Times New Roman" w:hAnsi="Times New Roman" w:cs="Times New Roman"/>
          <w:i/>
          <w:iCs/>
          <w:color w:val="000000" w:themeColor="text1"/>
        </w:rPr>
        <w:t>perspectives</w:t>
      </w:r>
      <w:proofErr w:type="spellEnd"/>
      <w:r w:rsidRPr="00D81E1C">
        <w:rPr>
          <w:rFonts w:ascii="Times New Roman" w:hAnsi="Times New Roman" w:cs="Times New Roman"/>
          <w:i/>
          <w:iCs/>
          <w:color w:val="000000" w:themeColor="text1"/>
        </w:rPr>
        <w:t xml:space="preserve"> </w:t>
      </w:r>
      <w:proofErr w:type="spellStart"/>
      <w:r w:rsidRPr="00D81E1C">
        <w:rPr>
          <w:rFonts w:ascii="Times New Roman" w:hAnsi="Times New Roman" w:cs="Times New Roman"/>
          <w:i/>
          <w:iCs/>
          <w:color w:val="000000" w:themeColor="text1"/>
        </w:rPr>
        <w:t>on</w:t>
      </w:r>
      <w:proofErr w:type="spellEnd"/>
      <w:r w:rsidRPr="00D81E1C">
        <w:rPr>
          <w:rFonts w:ascii="Times New Roman" w:hAnsi="Times New Roman" w:cs="Times New Roman"/>
          <w:i/>
          <w:iCs/>
          <w:color w:val="000000" w:themeColor="text1"/>
        </w:rPr>
        <w:t xml:space="preserve"> </w:t>
      </w:r>
      <w:proofErr w:type="spellStart"/>
      <w:r w:rsidRPr="00D81E1C">
        <w:rPr>
          <w:rFonts w:ascii="Times New Roman" w:hAnsi="Times New Roman" w:cs="Times New Roman"/>
          <w:i/>
          <w:iCs/>
          <w:color w:val="000000" w:themeColor="text1"/>
        </w:rPr>
        <w:t>reform</w:t>
      </w:r>
      <w:proofErr w:type="spellEnd"/>
      <w:r w:rsidRPr="00D81E1C">
        <w:rPr>
          <w:rFonts w:ascii="Times New Roman" w:hAnsi="Times New Roman" w:cs="Times New Roman"/>
          <w:color w:val="000000" w:themeColor="text1"/>
        </w:rPr>
        <w:t xml:space="preserve"> (pp. 11–20). </w:t>
      </w:r>
      <w:proofErr w:type="spellStart"/>
      <w:r w:rsidRPr="00D81E1C">
        <w:rPr>
          <w:rFonts w:ascii="Times New Roman" w:hAnsi="Times New Roman" w:cs="Times New Roman"/>
          <w:color w:val="000000" w:themeColor="text1"/>
        </w:rPr>
        <w:t>Teachers</w:t>
      </w:r>
      <w:proofErr w:type="spellEnd"/>
      <w:r w:rsidRPr="00D81E1C">
        <w:rPr>
          <w:rFonts w:ascii="Times New Roman" w:hAnsi="Times New Roman" w:cs="Times New Roman"/>
          <w:color w:val="000000" w:themeColor="text1"/>
        </w:rPr>
        <w:t xml:space="preserve"> College Press.</w:t>
      </w:r>
    </w:p>
    <w:p w14:paraId="2BEE7D50" w14:textId="427FAB39" w:rsidR="00D81E1C" w:rsidRPr="00D81E1C" w:rsidRDefault="00D81E1C" w:rsidP="001A48A7">
      <w:pPr>
        <w:pStyle w:val="Prrafodelista"/>
        <w:numPr>
          <w:ilvl w:val="0"/>
          <w:numId w:val="4"/>
        </w:numPr>
        <w:spacing w:line="240" w:lineRule="auto"/>
        <w:jc w:val="both"/>
        <w:rPr>
          <w:rFonts w:ascii="Times New Roman" w:hAnsi="Times New Roman" w:cs="Times New Roman"/>
          <w:color w:val="000000" w:themeColor="text1"/>
          <w:lang w:val="es-ES"/>
        </w:rPr>
      </w:pPr>
      <w:r w:rsidRPr="00D81E1C">
        <w:rPr>
          <w:rFonts w:ascii="Times New Roman" w:hAnsi="Times New Roman" w:cs="Times New Roman"/>
          <w:color w:val="000000" w:themeColor="text1"/>
        </w:rPr>
        <w:t>Albornoz, M. (2022)</w:t>
      </w:r>
      <w:r w:rsidR="00FC05C4">
        <w:rPr>
          <w:rFonts w:ascii="Times New Roman" w:hAnsi="Times New Roman" w:cs="Times New Roman"/>
          <w:color w:val="000000" w:themeColor="text1"/>
        </w:rPr>
        <w:t>.</w:t>
      </w:r>
      <w:r w:rsidRPr="00D81E1C">
        <w:rPr>
          <w:rFonts w:ascii="Times New Roman" w:hAnsi="Times New Roman" w:cs="Times New Roman"/>
          <w:color w:val="000000" w:themeColor="text1"/>
        </w:rPr>
        <w:t xml:space="preserve"> Investigar en la universidad. En F. J. M. Talento </w:t>
      </w:r>
      <w:proofErr w:type="spellStart"/>
      <w:r w:rsidRPr="00D81E1C">
        <w:rPr>
          <w:rFonts w:ascii="Times New Roman" w:hAnsi="Times New Roman" w:cs="Times New Roman"/>
          <w:color w:val="000000" w:themeColor="text1"/>
        </w:rPr>
        <w:t>Cutrin</w:t>
      </w:r>
      <w:proofErr w:type="spellEnd"/>
      <w:r w:rsidRPr="00D81E1C">
        <w:rPr>
          <w:rFonts w:ascii="Times New Roman" w:hAnsi="Times New Roman" w:cs="Times New Roman"/>
          <w:color w:val="000000" w:themeColor="text1"/>
        </w:rPr>
        <w:t xml:space="preserve"> (Comp.), </w:t>
      </w:r>
      <w:r w:rsidRPr="00D81E1C">
        <w:rPr>
          <w:rFonts w:ascii="Times New Roman" w:hAnsi="Times New Roman" w:cs="Times New Roman"/>
          <w:i/>
          <w:iCs/>
          <w:color w:val="000000" w:themeColor="text1"/>
        </w:rPr>
        <w:t>100 años de Reforma Universitaria: principales apelaciones a la universidad argentina</w:t>
      </w:r>
      <w:r w:rsidRPr="00D81E1C">
        <w:rPr>
          <w:rFonts w:ascii="Times New Roman" w:hAnsi="Times New Roman" w:cs="Times New Roman"/>
          <w:color w:val="000000" w:themeColor="text1"/>
        </w:rPr>
        <w:t xml:space="preserve"> (pp. 1–12). Comisión Nacional de Evaluación y Acreditación Universitaria.</w:t>
      </w:r>
    </w:p>
    <w:p w14:paraId="4E38814B" w14:textId="2A750C75" w:rsidR="00494625" w:rsidRPr="002C2628" w:rsidRDefault="00494625" w:rsidP="001A48A7">
      <w:pPr>
        <w:pStyle w:val="Prrafodelista"/>
        <w:numPr>
          <w:ilvl w:val="0"/>
          <w:numId w:val="4"/>
        </w:num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lang w:val="es-ES"/>
        </w:rPr>
        <w:t xml:space="preserve">Albornoz, M., </w:t>
      </w:r>
      <w:proofErr w:type="spellStart"/>
      <w:r w:rsidRPr="002C2628">
        <w:rPr>
          <w:rFonts w:ascii="Times New Roman" w:hAnsi="Times New Roman" w:cs="Times New Roman"/>
          <w:color w:val="000000" w:themeColor="text1"/>
          <w:lang w:val="es-ES"/>
        </w:rPr>
        <w:t>Estebañez</w:t>
      </w:r>
      <w:proofErr w:type="spellEnd"/>
      <w:r w:rsidRPr="002C2628">
        <w:rPr>
          <w:rFonts w:ascii="Times New Roman" w:hAnsi="Times New Roman" w:cs="Times New Roman"/>
          <w:color w:val="000000" w:themeColor="text1"/>
          <w:lang w:val="es-ES"/>
        </w:rPr>
        <w:t xml:space="preserve">, M. E. y </w:t>
      </w:r>
      <w:proofErr w:type="spellStart"/>
      <w:r w:rsidRPr="002C2628">
        <w:rPr>
          <w:rFonts w:ascii="Times New Roman" w:hAnsi="Times New Roman" w:cs="Times New Roman"/>
          <w:color w:val="000000" w:themeColor="text1"/>
          <w:lang w:val="es-ES"/>
        </w:rPr>
        <w:t>Luchilo</w:t>
      </w:r>
      <w:proofErr w:type="spellEnd"/>
      <w:r w:rsidRPr="002C2628">
        <w:rPr>
          <w:rFonts w:ascii="Times New Roman" w:hAnsi="Times New Roman" w:cs="Times New Roman"/>
          <w:color w:val="000000" w:themeColor="text1"/>
          <w:lang w:val="es-ES"/>
        </w:rPr>
        <w:t>. L. (2004). La investigación en las universidades nacionales: actores e instituciones. En O. Barsky, V. Sigal y M. Dávila (</w:t>
      </w:r>
      <w:proofErr w:type="spellStart"/>
      <w:r w:rsidRPr="002C2628">
        <w:rPr>
          <w:rFonts w:ascii="Times New Roman" w:hAnsi="Times New Roman" w:cs="Times New Roman"/>
          <w:color w:val="000000" w:themeColor="text1"/>
          <w:lang w:val="es-ES"/>
        </w:rPr>
        <w:t>Coords</w:t>
      </w:r>
      <w:proofErr w:type="spellEnd"/>
      <w:r w:rsidRPr="002C2628">
        <w:rPr>
          <w:rFonts w:ascii="Times New Roman" w:hAnsi="Times New Roman" w:cs="Times New Roman"/>
          <w:color w:val="000000" w:themeColor="text1"/>
          <w:lang w:val="es-ES"/>
        </w:rPr>
        <w:t>)</w:t>
      </w:r>
      <w:r w:rsidR="00FC05C4">
        <w:rPr>
          <w:rFonts w:ascii="Times New Roman" w:hAnsi="Times New Roman" w:cs="Times New Roman"/>
          <w:color w:val="000000" w:themeColor="text1"/>
          <w:lang w:val="es-ES"/>
        </w:rPr>
        <w:t>,</w:t>
      </w:r>
      <w:r w:rsidRPr="002C2628">
        <w:rPr>
          <w:rFonts w:ascii="Times New Roman" w:hAnsi="Times New Roman" w:cs="Times New Roman"/>
          <w:color w:val="000000" w:themeColor="text1"/>
          <w:lang w:val="es-ES"/>
        </w:rPr>
        <w:t xml:space="preserve"> Los desafíos de la universidad argentina (pp. 381-414). Siglo XXI Editores. </w:t>
      </w:r>
    </w:p>
    <w:p w14:paraId="68C4F6EE" w14:textId="77777777" w:rsidR="00494625" w:rsidRPr="002C2628" w:rsidRDefault="00494625" w:rsidP="001A48A7">
      <w:pPr>
        <w:pStyle w:val="Prrafodelista"/>
        <w:numPr>
          <w:ilvl w:val="0"/>
          <w:numId w:val="4"/>
        </w:num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lang w:val="es-ES"/>
        </w:rPr>
        <w:t xml:space="preserve">Bandin, M. V. (2017). </w:t>
      </w:r>
      <w:r w:rsidRPr="00D81E1C">
        <w:rPr>
          <w:rFonts w:ascii="Times New Roman" w:hAnsi="Times New Roman" w:cs="Times New Roman"/>
          <w:i/>
          <w:iCs/>
          <w:color w:val="000000" w:themeColor="text1"/>
          <w:lang w:val="es-ES"/>
        </w:rPr>
        <w:t>La comunicación pública de la ciencia en el CONICET: vocaciones científicas. Elementos para el diagnóstico, reconocimiento y análisis del Programa de Promoción de Vocaciones Científicas (</w:t>
      </w:r>
      <w:proofErr w:type="spellStart"/>
      <w:r w:rsidRPr="00D81E1C">
        <w:rPr>
          <w:rFonts w:ascii="Times New Roman" w:hAnsi="Times New Roman" w:cs="Times New Roman"/>
          <w:i/>
          <w:iCs/>
          <w:color w:val="000000" w:themeColor="text1"/>
          <w:lang w:val="es-ES"/>
        </w:rPr>
        <w:t>Voc.Ar</w:t>
      </w:r>
      <w:proofErr w:type="spellEnd"/>
      <w:r w:rsidRPr="00D81E1C">
        <w:rPr>
          <w:rFonts w:ascii="Times New Roman" w:hAnsi="Times New Roman" w:cs="Times New Roman"/>
          <w:i/>
          <w:iCs/>
          <w:color w:val="000000" w:themeColor="text1"/>
          <w:lang w:val="es-ES"/>
        </w:rPr>
        <w:t xml:space="preserve">) y la Plataforma País Ciencia durante el período 2012-2014 </w:t>
      </w:r>
      <w:r w:rsidRPr="002C2628">
        <w:rPr>
          <w:rFonts w:ascii="Times New Roman" w:hAnsi="Times New Roman" w:cs="Times New Roman"/>
          <w:color w:val="000000" w:themeColor="text1"/>
          <w:lang w:val="es-ES"/>
        </w:rPr>
        <w:t>[Tesis de Maestría, Universidad Nacional de La Plata]. SEDICI. https://sedici.unlp.edu.ar/handle/10915/64405</w:t>
      </w:r>
    </w:p>
    <w:p w14:paraId="6741FCBF" w14:textId="77777777" w:rsidR="00494625" w:rsidRPr="002C2628" w:rsidRDefault="00494625" w:rsidP="001A48A7">
      <w:pPr>
        <w:pStyle w:val="Prrafodelista"/>
        <w:numPr>
          <w:ilvl w:val="0"/>
          <w:numId w:val="4"/>
        </w:num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lang w:val="es-ES"/>
        </w:rPr>
        <w:t xml:space="preserve">Clark, B. R. (1991). </w:t>
      </w:r>
      <w:r w:rsidRPr="00D81E1C">
        <w:rPr>
          <w:rFonts w:ascii="Times New Roman" w:hAnsi="Times New Roman" w:cs="Times New Roman"/>
          <w:i/>
          <w:iCs/>
          <w:color w:val="000000" w:themeColor="text1"/>
          <w:lang w:val="es-ES"/>
        </w:rPr>
        <w:t>El sistema de educación superior. Una visión comparativa de la organización académica.</w:t>
      </w:r>
      <w:r w:rsidRPr="002C2628">
        <w:rPr>
          <w:rFonts w:ascii="Times New Roman" w:hAnsi="Times New Roman" w:cs="Times New Roman"/>
          <w:color w:val="000000" w:themeColor="text1"/>
          <w:lang w:val="es-ES"/>
        </w:rPr>
        <w:t xml:space="preserve"> Nueva Imagen; Universidad Autónoma Metropolitana-</w:t>
      </w:r>
      <w:proofErr w:type="spellStart"/>
      <w:r w:rsidRPr="002C2628">
        <w:rPr>
          <w:rFonts w:ascii="Times New Roman" w:hAnsi="Times New Roman" w:cs="Times New Roman"/>
          <w:color w:val="000000" w:themeColor="text1"/>
          <w:lang w:val="es-ES"/>
        </w:rPr>
        <w:t>Azapotzalco</w:t>
      </w:r>
      <w:proofErr w:type="spellEnd"/>
      <w:r w:rsidRPr="002C2628">
        <w:rPr>
          <w:rFonts w:ascii="Times New Roman" w:hAnsi="Times New Roman" w:cs="Times New Roman"/>
          <w:color w:val="000000" w:themeColor="text1"/>
          <w:lang w:val="es-ES"/>
        </w:rPr>
        <w:t xml:space="preserve">.  </w:t>
      </w:r>
    </w:p>
    <w:p w14:paraId="698A27FE" w14:textId="2AF21D24" w:rsidR="00494625" w:rsidRPr="002C2628" w:rsidRDefault="00494625" w:rsidP="001A48A7">
      <w:pPr>
        <w:pStyle w:val="Prrafodelista"/>
        <w:numPr>
          <w:ilvl w:val="0"/>
          <w:numId w:val="4"/>
        </w:num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lang w:val="es-ES"/>
        </w:rPr>
        <w:t>Consejo Interuniversitario Nacional (2024). Becas de Estímulo a las Vocaciones Científicas Bases para la Convocatoria 2024. https://evc.cin.edu.ar/</w:t>
      </w:r>
    </w:p>
    <w:p w14:paraId="742D17BB" w14:textId="3B796FC3" w:rsidR="00494625" w:rsidRPr="002C2628" w:rsidRDefault="00494625" w:rsidP="001A48A7">
      <w:pPr>
        <w:pStyle w:val="Prrafodelista"/>
        <w:numPr>
          <w:ilvl w:val="0"/>
          <w:numId w:val="4"/>
        </w:numPr>
        <w:spacing w:line="240" w:lineRule="auto"/>
        <w:jc w:val="both"/>
        <w:rPr>
          <w:rFonts w:ascii="Times New Roman" w:hAnsi="Times New Roman" w:cs="Times New Roman"/>
          <w:color w:val="000000" w:themeColor="text1"/>
          <w:lang w:val="es-ES"/>
        </w:rPr>
      </w:pPr>
      <w:proofErr w:type="spellStart"/>
      <w:r w:rsidRPr="002C2628">
        <w:rPr>
          <w:rFonts w:ascii="Times New Roman" w:hAnsi="Times New Roman" w:cs="Times New Roman"/>
          <w:color w:val="000000" w:themeColor="text1"/>
          <w:lang w:val="es-ES"/>
        </w:rPr>
        <w:t>Convert</w:t>
      </w:r>
      <w:proofErr w:type="spellEnd"/>
      <w:r w:rsidRPr="002C2628">
        <w:rPr>
          <w:rFonts w:ascii="Times New Roman" w:hAnsi="Times New Roman" w:cs="Times New Roman"/>
          <w:color w:val="000000" w:themeColor="text1"/>
          <w:lang w:val="es-ES"/>
        </w:rPr>
        <w:t xml:space="preserve">, B. y Gugenheim, F. (2005) </w:t>
      </w:r>
      <w:proofErr w:type="spellStart"/>
      <w:r w:rsidRPr="002C2628">
        <w:rPr>
          <w:rFonts w:ascii="Times New Roman" w:hAnsi="Times New Roman" w:cs="Times New Roman"/>
          <w:color w:val="000000" w:themeColor="text1"/>
          <w:lang w:val="es-ES"/>
        </w:rPr>
        <w:t>Scientific</w:t>
      </w:r>
      <w:proofErr w:type="spellEnd"/>
      <w:r w:rsidRPr="002C2628">
        <w:rPr>
          <w:rFonts w:ascii="Times New Roman" w:hAnsi="Times New Roman" w:cs="Times New Roman"/>
          <w:color w:val="000000" w:themeColor="text1"/>
          <w:lang w:val="es-ES"/>
        </w:rPr>
        <w:t xml:space="preserve"> </w:t>
      </w:r>
      <w:proofErr w:type="spellStart"/>
      <w:r w:rsidRPr="002C2628">
        <w:rPr>
          <w:rFonts w:ascii="Times New Roman" w:hAnsi="Times New Roman" w:cs="Times New Roman"/>
          <w:color w:val="000000" w:themeColor="text1"/>
          <w:lang w:val="es-ES"/>
        </w:rPr>
        <w:t>Vocations</w:t>
      </w:r>
      <w:proofErr w:type="spellEnd"/>
      <w:r w:rsidRPr="002C2628">
        <w:rPr>
          <w:rFonts w:ascii="Times New Roman" w:hAnsi="Times New Roman" w:cs="Times New Roman"/>
          <w:color w:val="000000" w:themeColor="text1"/>
          <w:lang w:val="es-ES"/>
        </w:rPr>
        <w:t xml:space="preserve"> in Crisis in France: </w:t>
      </w:r>
      <w:proofErr w:type="spellStart"/>
      <w:r w:rsidRPr="002C2628">
        <w:rPr>
          <w:rFonts w:ascii="Times New Roman" w:hAnsi="Times New Roman" w:cs="Times New Roman"/>
          <w:color w:val="000000" w:themeColor="text1"/>
          <w:lang w:val="es-ES"/>
        </w:rPr>
        <w:t>Explanatory</w:t>
      </w:r>
      <w:proofErr w:type="spellEnd"/>
      <w:r w:rsidRPr="002C2628">
        <w:rPr>
          <w:rFonts w:ascii="Times New Roman" w:hAnsi="Times New Roman" w:cs="Times New Roman"/>
          <w:color w:val="000000" w:themeColor="text1"/>
          <w:lang w:val="es-ES"/>
        </w:rPr>
        <w:t xml:space="preserve"> Social </w:t>
      </w:r>
      <w:proofErr w:type="spellStart"/>
      <w:r w:rsidRPr="002C2628">
        <w:rPr>
          <w:rFonts w:ascii="Times New Roman" w:hAnsi="Times New Roman" w:cs="Times New Roman"/>
          <w:color w:val="000000" w:themeColor="text1"/>
          <w:lang w:val="es-ES"/>
        </w:rPr>
        <w:t>Developments</w:t>
      </w:r>
      <w:proofErr w:type="spellEnd"/>
      <w:r w:rsidRPr="002C2628">
        <w:rPr>
          <w:rFonts w:ascii="Times New Roman" w:hAnsi="Times New Roman" w:cs="Times New Roman"/>
          <w:color w:val="000000" w:themeColor="text1"/>
          <w:lang w:val="es-ES"/>
        </w:rPr>
        <w:t xml:space="preserve"> and </w:t>
      </w:r>
      <w:proofErr w:type="spellStart"/>
      <w:r w:rsidRPr="002C2628">
        <w:rPr>
          <w:rFonts w:ascii="Times New Roman" w:hAnsi="Times New Roman" w:cs="Times New Roman"/>
          <w:color w:val="000000" w:themeColor="text1"/>
          <w:lang w:val="es-ES"/>
        </w:rPr>
        <w:t>Mechanisms</w:t>
      </w:r>
      <w:proofErr w:type="spellEnd"/>
      <w:r w:rsidRPr="002C2628">
        <w:rPr>
          <w:rFonts w:ascii="Times New Roman" w:hAnsi="Times New Roman" w:cs="Times New Roman"/>
          <w:color w:val="000000" w:themeColor="text1"/>
          <w:lang w:val="es-ES"/>
        </w:rPr>
        <w:t xml:space="preserve">. </w:t>
      </w:r>
      <w:proofErr w:type="spellStart"/>
      <w:r w:rsidR="00D81E1C" w:rsidRPr="00D81E1C">
        <w:rPr>
          <w:rFonts w:ascii="Times New Roman" w:hAnsi="Times New Roman" w:cs="Times New Roman"/>
          <w:i/>
          <w:iCs/>
          <w:color w:val="000000" w:themeColor="text1"/>
        </w:rPr>
        <w:t>European</w:t>
      </w:r>
      <w:proofErr w:type="spellEnd"/>
      <w:r w:rsidR="00D81E1C" w:rsidRPr="00D81E1C">
        <w:rPr>
          <w:rFonts w:ascii="Times New Roman" w:hAnsi="Times New Roman" w:cs="Times New Roman"/>
          <w:i/>
          <w:iCs/>
          <w:color w:val="000000" w:themeColor="text1"/>
        </w:rPr>
        <w:t xml:space="preserve"> </w:t>
      </w:r>
      <w:proofErr w:type="spellStart"/>
      <w:r w:rsidR="00D81E1C" w:rsidRPr="00D81E1C">
        <w:rPr>
          <w:rFonts w:ascii="Times New Roman" w:hAnsi="Times New Roman" w:cs="Times New Roman"/>
          <w:i/>
          <w:iCs/>
          <w:color w:val="000000" w:themeColor="text1"/>
        </w:rPr>
        <w:t>Journal</w:t>
      </w:r>
      <w:proofErr w:type="spellEnd"/>
      <w:r w:rsidR="00D81E1C" w:rsidRPr="00D81E1C">
        <w:rPr>
          <w:rFonts w:ascii="Times New Roman" w:hAnsi="Times New Roman" w:cs="Times New Roman"/>
          <w:i/>
          <w:iCs/>
          <w:color w:val="000000" w:themeColor="text1"/>
        </w:rPr>
        <w:t xml:space="preserve"> </w:t>
      </w:r>
      <w:proofErr w:type="spellStart"/>
      <w:r w:rsidR="00D81E1C" w:rsidRPr="00D81E1C">
        <w:rPr>
          <w:rFonts w:ascii="Times New Roman" w:hAnsi="Times New Roman" w:cs="Times New Roman"/>
          <w:i/>
          <w:iCs/>
          <w:color w:val="000000" w:themeColor="text1"/>
        </w:rPr>
        <w:t>of</w:t>
      </w:r>
      <w:proofErr w:type="spellEnd"/>
      <w:r w:rsidR="00D81E1C" w:rsidRPr="00D81E1C">
        <w:rPr>
          <w:rFonts w:ascii="Times New Roman" w:hAnsi="Times New Roman" w:cs="Times New Roman"/>
          <w:i/>
          <w:iCs/>
          <w:color w:val="000000" w:themeColor="text1"/>
        </w:rPr>
        <w:t xml:space="preserve"> </w:t>
      </w:r>
      <w:proofErr w:type="spellStart"/>
      <w:r w:rsidR="00D81E1C" w:rsidRPr="00D81E1C">
        <w:rPr>
          <w:rFonts w:ascii="Times New Roman" w:hAnsi="Times New Roman" w:cs="Times New Roman"/>
          <w:i/>
          <w:iCs/>
          <w:color w:val="000000" w:themeColor="text1"/>
        </w:rPr>
        <w:t>Vocational</w:t>
      </w:r>
      <w:proofErr w:type="spellEnd"/>
      <w:r w:rsidR="00D81E1C" w:rsidRPr="00D81E1C">
        <w:rPr>
          <w:rFonts w:ascii="Times New Roman" w:hAnsi="Times New Roman" w:cs="Times New Roman"/>
          <w:i/>
          <w:iCs/>
          <w:color w:val="000000" w:themeColor="text1"/>
        </w:rPr>
        <w:t xml:space="preserve"> Training, 35</w:t>
      </w:r>
      <w:r w:rsidR="00D81E1C" w:rsidRPr="00D81E1C">
        <w:rPr>
          <w:rFonts w:ascii="Times New Roman" w:hAnsi="Times New Roman" w:cs="Times New Roman"/>
          <w:color w:val="000000" w:themeColor="text1"/>
        </w:rPr>
        <w:t>, 12–20.</w:t>
      </w:r>
    </w:p>
    <w:p w14:paraId="00F466AF" w14:textId="77777777" w:rsidR="00494625" w:rsidRPr="002C2628" w:rsidRDefault="00494625" w:rsidP="001A48A7">
      <w:pPr>
        <w:pStyle w:val="Prrafodelista"/>
        <w:numPr>
          <w:ilvl w:val="0"/>
          <w:numId w:val="4"/>
        </w:num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lang w:val="es-ES"/>
        </w:rPr>
        <w:t>Cortina, A. (1997). Ciudadanos del mundo. Hacia una teoría de la ciudadanía. Alianza.</w:t>
      </w:r>
    </w:p>
    <w:p w14:paraId="3B1403E4" w14:textId="77777777" w:rsidR="00494625" w:rsidRPr="002C2628" w:rsidRDefault="00494625" w:rsidP="001A48A7">
      <w:pPr>
        <w:pStyle w:val="Prrafodelista"/>
        <w:numPr>
          <w:ilvl w:val="0"/>
          <w:numId w:val="4"/>
        </w:numPr>
        <w:spacing w:line="240" w:lineRule="auto"/>
        <w:jc w:val="both"/>
        <w:rPr>
          <w:rFonts w:ascii="Times New Roman" w:hAnsi="Times New Roman" w:cs="Times New Roman"/>
          <w:color w:val="000000" w:themeColor="text1"/>
          <w:lang w:val="es-ES"/>
        </w:rPr>
      </w:pPr>
      <w:proofErr w:type="spellStart"/>
      <w:r w:rsidRPr="002C2628">
        <w:rPr>
          <w:rFonts w:ascii="Times New Roman" w:hAnsi="Times New Roman" w:cs="Times New Roman"/>
          <w:color w:val="000000" w:themeColor="text1"/>
          <w:lang w:val="es-ES"/>
        </w:rPr>
        <w:t>Dallorso</w:t>
      </w:r>
      <w:proofErr w:type="spellEnd"/>
      <w:r w:rsidRPr="002C2628">
        <w:rPr>
          <w:rFonts w:ascii="Times New Roman" w:hAnsi="Times New Roman" w:cs="Times New Roman"/>
          <w:color w:val="000000" w:themeColor="text1"/>
          <w:lang w:val="es-ES"/>
        </w:rPr>
        <w:t xml:space="preserve">, N. S., Di Virgilio, M. M., Giorgetti, D. A., Lewin, H. D. y Giraldez, S. (2015). Investigar en la Universidad: ¿Qué? ¿Para qué? ¿Con </w:t>
      </w:r>
      <w:proofErr w:type="spellStart"/>
      <w:r w:rsidRPr="002C2628">
        <w:rPr>
          <w:rFonts w:ascii="Times New Roman" w:hAnsi="Times New Roman" w:cs="Times New Roman"/>
          <w:color w:val="000000" w:themeColor="text1"/>
          <w:lang w:val="es-ES"/>
        </w:rPr>
        <w:t>quiénes</w:t>
      </w:r>
      <w:proofErr w:type="spellEnd"/>
      <w:r w:rsidRPr="002C2628">
        <w:rPr>
          <w:rFonts w:ascii="Times New Roman" w:hAnsi="Times New Roman" w:cs="Times New Roman"/>
          <w:color w:val="000000" w:themeColor="text1"/>
          <w:lang w:val="es-ES"/>
        </w:rPr>
        <w:t>? Sociedad, 34, 106-120. https://ri.conicet.gov.ar/handle/11336/50513</w:t>
      </w:r>
    </w:p>
    <w:p w14:paraId="09E62424" w14:textId="77777777" w:rsidR="00494625" w:rsidRPr="002C2628" w:rsidRDefault="00494625" w:rsidP="001A48A7">
      <w:pPr>
        <w:pStyle w:val="Prrafodelista"/>
        <w:numPr>
          <w:ilvl w:val="0"/>
          <w:numId w:val="4"/>
        </w:num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lang w:val="es-ES"/>
        </w:rPr>
        <w:t>Dirección General de Cultura y Educación de la provincia de Buenos Aires (2010). Diseño Curricular para la Educación Secundaria Ciclo Superior: ES4: Orientación Economía y Administración.  https://abc.gob.ar/secretarias/sites/default/files/2021-05/Dise%C3%B1o%20Curricular%20%285%29.pdf</w:t>
      </w:r>
    </w:p>
    <w:p w14:paraId="5D051DA4" w14:textId="61381148" w:rsidR="00494625" w:rsidRPr="002C2628" w:rsidRDefault="00494625" w:rsidP="001A48A7">
      <w:pPr>
        <w:pStyle w:val="Prrafodelista"/>
        <w:numPr>
          <w:ilvl w:val="0"/>
          <w:numId w:val="4"/>
        </w:num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lang w:val="es-ES"/>
        </w:rPr>
        <w:t xml:space="preserve">Fouad, N. A. (2007). Work and </w:t>
      </w:r>
      <w:proofErr w:type="spellStart"/>
      <w:r w:rsidRPr="002C2628">
        <w:rPr>
          <w:rFonts w:ascii="Times New Roman" w:hAnsi="Times New Roman" w:cs="Times New Roman"/>
          <w:color w:val="000000" w:themeColor="text1"/>
          <w:lang w:val="es-ES"/>
        </w:rPr>
        <w:t>Vocational</w:t>
      </w:r>
      <w:proofErr w:type="spellEnd"/>
      <w:r w:rsidRPr="002C2628">
        <w:rPr>
          <w:rFonts w:ascii="Times New Roman" w:hAnsi="Times New Roman" w:cs="Times New Roman"/>
          <w:color w:val="000000" w:themeColor="text1"/>
          <w:lang w:val="es-ES"/>
        </w:rPr>
        <w:t xml:space="preserve"> </w:t>
      </w:r>
      <w:proofErr w:type="spellStart"/>
      <w:r w:rsidRPr="002C2628">
        <w:rPr>
          <w:rFonts w:ascii="Times New Roman" w:hAnsi="Times New Roman" w:cs="Times New Roman"/>
          <w:color w:val="000000" w:themeColor="text1"/>
          <w:lang w:val="es-ES"/>
        </w:rPr>
        <w:t>Psychology</w:t>
      </w:r>
      <w:proofErr w:type="spellEnd"/>
      <w:r w:rsidRPr="002C2628">
        <w:rPr>
          <w:rFonts w:ascii="Times New Roman" w:hAnsi="Times New Roman" w:cs="Times New Roman"/>
          <w:color w:val="000000" w:themeColor="text1"/>
          <w:lang w:val="es-ES"/>
        </w:rPr>
        <w:t xml:space="preserve">: Theory, </w:t>
      </w:r>
      <w:proofErr w:type="spellStart"/>
      <w:r w:rsidRPr="002C2628">
        <w:rPr>
          <w:rFonts w:ascii="Times New Roman" w:hAnsi="Times New Roman" w:cs="Times New Roman"/>
          <w:color w:val="000000" w:themeColor="text1"/>
          <w:lang w:val="es-ES"/>
        </w:rPr>
        <w:t>Research</w:t>
      </w:r>
      <w:proofErr w:type="spellEnd"/>
      <w:r w:rsidRPr="002C2628">
        <w:rPr>
          <w:rFonts w:ascii="Times New Roman" w:hAnsi="Times New Roman" w:cs="Times New Roman"/>
          <w:color w:val="000000" w:themeColor="text1"/>
          <w:lang w:val="es-ES"/>
        </w:rPr>
        <w:t xml:space="preserve">, and </w:t>
      </w:r>
      <w:proofErr w:type="spellStart"/>
      <w:r w:rsidRPr="002C2628">
        <w:rPr>
          <w:rFonts w:ascii="Times New Roman" w:hAnsi="Times New Roman" w:cs="Times New Roman"/>
          <w:color w:val="000000" w:themeColor="text1"/>
          <w:lang w:val="es-ES"/>
        </w:rPr>
        <w:t>Applications</w:t>
      </w:r>
      <w:proofErr w:type="spellEnd"/>
      <w:r w:rsidRPr="002C2628">
        <w:rPr>
          <w:rFonts w:ascii="Times New Roman" w:hAnsi="Times New Roman" w:cs="Times New Roman"/>
          <w:color w:val="000000" w:themeColor="text1"/>
          <w:lang w:val="es-ES"/>
        </w:rPr>
        <w:t xml:space="preserve">. </w:t>
      </w:r>
      <w:proofErr w:type="spellStart"/>
      <w:r w:rsidRPr="002C2628">
        <w:rPr>
          <w:rFonts w:ascii="Times New Roman" w:hAnsi="Times New Roman" w:cs="Times New Roman"/>
          <w:color w:val="000000" w:themeColor="text1"/>
          <w:lang w:val="es-ES"/>
        </w:rPr>
        <w:t>Annual</w:t>
      </w:r>
      <w:proofErr w:type="spellEnd"/>
      <w:r w:rsidRPr="002C2628">
        <w:rPr>
          <w:rFonts w:ascii="Times New Roman" w:hAnsi="Times New Roman" w:cs="Times New Roman"/>
          <w:color w:val="000000" w:themeColor="text1"/>
          <w:lang w:val="es-ES"/>
        </w:rPr>
        <w:t xml:space="preserve"> </w:t>
      </w:r>
      <w:proofErr w:type="spellStart"/>
      <w:r w:rsidRPr="002C2628">
        <w:rPr>
          <w:rFonts w:ascii="Times New Roman" w:hAnsi="Times New Roman" w:cs="Times New Roman"/>
          <w:color w:val="000000" w:themeColor="text1"/>
          <w:lang w:val="es-ES"/>
        </w:rPr>
        <w:t>Review</w:t>
      </w:r>
      <w:proofErr w:type="spellEnd"/>
      <w:r w:rsidRPr="002C2628">
        <w:rPr>
          <w:rFonts w:ascii="Times New Roman" w:hAnsi="Times New Roman" w:cs="Times New Roman"/>
          <w:color w:val="000000" w:themeColor="text1"/>
          <w:lang w:val="es-ES"/>
        </w:rPr>
        <w:t xml:space="preserve"> </w:t>
      </w:r>
      <w:proofErr w:type="spellStart"/>
      <w:r w:rsidRPr="002C2628">
        <w:rPr>
          <w:rFonts w:ascii="Times New Roman" w:hAnsi="Times New Roman" w:cs="Times New Roman"/>
          <w:color w:val="000000" w:themeColor="text1"/>
          <w:lang w:val="es-ES"/>
        </w:rPr>
        <w:t>of</w:t>
      </w:r>
      <w:proofErr w:type="spellEnd"/>
      <w:r w:rsidRPr="002C2628">
        <w:rPr>
          <w:rFonts w:ascii="Times New Roman" w:hAnsi="Times New Roman" w:cs="Times New Roman"/>
          <w:color w:val="000000" w:themeColor="text1"/>
          <w:lang w:val="es-ES"/>
        </w:rPr>
        <w:t xml:space="preserve"> </w:t>
      </w:r>
      <w:proofErr w:type="spellStart"/>
      <w:r w:rsidRPr="002C2628">
        <w:rPr>
          <w:rFonts w:ascii="Times New Roman" w:hAnsi="Times New Roman" w:cs="Times New Roman"/>
          <w:color w:val="000000" w:themeColor="text1"/>
          <w:lang w:val="es-ES"/>
        </w:rPr>
        <w:t>Psychology</w:t>
      </w:r>
      <w:proofErr w:type="spellEnd"/>
      <w:r w:rsidRPr="002C2628">
        <w:rPr>
          <w:rFonts w:ascii="Times New Roman" w:hAnsi="Times New Roman" w:cs="Times New Roman"/>
          <w:color w:val="000000" w:themeColor="text1"/>
          <w:lang w:val="es-ES"/>
        </w:rPr>
        <w:t>, 58, 543-</w:t>
      </w:r>
      <w:r w:rsidR="00D81E1C">
        <w:rPr>
          <w:rFonts w:ascii="Times New Roman" w:hAnsi="Times New Roman" w:cs="Times New Roman"/>
          <w:color w:val="000000" w:themeColor="text1"/>
          <w:lang w:val="es-ES"/>
        </w:rPr>
        <w:t>5</w:t>
      </w:r>
      <w:r w:rsidRPr="002C2628">
        <w:rPr>
          <w:rFonts w:ascii="Times New Roman" w:hAnsi="Times New Roman" w:cs="Times New Roman"/>
          <w:color w:val="000000" w:themeColor="text1"/>
          <w:lang w:val="es-ES"/>
        </w:rPr>
        <w:t>64.</w:t>
      </w:r>
    </w:p>
    <w:p w14:paraId="284F0EFF" w14:textId="77777777" w:rsidR="00494625" w:rsidRPr="002C2628" w:rsidRDefault="00494625" w:rsidP="001A48A7">
      <w:pPr>
        <w:pStyle w:val="Prrafodelista"/>
        <w:numPr>
          <w:ilvl w:val="0"/>
          <w:numId w:val="4"/>
        </w:numPr>
        <w:spacing w:line="240" w:lineRule="auto"/>
        <w:jc w:val="both"/>
        <w:rPr>
          <w:rFonts w:ascii="Times New Roman" w:hAnsi="Times New Roman" w:cs="Times New Roman"/>
          <w:color w:val="000000" w:themeColor="text1"/>
          <w:lang w:val="es-ES"/>
        </w:rPr>
      </w:pPr>
      <w:proofErr w:type="spellStart"/>
      <w:r w:rsidRPr="002C2628">
        <w:rPr>
          <w:rFonts w:ascii="Times New Roman" w:hAnsi="Times New Roman" w:cs="Times New Roman"/>
          <w:color w:val="000000" w:themeColor="text1"/>
          <w:lang w:val="es-ES"/>
        </w:rPr>
        <w:t>Fourez</w:t>
      </w:r>
      <w:proofErr w:type="spellEnd"/>
      <w:r w:rsidRPr="002C2628">
        <w:rPr>
          <w:rFonts w:ascii="Times New Roman" w:hAnsi="Times New Roman" w:cs="Times New Roman"/>
          <w:color w:val="000000" w:themeColor="text1"/>
          <w:lang w:val="es-ES"/>
        </w:rPr>
        <w:t>, G. M. (1994). La construcción del conocimiento científico. Filosofía y ética de la ciencia. Narcea.</w:t>
      </w:r>
    </w:p>
    <w:p w14:paraId="7BFF0E1F" w14:textId="77777777" w:rsidR="00494625" w:rsidRPr="002C2628" w:rsidRDefault="00494625" w:rsidP="001A48A7">
      <w:pPr>
        <w:pStyle w:val="Prrafodelista"/>
        <w:numPr>
          <w:ilvl w:val="0"/>
          <w:numId w:val="4"/>
        </w:num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lang w:val="es-ES"/>
        </w:rPr>
        <w:lastRenderedPageBreak/>
        <w:t xml:space="preserve">Martínez Grau, J. (2017). Acercar la ciencia a la sociedad: aportes comunicacionales para el desafío del Conicet de promover cultura científica y llegar a nuevos públicos: caso Programa </w:t>
      </w:r>
      <w:proofErr w:type="spellStart"/>
      <w:r w:rsidRPr="002C2628">
        <w:rPr>
          <w:rFonts w:ascii="Times New Roman" w:hAnsi="Times New Roman" w:cs="Times New Roman"/>
          <w:color w:val="000000" w:themeColor="text1"/>
          <w:lang w:val="es-ES"/>
        </w:rPr>
        <w:t>VocAr</w:t>
      </w:r>
      <w:proofErr w:type="spellEnd"/>
      <w:r w:rsidRPr="002C2628">
        <w:rPr>
          <w:rFonts w:ascii="Times New Roman" w:hAnsi="Times New Roman" w:cs="Times New Roman"/>
          <w:color w:val="000000" w:themeColor="text1"/>
          <w:lang w:val="es-ES"/>
        </w:rPr>
        <w:t xml:space="preserve"> [Tesis de Doctorado, Universidad de Ciencias Sociales y Empresariales]. Repositorio UCES. </w:t>
      </w:r>
    </w:p>
    <w:p w14:paraId="02CDB207" w14:textId="77777777" w:rsidR="00494625" w:rsidRPr="002C2628" w:rsidRDefault="00494625" w:rsidP="001A48A7">
      <w:pPr>
        <w:pStyle w:val="Prrafodelista"/>
        <w:numPr>
          <w:ilvl w:val="0"/>
          <w:numId w:val="4"/>
        </w:num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lang w:val="es-ES"/>
        </w:rPr>
        <w:t>Ministerio de Ciencia, Tecnología e Innovación. (s.f.). LCVE – Los científicos van a la escuela. https://lcve.mincyt.gob.ar/</w:t>
      </w:r>
    </w:p>
    <w:p w14:paraId="28336646" w14:textId="12DE82D8" w:rsidR="00494625" w:rsidRPr="002C2628" w:rsidRDefault="00494625" w:rsidP="001A48A7">
      <w:pPr>
        <w:pStyle w:val="Prrafodelista"/>
        <w:numPr>
          <w:ilvl w:val="0"/>
          <w:numId w:val="4"/>
        </w:numPr>
        <w:spacing w:line="240" w:lineRule="auto"/>
        <w:jc w:val="both"/>
        <w:rPr>
          <w:rFonts w:ascii="Times New Roman" w:hAnsi="Times New Roman" w:cs="Times New Roman"/>
          <w:color w:val="000000" w:themeColor="text1"/>
          <w:lang w:val="es-ES"/>
        </w:rPr>
      </w:pPr>
      <w:proofErr w:type="spellStart"/>
      <w:r w:rsidRPr="002C2628">
        <w:rPr>
          <w:rFonts w:ascii="Times New Roman" w:hAnsi="Times New Roman" w:cs="Times New Roman"/>
          <w:color w:val="000000" w:themeColor="text1"/>
          <w:lang w:val="es-ES"/>
        </w:rPr>
        <w:t>Naraskevicins</w:t>
      </w:r>
      <w:proofErr w:type="spellEnd"/>
      <w:r w:rsidRPr="002C2628">
        <w:rPr>
          <w:rFonts w:ascii="Times New Roman" w:hAnsi="Times New Roman" w:cs="Times New Roman"/>
          <w:color w:val="000000" w:themeColor="text1"/>
          <w:lang w:val="es-ES"/>
        </w:rPr>
        <w:t xml:space="preserve">, M., Saccone, M., Gutiérrez, G. B. del R., del Valle Osores, N. A., Valdiviezo, M. P., Tolaba, O. L. y Cruz, M. T. (2023). Promoción de formación en investigación: análisis de las becas EVC-CIN en la </w:t>
      </w:r>
      <w:proofErr w:type="spellStart"/>
      <w:r w:rsidRPr="002C2628">
        <w:rPr>
          <w:rFonts w:ascii="Times New Roman" w:hAnsi="Times New Roman" w:cs="Times New Roman"/>
          <w:color w:val="000000" w:themeColor="text1"/>
          <w:lang w:val="es-ES"/>
        </w:rPr>
        <w:t>UNJu</w:t>
      </w:r>
      <w:proofErr w:type="spellEnd"/>
      <w:r w:rsidRPr="002C2628">
        <w:rPr>
          <w:rFonts w:ascii="Times New Roman" w:hAnsi="Times New Roman" w:cs="Times New Roman"/>
          <w:color w:val="000000" w:themeColor="text1"/>
          <w:lang w:val="es-ES"/>
        </w:rPr>
        <w:t>. Cuadernos Universitarios, 16(16), 101-112. https://doi.org/10.53794/cu.v16i16.550</w:t>
      </w:r>
    </w:p>
    <w:p w14:paraId="65DDB995" w14:textId="77777777" w:rsidR="00D81E1C" w:rsidRPr="00D81E1C" w:rsidRDefault="00D81E1C" w:rsidP="001A48A7">
      <w:pPr>
        <w:pStyle w:val="Prrafodelista"/>
        <w:numPr>
          <w:ilvl w:val="0"/>
          <w:numId w:val="4"/>
        </w:numPr>
        <w:spacing w:line="240" w:lineRule="auto"/>
        <w:jc w:val="both"/>
        <w:rPr>
          <w:rFonts w:ascii="Times New Roman" w:hAnsi="Times New Roman" w:cs="Times New Roman"/>
          <w:color w:val="000000" w:themeColor="text1"/>
          <w:lang w:val="es-ES"/>
        </w:rPr>
      </w:pPr>
      <w:proofErr w:type="spellStart"/>
      <w:r w:rsidRPr="00D81E1C">
        <w:rPr>
          <w:rFonts w:ascii="Times New Roman" w:hAnsi="Times New Roman" w:cs="Times New Roman"/>
          <w:color w:val="000000" w:themeColor="text1"/>
        </w:rPr>
        <w:t>Organisation</w:t>
      </w:r>
      <w:proofErr w:type="spellEnd"/>
      <w:r w:rsidRPr="00D81E1C">
        <w:rPr>
          <w:rFonts w:ascii="Times New Roman" w:hAnsi="Times New Roman" w:cs="Times New Roman"/>
          <w:color w:val="000000" w:themeColor="text1"/>
        </w:rPr>
        <w:t xml:space="preserve"> </w:t>
      </w:r>
      <w:proofErr w:type="spellStart"/>
      <w:r w:rsidRPr="00D81E1C">
        <w:rPr>
          <w:rFonts w:ascii="Times New Roman" w:hAnsi="Times New Roman" w:cs="Times New Roman"/>
          <w:color w:val="000000" w:themeColor="text1"/>
        </w:rPr>
        <w:t>for</w:t>
      </w:r>
      <w:proofErr w:type="spellEnd"/>
      <w:r w:rsidRPr="00D81E1C">
        <w:rPr>
          <w:rFonts w:ascii="Times New Roman" w:hAnsi="Times New Roman" w:cs="Times New Roman"/>
          <w:color w:val="000000" w:themeColor="text1"/>
        </w:rPr>
        <w:t xml:space="preserve"> </w:t>
      </w:r>
      <w:proofErr w:type="spellStart"/>
      <w:r w:rsidRPr="00D81E1C">
        <w:rPr>
          <w:rFonts w:ascii="Times New Roman" w:hAnsi="Times New Roman" w:cs="Times New Roman"/>
          <w:color w:val="000000" w:themeColor="text1"/>
        </w:rPr>
        <w:t>Economic</w:t>
      </w:r>
      <w:proofErr w:type="spellEnd"/>
      <w:r w:rsidRPr="00D81E1C">
        <w:rPr>
          <w:rFonts w:ascii="Times New Roman" w:hAnsi="Times New Roman" w:cs="Times New Roman"/>
          <w:color w:val="000000" w:themeColor="text1"/>
        </w:rPr>
        <w:t xml:space="preserve"> </w:t>
      </w:r>
      <w:proofErr w:type="spellStart"/>
      <w:r w:rsidRPr="00D81E1C">
        <w:rPr>
          <w:rFonts w:ascii="Times New Roman" w:hAnsi="Times New Roman" w:cs="Times New Roman"/>
          <w:color w:val="000000" w:themeColor="text1"/>
        </w:rPr>
        <w:t>Co-operation</w:t>
      </w:r>
      <w:proofErr w:type="spellEnd"/>
      <w:r w:rsidRPr="00D81E1C">
        <w:rPr>
          <w:rFonts w:ascii="Times New Roman" w:hAnsi="Times New Roman" w:cs="Times New Roman"/>
          <w:color w:val="000000" w:themeColor="text1"/>
        </w:rPr>
        <w:t xml:space="preserve"> and </w:t>
      </w:r>
      <w:proofErr w:type="spellStart"/>
      <w:r w:rsidRPr="00D81E1C">
        <w:rPr>
          <w:rFonts w:ascii="Times New Roman" w:hAnsi="Times New Roman" w:cs="Times New Roman"/>
          <w:color w:val="000000" w:themeColor="text1"/>
        </w:rPr>
        <w:t>Development</w:t>
      </w:r>
      <w:proofErr w:type="spellEnd"/>
      <w:r w:rsidRPr="00D81E1C">
        <w:rPr>
          <w:rFonts w:ascii="Times New Roman" w:hAnsi="Times New Roman" w:cs="Times New Roman"/>
          <w:color w:val="000000" w:themeColor="text1"/>
        </w:rPr>
        <w:t xml:space="preserve">. (1997). </w:t>
      </w:r>
      <w:proofErr w:type="spellStart"/>
      <w:r w:rsidRPr="00D81E1C">
        <w:rPr>
          <w:rFonts w:ascii="Times New Roman" w:hAnsi="Times New Roman" w:cs="Times New Roman"/>
          <w:i/>
          <w:iCs/>
          <w:color w:val="000000" w:themeColor="text1"/>
        </w:rPr>
        <w:t>Science</w:t>
      </w:r>
      <w:proofErr w:type="spellEnd"/>
      <w:r w:rsidRPr="00D81E1C">
        <w:rPr>
          <w:rFonts w:ascii="Times New Roman" w:hAnsi="Times New Roman" w:cs="Times New Roman"/>
          <w:i/>
          <w:iCs/>
          <w:color w:val="000000" w:themeColor="text1"/>
        </w:rPr>
        <w:t xml:space="preserve"> and </w:t>
      </w:r>
      <w:proofErr w:type="spellStart"/>
      <w:r w:rsidRPr="00D81E1C">
        <w:rPr>
          <w:rFonts w:ascii="Times New Roman" w:hAnsi="Times New Roman" w:cs="Times New Roman"/>
          <w:i/>
          <w:iCs/>
          <w:color w:val="000000" w:themeColor="text1"/>
        </w:rPr>
        <w:t>technology</w:t>
      </w:r>
      <w:proofErr w:type="spellEnd"/>
      <w:r w:rsidRPr="00D81E1C">
        <w:rPr>
          <w:rFonts w:ascii="Times New Roman" w:hAnsi="Times New Roman" w:cs="Times New Roman"/>
          <w:i/>
          <w:iCs/>
          <w:color w:val="000000" w:themeColor="text1"/>
        </w:rPr>
        <w:t xml:space="preserve"> in </w:t>
      </w:r>
      <w:proofErr w:type="spellStart"/>
      <w:r w:rsidRPr="00D81E1C">
        <w:rPr>
          <w:rFonts w:ascii="Times New Roman" w:hAnsi="Times New Roman" w:cs="Times New Roman"/>
          <w:i/>
          <w:iCs/>
          <w:color w:val="000000" w:themeColor="text1"/>
        </w:rPr>
        <w:t>the</w:t>
      </w:r>
      <w:proofErr w:type="spellEnd"/>
      <w:r w:rsidRPr="00D81E1C">
        <w:rPr>
          <w:rFonts w:ascii="Times New Roman" w:hAnsi="Times New Roman" w:cs="Times New Roman"/>
          <w:i/>
          <w:iCs/>
          <w:color w:val="000000" w:themeColor="text1"/>
        </w:rPr>
        <w:t xml:space="preserve"> </w:t>
      </w:r>
      <w:proofErr w:type="spellStart"/>
      <w:r w:rsidRPr="00D81E1C">
        <w:rPr>
          <w:rFonts w:ascii="Times New Roman" w:hAnsi="Times New Roman" w:cs="Times New Roman"/>
          <w:i/>
          <w:iCs/>
          <w:color w:val="000000" w:themeColor="text1"/>
        </w:rPr>
        <w:t>public</w:t>
      </w:r>
      <w:proofErr w:type="spellEnd"/>
      <w:r w:rsidRPr="00D81E1C">
        <w:rPr>
          <w:rFonts w:ascii="Times New Roman" w:hAnsi="Times New Roman" w:cs="Times New Roman"/>
          <w:i/>
          <w:iCs/>
          <w:color w:val="000000" w:themeColor="text1"/>
        </w:rPr>
        <w:t xml:space="preserve"> </w:t>
      </w:r>
      <w:proofErr w:type="spellStart"/>
      <w:r w:rsidRPr="00D81E1C">
        <w:rPr>
          <w:rFonts w:ascii="Times New Roman" w:hAnsi="Times New Roman" w:cs="Times New Roman"/>
          <w:i/>
          <w:iCs/>
          <w:color w:val="000000" w:themeColor="text1"/>
        </w:rPr>
        <w:t>eye</w:t>
      </w:r>
      <w:proofErr w:type="spellEnd"/>
      <w:r w:rsidRPr="00D81E1C">
        <w:rPr>
          <w:rFonts w:ascii="Times New Roman" w:hAnsi="Times New Roman" w:cs="Times New Roman"/>
          <w:color w:val="000000" w:themeColor="text1"/>
        </w:rPr>
        <w:t>. OECD Publishing.</w:t>
      </w:r>
    </w:p>
    <w:p w14:paraId="0472E446" w14:textId="40039E53" w:rsidR="00494625" w:rsidRPr="002C2628" w:rsidRDefault="00494625" w:rsidP="001A48A7">
      <w:pPr>
        <w:pStyle w:val="Prrafodelista"/>
        <w:numPr>
          <w:ilvl w:val="0"/>
          <w:numId w:val="4"/>
        </w:num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lang w:val="es-ES"/>
        </w:rPr>
        <w:t>Pavesi, P. (1991). Cinco lecturas prácticas sobre algunos problemas del decidir. Revista Alta Gerencia, 1(1), 15-30.</w:t>
      </w:r>
    </w:p>
    <w:p w14:paraId="46AC03DB" w14:textId="2D46EF9A" w:rsidR="00494625" w:rsidRPr="002C2628" w:rsidRDefault="00494625" w:rsidP="001A48A7">
      <w:pPr>
        <w:pStyle w:val="Prrafodelista"/>
        <w:numPr>
          <w:ilvl w:val="0"/>
          <w:numId w:val="4"/>
        </w:num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lang w:val="es-ES"/>
        </w:rPr>
        <w:t xml:space="preserve">Polino, C. (2012). Las ciencias en el aula y el interés por Las carreras científico-tecnológicas: un análisis de Las expectativas de </w:t>
      </w:r>
      <w:r w:rsidR="00767FB0">
        <w:rPr>
          <w:rFonts w:ascii="Times New Roman" w:hAnsi="Times New Roman" w:cs="Times New Roman"/>
          <w:color w:val="000000" w:themeColor="text1"/>
          <w:lang w:val="es-ES"/>
        </w:rPr>
        <w:t>l</w:t>
      </w:r>
      <w:r w:rsidRPr="002C2628">
        <w:rPr>
          <w:rFonts w:ascii="Times New Roman" w:hAnsi="Times New Roman" w:cs="Times New Roman"/>
          <w:color w:val="000000" w:themeColor="text1"/>
          <w:lang w:val="es-ES"/>
        </w:rPr>
        <w:t xml:space="preserve">os alumnos de nivel secundario en Iberoamérica. </w:t>
      </w:r>
      <w:r w:rsidR="00F8494D" w:rsidRPr="00F8494D">
        <w:rPr>
          <w:rFonts w:ascii="Times New Roman" w:hAnsi="Times New Roman" w:cs="Times New Roman"/>
          <w:i/>
          <w:iCs/>
          <w:color w:val="000000" w:themeColor="text1"/>
        </w:rPr>
        <w:t>Revista Iberoamericana de Educación, 58</w:t>
      </w:r>
      <w:r w:rsidR="00F8494D" w:rsidRPr="00F8494D">
        <w:rPr>
          <w:rFonts w:ascii="Times New Roman" w:hAnsi="Times New Roman" w:cs="Times New Roman"/>
          <w:color w:val="000000" w:themeColor="text1"/>
        </w:rPr>
        <w:t>, 167–191.</w:t>
      </w:r>
    </w:p>
    <w:p w14:paraId="501CCBC3" w14:textId="77777777" w:rsidR="00494625" w:rsidRPr="002C2628" w:rsidRDefault="00494625" w:rsidP="001A48A7">
      <w:pPr>
        <w:pStyle w:val="Prrafodelista"/>
        <w:numPr>
          <w:ilvl w:val="0"/>
          <w:numId w:val="4"/>
        </w:num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lang w:val="es-ES"/>
        </w:rPr>
        <w:t>Polino, C. y Chiappe, D. (2011a). Introducción: los jóvenes, las carreras científicas y los dilemas de la educación media. En C. Polino (Comp.). Los estudiantes y la ciencia. encuesta a jóvenes iberoamericanos (pp. 11-20). Observatorio CTS; OEI.</w:t>
      </w:r>
    </w:p>
    <w:p w14:paraId="7BC1E48F" w14:textId="77777777" w:rsidR="00494625" w:rsidRPr="002C2628" w:rsidRDefault="00494625" w:rsidP="001A48A7">
      <w:pPr>
        <w:pStyle w:val="Prrafodelista"/>
        <w:numPr>
          <w:ilvl w:val="0"/>
          <w:numId w:val="4"/>
        </w:num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lang w:val="es-ES"/>
        </w:rPr>
        <w:t xml:space="preserve">Polino, C. y Chiappe, D. (2011b). Metodología. En C. Polino (Comp.). Los estudiantes y la ciencia. Encuesta a jóvenes iberoamericanos (pp. 229-256). Observatorio CTS; OEI. </w:t>
      </w:r>
    </w:p>
    <w:p w14:paraId="586A314B" w14:textId="7535F3A7" w:rsidR="00494625" w:rsidRPr="002C2628" w:rsidRDefault="00494625" w:rsidP="001A48A7">
      <w:pPr>
        <w:pStyle w:val="Prrafodelista"/>
        <w:numPr>
          <w:ilvl w:val="0"/>
          <w:numId w:val="4"/>
        </w:num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lang w:val="es-ES"/>
        </w:rPr>
        <w:t xml:space="preserve">Polino, C., Chiappe, D. y </w:t>
      </w:r>
      <w:proofErr w:type="spellStart"/>
      <w:r w:rsidRPr="002C2628">
        <w:rPr>
          <w:rFonts w:ascii="Times New Roman" w:hAnsi="Times New Roman" w:cs="Times New Roman"/>
          <w:color w:val="000000" w:themeColor="text1"/>
          <w:lang w:val="es-ES"/>
        </w:rPr>
        <w:t>Castelfranchi</w:t>
      </w:r>
      <w:proofErr w:type="spellEnd"/>
      <w:r w:rsidRPr="002C2628">
        <w:rPr>
          <w:rFonts w:ascii="Times New Roman" w:hAnsi="Times New Roman" w:cs="Times New Roman"/>
          <w:color w:val="000000" w:themeColor="text1"/>
          <w:lang w:val="es-ES"/>
        </w:rPr>
        <w:t>, Y. (2011). Ciencias e ingenierías en el imaginario profesional de los estudiantes, En C. Polino (Comp.). Los estudiantes y la ciencia. encuesta a jóvenes iberoamericanos (pp. 91-114). Observatorio CTS; OE</w:t>
      </w:r>
      <w:r w:rsidR="00F8494D">
        <w:rPr>
          <w:rFonts w:ascii="Times New Roman" w:hAnsi="Times New Roman" w:cs="Times New Roman"/>
          <w:color w:val="000000" w:themeColor="text1"/>
          <w:lang w:val="es-ES"/>
        </w:rPr>
        <w:t>I</w:t>
      </w:r>
      <w:r w:rsidRPr="002C2628">
        <w:rPr>
          <w:rFonts w:ascii="Times New Roman" w:hAnsi="Times New Roman" w:cs="Times New Roman"/>
          <w:color w:val="000000" w:themeColor="text1"/>
          <w:lang w:val="es-ES"/>
        </w:rPr>
        <w:t xml:space="preserve">. </w:t>
      </w:r>
    </w:p>
    <w:p w14:paraId="7CF1E116" w14:textId="44748378" w:rsidR="00494625" w:rsidRPr="002C2628" w:rsidRDefault="00494625" w:rsidP="001A48A7">
      <w:pPr>
        <w:pStyle w:val="Prrafodelista"/>
        <w:numPr>
          <w:ilvl w:val="0"/>
          <w:numId w:val="4"/>
        </w:num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lang w:val="es-ES"/>
        </w:rPr>
        <w:t>Pont Vidal, J. y Andr</w:t>
      </w:r>
      <w:r w:rsidR="00F8494D">
        <w:rPr>
          <w:rFonts w:ascii="Times New Roman" w:hAnsi="Times New Roman" w:cs="Times New Roman"/>
          <w:color w:val="000000" w:themeColor="text1"/>
          <w:lang w:val="es-ES"/>
        </w:rPr>
        <w:t>é</w:t>
      </w:r>
      <w:r w:rsidRPr="002C2628">
        <w:rPr>
          <w:rFonts w:ascii="Times New Roman" w:hAnsi="Times New Roman" w:cs="Times New Roman"/>
          <w:color w:val="000000" w:themeColor="text1"/>
          <w:lang w:val="es-ES"/>
        </w:rPr>
        <w:t>, C. (2016). Toma de decisiones en instituciones de Educación superior en la amazonia: hacia una síntesis de racionalidades. Revista Chilena de Administración Pública, (27), 149-171. https://dialnet.unirioja.es/servlet/articulo?codigo=6098405</w:t>
      </w:r>
    </w:p>
    <w:p w14:paraId="6654F6D6" w14:textId="77777777" w:rsidR="00494625" w:rsidRPr="002C2628" w:rsidRDefault="00494625" w:rsidP="001A48A7">
      <w:pPr>
        <w:pStyle w:val="Prrafodelista"/>
        <w:numPr>
          <w:ilvl w:val="0"/>
          <w:numId w:val="4"/>
        </w:num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lang w:val="es-ES"/>
        </w:rPr>
        <w:t>Rivas, F. y Martínez, B. (2003). Cognición vocacional. En F. Rivas (Ed.). Asesoramiento vocacional. Teoría, práctica e instrumentación (pp. 313-351). Ariel Psicología.</w:t>
      </w:r>
    </w:p>
    <w:p w14:paraId="648E54AB" w14:textId="77777777" w:rsidR="00494625" w:rsidRPr="002C2628" w:rsidRDefault="00494625" w:rsidP="001A48A7">
      <w:pPr>
        <w:pStyle w:val="Prrafodelista"/>
        <w:numPr>
          <w:ilvl w:val="0"/>
          <w:numId w:val="4"/>
        </w:num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lang w:val="es-ES"/>
        </w:rPr>
        <w:t>Sánchez-Ron, J. M. (1992). El poder de la ciencia. Alianza Editorial.</w:t>
      </w:r>
    </w:p>
    <w:p w14:paraId="435317A9" w14:textId="77777777" w:rsidR="00494625" w:rsidRPr="002C2628" w:rsidRDefault="00494625" w:rsidP="001A48A7">
      <w:pPr>
        <w:pStyle w:val="Prrafodelista"/>
        <w:numPr>
          <w:ilvl w:val="0"/>
          <w:numId w:val="4"/>
        </w:numPr>
        <w:spacing w:line="240" w:lineRule="auto"/>
        <w:jc w:val="both"/>
        <w:rPr>
          <w:rFonts w:ascii="Times New Roman" w:hAnsi="Times New Roman" w:cs="Times New Roman"/>
          <w:color w:val="000000" w:themeColor="text1"/>
          <w:lang w:val="es-ES"/>
        </w:rPr>
      </w:pPr>
      <w:proofErr w:type="spellStart"/>
      <w:r w:rsidRPr="002C2628">
        <w:rPr>
          <w:rFonts w:ascii="Times New Roman" w:hAnsi="Times New Roman" w:cs="Times New Roman"/>
          <w:color w:val="000000" w:themeColor="text1"/>
          <w:lang w:val="es-ES"/>
        </w:rPr>
        <w:t>Simon</w:t>
      </w:r>
      <w:proofErr w:type="spellEnd"/>
      <w:r w:rsidRPr="002C2628">
        <w:rPr>
          <w:rFonts w:ascii="Times New Roman" w:hAnsi="Times New Roman" w:cs="Times New Roman"/>
          <w:color w:val="000000" w:themeColor="text1"/>
          <w:lang w:val="es-ES"/>
        </w:rPr>
        <w:t xml:space="preserve">, H. A. (1978). </w:t>
      </w:r>
      <w:proofErr w:type="spellStart"/>
      <w:r w:rsidRPr="002C2628">
        <w:rPr>
          <w:rFonts w:ascii="Times New Roman" w:hAnsi="Times New Roman" w:cs="Times New Roman"/>
          <w:color w:val="000000" w:themeColor="text1"/>
          <w:lang w:val="es-ES"/>
        </w:rPr>
        <w:t>Rationality</w:t>
      </w:r>
      <w:proofErr w:type="spellEnd"/>
      <w:r w:rsidRPr="002C2628">
        <w:rPr>
          <w:rFonts w:ascii="Times New Roman" w:hAnsi="Times New Roman" w:cs="Times New Roman"/>
          <w:color w:val="000000" w:themeColor="text1"/>
          <w:lang w:val="es-ES"/>
        </w:rPr>
        <w:t xml:space="preserve"> as Process and as </w:t>
      </w:r>
      <w:proofErr w:type="spellStart"/>
      <w:r w:rsidRPr="002C2628">
        <w:rPr>
          <w:rFonts w:ascii="Times New Roman" w:hAnsi="Times New Roman" w:cs="Times New Roman"/>
          <w:color w:val="000000" w:themeColor="text1"/>
          <w:lang w:val="es-ES"/>
        </w:rPr>
        <w:t>Product</w:t>
      </w:r>
      <w:proofErr w:type="spellEnd"/>
      <w:r w:rsidRPr="002C2628">
        <w:rPr>
          <w:rFonts w:ascii="Times New Roman" w:hAnsi="Times New Roman" w:cs="Times New Roman"/>
          <w:color w:val="000000" w:themeColor="text1"/>
          <w:lang w:val="es-ES"/>
        </w:rPr>
        <w:t xml:space="preserve"> </w:t>
      </w:r>
      <w:proofErr w:type="spellStart"/>
      <w:r w:rsidRPr="002C2628">
        <w:rPr>
          <w:rFonts w:ascii="Times New Roman" w:hAnsi="Times New Roman" w:cs="Times New Roman"/>
          <w:color w:val="000000" w:themeColor="text1"/>
          <w:lang w:val="es-ES"/>
        </w:rPr>
        <w:t>of</w:t>
      </w:r>
      <w:proofErr w:type="spellEnd"/>
      <w:r w:rsidRPr="002C2628">
        <w:rPr>
          <w:rFonts w:ascii="Times New Roman" w:hAnsi="Times New Roman" w:cs="Times New Roman"/>
          <w:color w:val="000000" w:themeColor="text1"/>
          <w:lang w:val="es-ES"/>
        </w:rPr>
        <w:t xml:space="preserve"> </w:t>
      </w:r>
      <w:proofErr w:type="spellStart"/>
      <w:r w:rsidRPr="002C2628">
        <w:rPr>
          <w:rFonts w:ascii="Times New Roman" w:hAnsi="Times New Roman" w:cs="Times New Roman"/>
          <w:color w:val="000000" w:themeColor="text1"/>
          <w:lang w:val="es-ES"/>
        </w:rPr>
        <w:t>Thought</w:t>
      </w:r>
      <w:proofErr w:type="spellEnd"/>
      <w:r w:rsidRPr="002C2628">
        <w:rPr>
          <w:rFonts w:ascii="Times New Roman" w:hAnsi="Times New Roman" w:cs="Times New Roman"/>
          <w:color w:val="000000" w:themeColor="text1"/>
          <w:lang w:val="es-ES"/>
        </w:rPr>
        <w:t xml:space="preserve">. The American </w:t>
      </w:r>
      <w:proofErr w:type="spellStart"/>
      <w:r w:rsidRPr="002C2628">
        <w:rPr>
          <w:rFonts w:ascii="Times New Roman" w:hAnsi="Times New Roman" w:cs="Times New Roman"/>
          <w:color w:val="000000" w:themeColor="text1"/>
          <w:lang w:val="es-ES"/>
        </w:rPr>
        <w:t>Economic</w:t>
      </w:r>
      <w:proofErr w:type="spellEnd"/>
      <w:r w:rsidRPr="002C2628">
        <w:rPr>
          <w:rFonts w:ascii="Times New Roman" w:hAnsi="Times New Roman" w:cs="Times New Roman"/>
          <w:color w:val="000000" w:themeColor="text1"/>
          <w:lang w:val="es-ES"/>
        </w:rPr>
        <w:t xml:space="preserve"> </w:t>
      </w:r>
      <w:proofErr w:type="spellStart"/>
      <w:r w:rsidRPr="002C2628">
        <w:rPr>
          <w:rFonts w:ascii="Times New Roman" w:hAnsi="Times New Roman" w:cs="Times New Roman"/>
          <w:color w:val="000000" w:themeColor="text1"/>
          <w:lang w:val="es-ES"/>
        </w:rPr>
        <w:t>Review</w:t>
      </w:r>
      <w:proofErr w:type="spellEnd"/>
      <w:r w:rsidRPr="002C2628">
        <w:rPr>
          <w:rFonts w:ascii="Times New Roman" w:hAnsi="Times New Roman" w:cs="Times New Roman"/>
          <w:color w:val="000000" w:themeColor="text1"/>
          <w:lang w:val="es-ES"/>
        </w:rPr>
        <w:t>, 68(2), 1-16. https://www.jstor.org/stable/1816653</w:t>
      </w:r>
    </w:p>
    <w:p w14:paraId="65BF8BAE" w14:textId="77777777" w:rsidR="00494625" w:rsidRPr="002C2628" w:rsidRDefault="00494625" w:rsidP="001A48A7">
      <w:pPr>
        <w:pStyle w:val="Prrafodelista"/>
        <w:numPr>
          <w:ilvl w:val="0"/>
          <w:numId w:val="4"/>
        </w:num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lang w:val="es-ES"/>
        </w:rPr>
        <w:t>Toribio, E. (1999). La evaluación de la estructura académica. CONEAU.</w:t>
      </w:r>
    </w:p>
    <w:p w14:paraId="005E7186" w14:textId="5A9CBDD8" w:rsidR="00494625" w:rsidRPr="002C2628" w:rsidRDefault="00494625" w:rsidP="001A48A7">
      <w:pPr>
        <w:pStyle w:val="Prrafodelista"/>
        <w:numPr>
          <w:ilvl w:val="0"/>
          <w:numId w:val="4"/>
        </w:numPr>
        <w:spacing w:line="240" w:lineRule="auto"/>
        <w:jc w:val="both"/>
        <w:rPr>
          <w:rFonts w:ascii="Times New Roman" w:hAnsi="Times New Roman" w:cs="Times New Roman"/>
          <w:color w:val="000000" w:themeColor="text1"/>
          <w:lang w:val="es-ES"/>
        </w:rPr>
      </w:pPr>
      <w:proofErr w:type="spellStart"/>
      <w:r w:rsidRPr="002C2628">
        <w:rPr>
          <w:rFonts w:ascii="Times New Roman" w:hAnsi="Times New Roman" w:cs="Times New Roman"/>
          <w:color w:val="000000" w:themeColor="text1"/>
          <w:lang w:val="es-ES"/>
        </w:rPr>
        <w:t>Vall</w:t>
      </w:r>
      <w:r w:rsidR="00F8494D">
        <w:rPr>
          <w:rFonts w:ascii="Times New Roman" w:hAnsi="Times New Roman" w:cs="Times New Roman"/>
          <w:color w:val="000000" w:themeColor="text1"/>
          <w:lang w:val="es-ES"/>
        </w:rPr>
        <w:t>a</w:t>
      </w:r>
      <w:r w:rsidRPr="002C2628">
        <w:rPr>
          <w:rFonts w:ascii="Times New Roman" w:hAnsi="Times New Roman" w:cs="Times New Roman"/>
          <w:color w:val="000000" w:themeColor="text1"/>
          <w:lang w:val="es-ES"/>
        </w:rPr>
        <w:t>eys</w:t>
      </w:r>
      <w:proofErr w:type="spellEnd"/>
      <w:r w:rsidRPr="002C2628">
        <w:rPr>
          <w:rFonts w:ascii="Times New Roman" w:hAnsi="Times New Roman" w:cs="Times New Roman"/>
          <w:color w:val="000000" w:themeColor="text1"/>
          <w:lang w:val="es-ES"/>
        </w:rPr>
        <w:t>, F. (2014). La responsabilidad social universitaria: un nuevo modelo universitario contra la mercantilización. Revista Iberoamericana de Educación Superior, 5(12), 105-117. https://www.redalyc.org/pdf/2991/299129977006.pdf</w:t>
      </w:r>
    </w:p>
    <w:p w14:paraId="4235D6F4" w14:textId="77777777" w:rsidR="00494625" w:rsidRPr="002C2628" w:rsidRDefault="00494625" w:rsidP="001A48A7">
      <w:pPr>
        <w:pStyle w:val="Prrafodelista"/>
        <w:numPr>
          <w:ilvl w:val="0"/>
          <w:numId w:val="4"/>
        </w:num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lang w:val="es-ES"/>
        </w:rPr>
        <w:t xml:space="preserve">Vázquez, A. y </w:t>
      </w:r>
      <w:proofErr w:type="spellStart"/>
      <w:r w:rsidRPr="002C2628">
        <w:rPr>
          <w:rFonts w:ascii="Times New Roman" w:hAnsi="Times New Roman" w:cs="Times New Roman"/>
          <w:color w:val="000000" w:themeColor="text1"/>
          <w:lang w:val="es-ES"/>
        </w:rPr>
        <w:t>Manassero</w:t>
      </w:r>
      <w:proofErr w:type="spellEnd"/>
      <w:r w:rsidRPr="002C2628">
        <w:rPr>
          <w:rFonts w:ascii="Times New Roman" w:hAnsi="Times New Roman" w:cs="Times New Roman"/>
          <w:color w:val="000000" w:themeColor="text1"/>
          <w:lang w:val="es-ES"/>
        </w:rPr>
        <w:t>, M. A. (2007). En defensa de las actitudes y emociones en la educación científica (I): evidencias y argumentos generales. Revista Eureka sobre Enseñanza y Divulgación de las Ciencias, 4(2), 247-271. http://www-apac-eureka.org/revista</w:t>
      </w:r>
    </w:p>
    <w:p w14:paraId="26842E1A" w14:textId="77777777" w:rsidR="00494625" w:rsidRPr="002C2628" w:rsidRDefault="00494625" w:rsidP="001A48A7">
      <w:pPr>
        <w:pStyle w:val="Prrafodelista"/>
        <w:numPr>
          <w:ilvl w:val="0"/>
          <w:numId w:val="4"/>
        </w:num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lang w:val="es-ES"/>
        </w:rPr>
        <w:lastRenderedPageBreak/>
        <w:t xml:space="preserve">Vázquez, A. y </w:t>
      </w:r>
      <w:proofErr w:type="spellStart"/>
      <w:r w:rsidRPr="002C2628">
        <w:rPr>
          <w:rFonts w:ascii="Times New Roman" w:hAnsi="Times New Roman" w:cs="Times New Roman"/>
          <w:color w:val="000000" w:themeColor="text1"/>
          <w:lang w:val="es-ES"/>
        </w:rPr>
        <w:t>Manassero</w:t>
      </w:r>
      <w:proofErr w:type="spellEnd"/>
      <w:r w:rsidRPr="002C2628">
        <w:rPr>
          <w:rFonts w:ascii="Times New Roman" w:hAnsi="Times New Roman" w:cs="Times New Roman"/>
          <w:color w:val="000000" w:themeColor="text1"/>
          <w:lang w:val="es-ES"/>
        </w:rPr>
        <w:t xml:space="preserve">, M. A. (2008). El declive de las actitudes hacia la ciencia de los estudiantes: un indicador inquietante para la educación científica. Revista Eureka sobre Enseñanza y Divulgación de las Ciencias, 5(3), 274-292. http://www-apac-eureka.org/revista </w:t>
      </w:r>
    </w:p>
    <w:p w14:paraId="37E96D0B" w14:textId="77777777" w:rsidR="00494625" w:rsidRPr="002C2628" w:rsidRDefault="00494625" w:rsidP="001A48A7">
      <w:pPr>
        <w:pStyle w:val="Prrafodelista"/>
        <w:numPr>
          <w:ilvl w:val="0"/>
          <w:numId w:val="4"/>
        </w:num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lang w:val="es-ES"/>
        </w:rPr>
        <w:t xml:space="preserve">Vázquez, A., </w:t>
      </w:r>
      <w:proofErr w:type="spellStart"/>
      <w:r w:rsidRPr="002C2628">
        <w:rPr>
          <w:rFonts w:ascii="Times New Roman" w:hAnsi="Times New Roman" w:cs="Times New Roman"/>
          <w:color w:val="000000" w:themeColor="text1"/>
          <w:lang w:val="es-ES"/>
        </w:rPr>
        <w:t>Manassero</w:t>
      </w:r>
      <w:proofErr w:type="spellEnd"/>
      <w:r w:rsidRPr="002C2628">
        <w:rPr>
          <w:rFonts w:ascii="Times New Roman" w:hAnsi="Times New Roman" w:cs="Times New Roman"/>
          <w:color w:val="000000" w:themeColor="text1"/>
          <w:lang w:val="es-ES"/>
        </w:rPr>
        <w:t>, M. A., Acevedo, J. A. y Acevedo, P. (2007). Consensos sobre la naturaleza de la Ciencia: la comunidad tecnocientífica. Revista Electrónica de Enseñanza de las Ciencias, 6(2), 331-363. https://rieoei.org/historico/deloslectores/702Vazquez.PDF</w:t>
      </w:r>
    </w:p>
    <w:p w14:paraId="1109116C" w14:textId="77777777" w:rsidR="00494625" w:rsidRPr="002C2628" w:rsidRDefault="00494625" w:rsidP="001A48A7">
      <w:pPr>
        <w:pStyle w:val="Prrafodelista"/>
        <w:numPr>
          <w:ilvl w:val="0"/>
          <w:numId w:val="4"/>
        </w:num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lang w:val="es-ES"/>
        </w:rPr>
        <w:t>Vega, R. (2010). Decisiones en la Universidad Pública. EUDEM.</w:t>
      </w:r>
    </w:p>
    <w:p w14:paraId="7E83515B" w14:textId="723BDF49" w:rsidR="001923DC" w:rsidRPr="002C2628" w:rsidRDefault="00494625" w:rsidP="001A48A7">
      <w:pPr>
        <w:pStyle w:val="Prrafodelista"/>
        <w:numPr>
          <w:ilvl w:val="0"/>
          <w:numId w:val="4"/>
        </w:numPr>
        <w:spacing w:line="240" w:lineRule="auto"/>
        <w:jc w:val="both"/>
        <w:rPr>
          <w:rFonts w:ascii="Times New Roman" w:hAnsi="Times New Roman" w:cs="Times New Roman"/>
          <w:color w:val="000000" w:themeColor="text1"/>
          <w:lang w:val="es-ES"/>
        </w:rPr>
      </w:pPr>
      <w:r w:rsidRPr="002C2628">
        <w:rPr>
          <w:rFonts w:ascii="Times New Roman" w:hAnsi="Times New Roman" w:cs="Times New Roman"/>
          <w:color w:val="000000" w:themeColor="text1"/>
          <w:lang w:val="es-ES"/>
        </w:rPr>
        <w:t>Zelzman, C., Francisco, V. y Daraio, V. (2009). El rol de la Universidad en la construcción de vocaciones científicas. Revista mexicana de orientación educativa, 6(17), 9-11. https://remo.ws/revistas/remo-17.pdf</w:t>
      </w:r>
    </w:p>
    <w:sectPr w:rsidR="001923DC" w:rsidRPr="002C2628" w:rsidSect="00701F64">
      <w:headerReference w:type="default" r:id="rId7"/>
      <w:footerReference w:type="default" r:id="rId8"/>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214F1" w14:textId="77777777" w:rsidR="00336564" w:rsidRPr="00BA642E" w:rsidRDefault="00336564" w:rsidP="00C802F5">
      <w:pPr>
        <w:spacing w:after="0" w:line="240" w:lineRule="auto"/>
      </w:pPr>
      <w:r w:rsidRPr="00BA642E">
        <w:separator/>
      </w:r>
    </w:p>
  </w:endnote>
  <w:endnote w:type="continuationSeparator" w:id="0">
    <w:p w14:paraId="7AF31FF9" w14:textId="77777777" w:rsidR="00336564" w:rsidRPr="00BA642E" w:rsidRDefault="00336564"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lang w:val="es-AR" w:eastAsia="es-AR"/>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89C8E" w14:textId="77777777" w:rsidR="00336564" w:rsidRPr="00BA642E" w:rsidRDefault="00336564" w:rsidP="00C802F5">
      <w:pPr>
        <w:spacing w:after="0" w:line="240" w:lineRule="auto"/>
      </w:pPr>
      <w:r w:rsidRPr="00BA642E">
        <w:separator/>
      </w:r>
    </w:p>
  </w:footnote>
  <w:footnote w:type="continuationSeparator" w:id="0">
    <w:p w14:paraId="5543ED00" w14:textId="77777777" w:rsidR="00336564" w:rsidRPr="00BA642E" w:rsidRDefault="00336564"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lang w:val="es-AR" w:eastAsia="es-AR"/>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87CF7"/>
    <w:multiLevelType w:val="hybridMultilevel"/>
    <w:tmpl w:val="E19EF8DC"/>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3E2B4041"/>
    <w:multiLevelType w:val="hybridMultilevel"/>
    <w:tmpl w:val="9E2C95E4"/>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4CD66378"/>
    <w:multiLevelType w:val="hybridMultilevel"/>
    <w:tmpl w:val="6CB0087C"/>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 w15:restartNumberingAfterBreak="0">
    <w:nsid w:val="534B26EB"/>
    <w:multiLevelType w:val="hybridMultilevel"/>
    <w:tmpl w:val="83CA52A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116335792">
    <w:abstractNumId w:val="3"/>
  </w:num>
  <w:num w:numId="2" w16cid:durableId="153297678">
    <w:abstractNumId w:val="0"/>
  </w:num>
  <w:num w:numId="3" w16cid:durableId="678898198">
    <w:abstractNumId w:val="1"/>
  </w:num>
  <w:num w:numId="4" w16cid:durableId="14158545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3DC"/>
    <w:rsid w:val="00020221"/>
    <w:rsid w:val="00115BDE"/>
    <w:rsid w:val="001816D6"/>
    <w:rsid w:val="00185F5E"/>
    <w:rsid w:val="00186ADF"/>
    <w:rsid w:val="001923DC"/>
    <w:rsid w:val="001A48A7"/>
    <w:rsid w:val="002327C3"/>
    <w:rsid w:val="002337CB"/>
    <w:rsid w:val="002C2628"/>
    <w:rsid w:val="00312392"/>
    <w:rsid w:val="00336564"/>
    <w:rsid w:val="00375B13"/>
    <w:rsid w:val="003820D8"/>
    <w:rsid w:val="003D48A8"/>
    <w:rsid w:val="00400269"/>
    <w:rsid w:val="004040C0"/>
    <w:rsid w:val="00437E9C"/>
    <w:rsid w:val="00446F1A"/>
    <w:rsid w:val="00494625"/>
    <w:rsid w:val="00550766"/>
    <w:rsid w:val="005F3B2E"/>
    <w:rsid w:val="006455FB"/>
    <w:rsid w:val="00694FBD"/>
    <w:rsid w:val="006A72E4"/>
    <w:rsid w:val="006B114B"/>
    <w:rsid w:val="006B4693"/>
    <w:rsid w:val="006C2F35"/>
    <w:rsid w:val="006E1FD2"/>
    <w:rsid w:val="00701F64"/>
    <w:rsid w:val="007437AD"/>
    <w:rsid w:val="00767FB0"/>
    <w:rsid w:val="007B5B5F"/>
    <w:rsid w:val="007D233B"/>
    <w:rsid w:val="008040EC"/>
    <w:rsid w:val="0085070B"/>
    <w:rsid w:val="00866FFD"/>
    <w:rsid w:val="009B7492"/>
    <w:rsid w:val="00A17247"/>
    <w:rsid w:val="00A74AC9"/>
    <w:rsid w:val="00AE6DCB"/>
    <w:rsid w:val="00B0374E"/>
    <w:rsid w:val="00BA642E"/>
    <w:rsid w:val="00BC236F"/>
    <w:rsid w:val="00BC317C"/>
    <w:rsid w:val="00C802F5"/>
    <w:rsid w:val="00C96B2C"/>
    <w:rsid w:val="00CC04C1"/>
    <w:rsid w:val="00D23BA0"/>
    <w:rsid w:val="00D6430C"/>
    <w:rsid w:val="00D81E1C"/>
    <w:rsid w:val="00D843EC"/>
    <w:rsid w:val="00DB0E44"/>
    <w:rsid w:val="00EA7872"/>
    <w:rsid w:val="00EF5909"/>
    <w:rsid w:val="00F14BF0"/>
    <w:rsid w:val="00F8494D"/>
    <w:rsid w:val="00FC05C4"/>
    <w:rsid w:val="00FE24B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Mencinsinresolver1">
    <w:name w:val="Mención sin resolver1"/>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Pages>
  <Words>6967</Words>
  <Characters>38322</Characters>
  <Application>Microsoft Office Word</Application>
  <DocSecurity>0</DocSecurity>
  <Lines>319</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FACUNDO RAGUSA</cp:lastModifiedBy>
  <cp:revision>32</cp:revision>
  <dcterms:created xsi:type="dcterms:W3CDTF">2026-03-14T03:50:00Z</dcterms:created>
  <dcterms:modified xsi:type="dcterms:W3CDTF">2026-07-12T22:47:00Z</dcterms:modified>
</cp:coreProperties>
</file>