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Índice de trayectorias educativas: implementación de un observatorio</w:t>
      </w:r>
    </w:p>
    <w:p w:rsidR="00000000" w:rsidDel="00000000" w:rsidP="00000000" w:rsidRDefault="00000000" w:rsidRPr="00000000" w14:paraId="00000003">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highlight w:val="white"/>
          <w:vertAlign w:val="superscript"/>
        </w:rPr>
      </w:pPr>
      <w:r w:rsidDel="00000000" w:rsidR="00000000" w:rsidRPr="00000000">
        <w:rPr>
          <w:rFonts w:ascii="Times New Roman" w:cs="Times New Roman" w:eastAsia="Times New Roman" w:hAnsi="Times New Roman"/>
          <w:highlight w:val="white"/>
          <w:rtl w:val="0"/>
        </w:rPr>
        <w:t xml:space="preserve">Reyes, Elsa</w:t>
      </w:r>
      <w:r w:rsidDel="00000000" w:rsidR="00000000" w:rsidRPr="00000000">
        <w:rPr>
          <w:rFonts w:ascii="Times New Roman" w:cs="Times New Roman" w:eastAsia="Times New Roman" w:hAnsi="Times New Roman"/>
          <w:highlight w:val="white"/>
          <w:vertAlign w:val="superscript"/>
          <w:rtl w:val="0"/>
        </w:rPr>
        <w:t xml:space="preserve">1 </w:t>
      </w:r>
    </w:p>
    <w:p w:rsidR="00000000" w:rsidDel="00000000" w:rsidP="00000000" w:rsidRDefault="00000000" w:rsidRPr="00000000" w14:paraId="00000005">
      <w:pPr>
        <w:spacing w:after="0" w:line="240" w:lineRule="auto"/>
        <w:jc w:val="right"/>
        <w:rPr>
          <w:rFonts w:ascii="Times New Roman" w:cs="Times New Roman" w:eastAsia="Times New Roman" w:hAnsi="Times New Roman"/>
          <w:i w:val="1"/>
          <w:iCs w:val="1"/>
          <w:highlight w:val="white"/>
        </w:rPr>
      </w:pPr>
      <w:hyperlink r:id="rId7">
        <w:r w:rsidDel="00000000" w:rsidR="00000000" w:rsidRPr="00000000">
          <w:rPr>
            <w:rFonts w:ascii="Times New Roman" w:cs="Times New Roman" w:eastAsia="Times New Roman" w:hAnsi="Times New Roman"/>
            <w:i w:val="1"/>
            <w:iCs w:val="1"/>
            <w:color w:val="1155cc"/>
            <w:highlight w:val="white"/>
            <w:u w:val="single"/>
            <w:rtl w:val="0"/>
          </w:rPr>
          <w:t xml:space="preserve">elsareyes@frba.utn.edu.ar</w:t>
        </w:r>
      </w:hyperlink>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highlight w:val="white"/>
          <w:vertAlign w:val="superscript"/>
        </w:rPr>
      </w:pPr>
      <w:r w:rsidDel="00000000" w:rsidR="00000000" w:rsidRPr="00000000">
        <w:rPr>
          <w:rFonts w:ascii="Times New Roman" w:cs="Times New Roman" w:eastAsia="Times New Roman" w:hAnsi="Times New Roman"/>
          <w:highlight w:val="white"/>
          <w:rtl w:val="0"/>
        </w:rPr>
        <w:t xml:space="preserve">Rodrigo, Carolina</w:t>
      </w:r>
      <w:r w:rsidDel="00000000" w:rsidR="00000000" w:rsidRPr="00000000">
        <w:rPr>
          <w:rFonts w:ascii="Times New Roman" w:cs="Times New Roman" w:eastAsia="Times New Roman" w:hAnsi="Times New Roman"/>
          <w:highlight w:val="white"/>
          <w:vertAlign w:val="superscript"/>
          <w:rtl w:val="0"/>
        </w:rPr>
        <w:t xml:space="preserve">1</w:t>
      </w:r>
    </w:p>
    <w:p w:rsidR="00000000" w:rsidDel="00000000" w:rsidP="00000000" w:rsidRDefault="00000000" w:rsidRPr="00000000" w14:paraId="00000007">
      <w:pPr>
        <w:spacing w:after="0" w:line="240" w:lineRule="auto"/>
        <w:jc w:val="right"/>
        <w:rPr>
          <w:rFonts w:ascii="Times New Roman" w:cs="Times New Roman" w:eastAsia="Times New Roman" w:hAnsi="Times New Roman"/>
          <w:i w:val="1"/>
          <w:iCs w:val="1"/>
          <w:highlight w:val="white"/>
        </w:rPr>
      </w:pPr>
      <w:hyperlink r:id="rId8">
        <w:r w:rsidDel="00000000" w:rsidR="00000000" w:rsidRPr="00000000">
          <w:rPr>
            <w:rFonts w:ascii="Times New Roman" w:cs="Times New Roman" w:eastAsia="Times New Roman" w:hAnsi="Times New Roman"/>
            <w:i w:val="1"/>
            <w:iCs w:val="1"/>
            <w:color w:val="1155cc"/>
            <w:highlight w:val="white"/>
            <w:u w:val="single"/>
            <w:rtl w:val="0"/>
          </w:rPr>
          <w:t xml:space="preserve">crodrigo@frba.utn.edu.ar</w:t>
        </w:r>
      </w:hyperlink>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highlight w:val="white"/>
          <w:vertAlign w:val="superscript"/>
        </w:rPr>
      </w:pPr>
      <w:r w:rsidDel="00000000" w:rsidR="00000000" w:rsidRPr="00000000">
        <w:rPr>
          <w:rFonts w:ascii="Times New Roman" w:cs="Times New Roman" w:eastAsia="Times New Roman" w:hAnsi="Times New Roman"/>
          <w:highlight w:val="white"/>
          <w:rtl w:val="0"/>
        </w:rPr>
        <w:t xml:space="preserve">Carro Dellavalle, Virginia </w:t>
      </w:r>
      <w:r w:rsidDel="00000000" w:rsidR="00000000" w:rsidRPr="00000000">
        <w:rPr>
          <w:rFonts w:ascii="Times New Roman" w:cs="Times New Roman" w:eastAsia="Times New Roman" w:hAnsi="Times New Roman"/>
          <w:highlight w:val="white"/>
          <w:rtl w:val="0"/>
        </w:rPr>
        <w:t xml:space="preserve">Myriam</w:t>
      </w:r>
      <w:r w:rsidDel="00000000" w:rsidR="00000000" w:rsidRPr="00000000">
        <w:rPr>
          <w:rFonts w:ascii="Times New Roman" w:cs="Times New Roman" w:eastAsia="Times New Roman" w:hAnsi="Times New Roman"/>
          <w:highlight w:val="white"/>
          <w:vertAlign w:val="superscript"/>
          <w:rtl w:val="0"/>
        </w:rPr>
        <w:t xml:space="preserve">1</w:t>
      </w:r>
      <w:r w:rsidDel="00000000" w:rsidR="00000000" w:rsidRPr="00000000">
        <w:rPr>
          <w:rtl w:val="0"/>
        </w:rPr>
      </w:r>
    </w:p>
    <w:p w:rsidR="00000000" w:rsidDel="00000000" w:rsidP="00000000" w:rsidRDefault="00000000" w:rsidRPr="00000000" w14:paraId="00000009">
      <w:pPr>
        <w:spacing w:after="0" w:line="240" w:lineRule="auto"/>
        <w:jc w:val="right"/>
        <w:rPr>
          <w:rFonts w:ascii="Times New Roman" w:cs="Times New Roman" w:eastAsia="Times New Roman" w:hAnsi="Times New Roman"/>
          <w:i w:val="1"/>
          <w:iCs w:val="1"/>
          <w:highlight w:val="white"/>
        </w:rPr>
      </w:pPr>
      <w:hyperlink r:id="rId9">
        <w:r w:rsidDel="00000000" w:rsidR="00000000" w:rsidRPr="00000000">
          <w:rPr>
            <w:rFonts w:ascii="Times New Roman" w:cs="Times New Roman" w:eastAsia="Times New Roman" w:hAnsi="Times New Roman"/>
            <w:i w:val="1"/>
            <w:iCs w:val="1"/>
            <w:color w:val="1155cc"/>
            <w:highlight w:val="white"/>
            <w:u w:val="single"/>
            <w:rtl w:val="0"/>
          </w:rPr>
          <w:t xml:space="preserve">vcarrodellavalle@frba.utn.edu.ar</w:t>
        </w:r>
      </w:hyperlink>
      <w:r w:rsidDel="00000000" w:rsidR="00000000" w:rsidRPr="00000000">
        <w:rPr>
          <w:rtl w:val="0"/>
        </w:rPr>
      </w:r>
    </w:p>
    <w:p w:rsidR="00000000" w:rsidDel="00000000" w:rsidP="00000000" w:rsidRDefault="00000000" w:rsidRPr="00000000" w14:paraId="0000000A">
      <w:pPr>
        <w:spacing w:after="0" w:line="240" w:lineRule="auto"/>
        <w:jc w:val="right"/>
        <w:rPr>
          <w:rFonts w:ascii="Times New Roman" w:cs="Times New Roman" w:eastAsia="Times New Roman" w:hAnsi="Times New Roman"/>
          <w:highlight w:val="white"/>
          <w:vertAlign w:val="superscript"/>
        </w:rPr>
      </w:pPr>
      <w:r w:rsidDel="00000000" w:rsidR="00000000" w:rsidRPr="00000000">
        <w:rPr>
          <w:rFonts w:ascii="Times New Roman" w:cs="Times New Roman" w:eastAsia="Times New Roman" w:hAnsi="Times New Roman"/>
          <w:highlight w:val="white"/>
          <w:rtl w:val="0"/>
        </w:rPr>
        <w:t xml:space="preserve">Krechuk, Gabriela</w:t>
      </w:r>
      <w:r w:rsidDel="00000000" w:rsidR="00000000" w:rsidRPr="00000000">
        <w:rPr>
          <w:rFonts w:ascii="Times New Roman" w:cs="Times New Roman" w:eastAsia="Times New Roman" w:hAnsi="Times New Roman"/>
          <w:highlight w:val="white"/>
          <w:vertAlign w:val="superscript"/>
          <w:rtl w:val="0"/>
        </w:rPr>
        <w:t xml:space="preserve">1</w:t>
      </w:r>
    </w:p>
    <w:p w:rsidR="00000000" w:rsidDel="00000000" w:rsidP="00000000" w:rsidRDefault="00000000" w:rsidRPr="00000000" w14:paraId="0000000B">
      <w:pPr>
        <w:spacing w:after="0" w:line="240" w:lineRule="auto"/>
        <w:jc w:val="right"/>
        <w:rPr>
          <w:rFonts w:ascii="Times New Roman" w:cs="Times New Roman" w:eastAsia="Times New Roman" w:hAnsi="Times New Roman"/>
          <w:i w:val="1"/>
          <w:iCs w:val="1"/>
          <w:highlight w:val="white"/>
        </w:rPr>
      </w:pPr>
      <w:hyperlink r:id="rId10">
        <w:r w:rsidDel="00000000" w:rsidR="00000000" w:rsidRPr="00000000">
          <w:rPr>
            <w:rFonts w:ascii="Times New Roman" w:cs="Times New Roman" w:eastAsia="Times New Roman" w:hAnsi="Times New Roman"/>
            <w:i w:val="1"/>
            <w:iCs w:val="1"/>
            <w:color w:val="1155cc"/>
            <w:highlight w:val="white"/>
            <w:u w:val="single"/>
            <w:rtl w:val="0"/>
          </w:rPr>
          <w:t xml:space="preserve">gkrechuck@frba.utn.edu.ar</w:t>
        </w:r>
      </w:hyperlink>
      <w:r w:rsidDel="00000000" w:rsidR="00000000" w:rsidRPr="00000000">
        <w:rPr>
          <w:rtl w:val="0"/>
        </w:rPr>
      </w:r>
    </w:p>
    <w:p w:rsidR="00000000" w:rsidDel="00000000" w:rsidP="00000000" w:rsidRDefault="00000000" w:rsidRPr="00000000" w14:paraId="0000000C">
      <w:pPr>
        <w:spacing w:after="0" w:line="240" w:lineRule="auto"/>
        <w:jc w:val="right"/>
        <w:rPr>
          <w:rFonts w:ascii="Times New Roman" w:cs="Times New Roman" w:eastAsia="Times New Roman" w:hAnsi="Times New Roman"/>
          <w:highlight w:val="white"/>
          <w:vertAlign w:val="superscript"/>
        </w:rPr>
      </w:pPr>
      <w:r w:rsidDel="00000000" w:rsidR="00000000" w:rsidRPr="00000000">
        <w:rPr>
          <w:rFonts w:ascii="Times New Roman" w:cs="Times New Roman" w:eastAsia="Times New Roman" w:hAnsi="Times New Roman"/>
          <w:highlight w:val="white"/>
          <w:rtl w:val="0"/>
        </w:rPr>
        <w:t xml:space="preserve">Ricciolini, Edith</w:t>
      </w:r>
      <w:r w:rsidDel="00000000" w:rsidR="00000000" w:rsidRPr="00000000">
        <w:rPr>
          <w:rFonts w:ascii="Times New Roman" w:cs="Times New Roman" w:eastAsia="Times New Roman" w:hAnsi="Times New Roman"/>
          <w:highlight w:val="white"/>
          <w:vertAlign w:val="superscript"/>
          <w:rtl w:val="0"/>
        </w:rPr>
        <w:t xml:space="preserve">1</w:t>
      </w:r>
    </w:p>
    <w:p w:rsidR="00000000" w:rsidDel="00000000" w:rsidP="00000000" w:rsidRDefault="00000000" w:rsidRPr="00000000" w14:paraId="0000000D">
      <w:pPr>
        <w:spacing w:after="0" w:line="240" w:lineRule="auto"/>
        <w:jc w:val="right"/>
        <w:rPr>
          <w:rFonts w:ascii="Times New Roman" w:cs="Times New Roman" w:eastAsia="Times New Roman" w:hAnsi="Times New Roman"/>
          <w:i w:val="1"/>
          <w:iCs w:val="1"/>
          <w:highlight w:val="white"/>
        </w:rPr>
      </w:pPr>
      <w:hyperlink r:id="rId11">
        <w:r w:rsidDel="00000000" w:rsidR="00000000" w:rsidRPr="00000000">
          <w:rPr>
            <w:rFonts w:ascii="Times New Roman" w:cs="Times New Roman" w:eastAsia="Times New Roman" w:hAnsi="Times New Roman"/>
            <w:i w:val="1"/>
            <w:iCs w:val="1"/>
            <w:color w:val="1155cc"/>
            <w:highlight w:val="white"/>
            <w:u w:val="single"/>
            <w:rtl w:val="0"/>
          </w:rPr>
          <w:t xml:space="preserve">ericciolini@frba.utn.edu.ar</w:t>
        </w:r>
      </w:hyperlink>
      <w:r w:rsidDel="00000000" w:rsidR="00000000" w:rsidRPr="00000000">
        <w:rPr>
          <w:rtl w:val="0"/>
        </w:rPr>
      </w:r>
    </w:p>
    <w:p w:rsidR="00000000" w:rsidDel="00000000" w:rsidP="00000000" w:rsidRDefault="00000000" w:rsidRPr="00000000" w14:paraId="0000000E">
      <w:pPr>
        <w:spacing w:after="0" w:line="240" w:lineRule="auto"/>
        <w:jc w:val="right"/>
        <w:rPr>
          <w:rFonts w:ascii="Times New Roman" w:cs="Times New Roman" w:eastAsia="Times New Roman" w:hAnsi="Times New Roman"/>
          <w:highlight w:val="white"/>
          <w:vertAlign w:val="superscript"/>
        </w:rPr>
      </w:pPr>
      <w:r w:rsidDel="00000000" w:rsidR="00000000" w:rsidRPr="00000000">
        <w:rPr>
          <w:rFonts w:ascii="Times New Roman" w:cs="Times New Roman" w:eastAsia="Times New Roman" w:hAnsi="Times New Roman"/>
          <w:highlight w:val="white"/>
          <w:rtl w:val="0"/>
        </w:rPr>
        <w:t xml:space="preserve">Delellis, Francisco</w:t>
      </w:r>
      <w:r w:rsidDel="00000000" w:rsidR="00000000" w:rsidRPr="00000000">
        <w:rPr>
          <w:rFonts w:ascii="Times New Roman" w:cs="Times New Roman" w:eastAsia="Times New Roman" w:hAnsi="Times New Roman"/>
          <w:highlight w:val="white"/>
          <w:vertAlign w:val="superscript"/>
          <w:rtl w:val="0"/>
        </w:rPr>
        <w:t xml:space="preserve">1</w:t>
      </w:r>
    </w:p>
    <w:p w:rsidR="00000000" w:rsidDel="00000000" w:rsidP="00000000" w:rsidRDefault="00000000" w:rsidRPr="00000000" w14:paraId="0000000F">
      <w:pPr>
        <w:spacing w:after="0" w:line="240" w:lineRule="auto"/>
        <w:jc w:val="right"/>
        <w:rPr>
          <w:rFonts w:ascii="Times New Roman" w:cs="Times New Roman" w:eastAsia="Times New Roman" w:hAnsi="Times New Roman"/>
          <w:i w:val="1"/>
          <w:iCs w:val="1"/>
          <w:highlight w:val="white"/>
        </w:rPr>
      </w:pPr>
      <w:hyperlink r:id="rId12">
        <w:r w:rsidDel="00000000" w:rsidR="00000000" w:rsidRPr="00000000">
          <w:rPr>
            <w:rFonts w:ascii="Times New Roman" w:cs="Times New Roman" w:eastAsia="Times New Roman" w:hAnsi="Times New Roman"/>
            <w:i w:val="1"/>
            <w:iCs w:val="1"/>
            <w:color w:val="1155cc"/>
            <w:highlight w:val="white"/>
            <w:u w:val="single"/>
            <w:rtl w:val="0"/>
          </w:rPr>
          <w:t xml:space="preserve">francisco.delellis@frba.utn.edu.ar</w:t>
        </w:r>
      </w:hyperlink>
      <w:r w:rsidDel="00000000" w:rsidR="00000000" w:rsidRPr="00000000">
        <w:rPr>
          <w:rtl w:val="0"/>
        </w:rPr>
      </w:r>
    </w:p>
    <w:p w:rsidR="00000000" w:rsidDel="00000000" w:rsidP="00000000" w:rsidRDefault="00000000" w:rsidRPr="00000000" w14:paraId="00000010">
      <w:pPr>
        <w:spacing w:after="0" w:line="240" w:lineRule="auto"/>
        <w:jc w:val="right"/>
        <w:rPr>
          <w:rFonts w:ascii="Times New Roman" w:cs="Times New Roman" w:eastAsia="Times New Roman" w:hAnsi="Times New Roman"/>
          <w:highlight w:val="white"/>
          <w:vertAlign w:val="superscript"/>
        </w:rPr>
      </w:pPr>
      <w:r w:rsidDel="00000000" w:rsidR="00000000" w:rsidRPr="00000000">
        <w:rPr>
          <w:rFonts w:ascii="Times New Roman" w:cs="Times New Roman" w:eastAsia="Times New Roman" w:hAnsi="Times New Roman"/>
          <w:highlight w:val="white"/>
          <w:rtl w:val="0"/>
        </w:rPr>
        <w:t xml:space="preserve">Bottini, Vanina</w:t>
      </w:r>
      <w:r w:rsidDel="00000000" w:rsidR="00000000" w:rsidRPr="00000000">
        <w:rPr>
          <w:rFonts w:ascii="Times New Roman" w:cs="Times New Roman" w:eastAsia="Times New Roman" w:hAnsi="Times New Roman"/>
          <w:highlight w:val="white"/>
          <w:vertAlign w:val="superscript"/>
          <w:rtl w:val="0"/>
        </w:rPr>
        <w:t xml:space="preserve">1</w:t>
      </w:r>
    </w:p>
    <w:p w:rsidR="00000000" w:rsidDel="00000000" w:rsidP="00000000" w:rsidRDefault="00000000" w:rsidRPr="00000000" w14:paraId="00000011">
      <w:pPr>
        <w:spacing w:after="0" w:line="240" w:lineRule="auto"/>
        <w:jc w:val="right"/>
        <w:rPr>
          <w:rFonts w:ascii="Times New Roman" w:cs="Times New Roman" w:eastAsia="Times New Roman" w:hAnsi="Times New Roman"/>
          <w:i w:val="1"/>
          <w:iCs w:val="1"/>
          <w:highlight w:val="white"/>
        </w:rPr>
      </w:pPr>
      <w:hyperlink r:id="rId13">
        <w:r w:rsidDel="00000000" w:rsidR="00000000" w:rsidRPr="00000000">
          <w:rPr>
            <w:rFonts w:ascii="Times New Roman" w:cs="Times New Roman" w:eastAsia="Times New Roman" w:hAnsi="Times New Roman"/>
            <w:i w:val="1"/>
            <w:iCs w:val="1"/>
            <w:color w:val="1155cc"/>
            <w:highlight w:val="white"/>
            <w:u w:val="single"/>
            <w:rtl w:val="0"/>
          </w:rPr>
          <w:t xml:space="preserve">vbottini@frba.utn.edu.ar</w:t>
        </w:r>
      </w:hyperlink>
      <w:r w:rsidDel="00000000" w:rsidR="00000000" w:rsidRPr="00000000">
        <w:rPr>
          <w:rtl w:val="0"/>
        </w:rPr>
      </w:r>
    </w:p>
    <w:p w:rsidR="00000000" w:rsidDel="00000000" w:rsidP="00000000" w:rsidRDefault="00000000" w:rsidRPr="00000000" w14:paraId="00000012">
      <w:pPr>
        <w:spacing w:after="0" w:line="240" w:lineRule="auto"/>
        <w:jc w:val="right"/>
        <w:rPr>
          <w:rFonts w:ascii="Times New Roman" w:cs="Times New Roman" w:eastAsia="Times New Roman" w:hAnsi="Times New Roman"/>
          <w:i w:val="1"/>
          <w:iCs w:val="1"/>
          <w:highlight w:val="white"/>
        </w:rPr>
      </w:pPr>
      <w:r w:rsidDel="00000000" w:rsidR="00000000" w:rsidRPr="00000000">
        <w:rPr>
          <w:rtl w:val="0"/>
        </w:rPr>
      </w:r>
    </w:p>
    <w:p w:rsidR="00000000" w:rsidDel="00000000" w:rsidP="00000000" w:rsidRDefault="00000000" w:rsidRPr="00000000" w14:paraId="00000013">
      <w:pPr>
        <w:spacing w:after="0" w:line="240" w:lineRule="auto"/>
        <w:jc w:val="right"/>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4">
      <w:pPr>
        <w:spacing w:after="0" w:line="240" w:lineRule="auto"/>
        <w:jc w:val="righ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vertAlign w:val="superscript"/>
          <w:rtl w:val="0"/>
        </w:rPr>
        <w:t xml:space="preserve">1</w:t>
      </w:r>
      <w:r w:rsidDel="00000000" w:rsidR="00000000" w:rsidRPr="00000000">
        <w:rPr>
          <w:rFonts w:ascii="Times New Roman" w:cs="Times New Roman" w:eastAsia="Times New Roman" w:hAnsi="Times New Roman"/>
          <w:highlight w:val="white"/>
          <w:rtl w:val="0"/>
        </w:rPr>
        <w:t xml:space="preserve">Universidad</w:t>
      </w:r>
      <w:r w:rsidDel="00000000" w:rsidR="00000000" w:rsidRPr="00000000">
        <w:rPr>
          <w:rFonts w:ascii="Times New Roman" w:cs="Times New Roman" w:eastAsia="Times New Roman" w:hAnsi="Times New Roman"/>
          <w:highlight w:val="white"/>
          <w:rtl w:val="0"/>
        </w:rPr>
        <w:t xml:space="preserve"> Tecnológica Nacional Regional Buenos Aires</w:t>
      </w:r>
    </w:p>
    <w:p w:rsidR="00000000" w:rsidDel="00000000" w:rsidP="00000000" w:rsidRDefault="00000000" w:rsidRPr="00000000" w14:paraId="00000015">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En los últimos años, la expansión del tipo de acceso y recorrido de estudiantes en instancias de formación en educación superior ha planteado nuevos desafíos y alternancias de escenarios de implementación de propuestas educativas para las instituciones universitarias. En este contexto, la disponibilidad de información organizada, sistemática y confiable se vuelve un elemento central para la búsqueda de toma de decisiones institucionales basadas en evidencia. Particularmente en relación con el seguimiento de las trayectorias académicas de estudiantes y el diseño de políticas orientadas a la permanencia, el desempeño, competencias y graduación. Dichas trayectorias a su vez, se caracterizan por su diversidad, complejidad y desgranamiento entre otras cuestiones, por lo que requieren herramientas de análisis que favorezcan la comprensión de procesos en tensión concomitante con ingreso, permanencia, avances, interrupción y egreso. La Universidad Tecnológica Nacional Facultad Regional Buenos Aires (UTN.BA) se destaca como una institución de educación superior comprometida con la integración e implementación de procesos vinculados con la calidad en la enseñanza y el aprendizaje. En línea con esa misión, la Secretaría Académica formaliza la creación y desarrollo de un Observatorio Integral de Trayectorias Educativas, denominado </w:t>
      </w:r>
      <w:r w:rsidDel="00000000" w:rsidR="00000000" w:rsidRPr="00000000">
        <w:rPr>
          <w:rFonts w:ascii="Times New Roman" w:cs="Times New Roman" w:eastAsia="Times New Roman" w:hAnsi="Times New Roman"/>
          <w:i w:val="1"/>
          <w:iCs w:val="1"/>
          <w:rtl w:val="0"/>
        </w:rPr>
        <w:t xml:space="preserve">Vector Académico</w:t>
      </w:r>
      <w:r w:rsidDel="00000000" w:rsidR="00000000" w:rsidRPr="00000000">
        <w:rPr>
          <w:rFonts w:ascii="Times New Roman" w:cs="Times New Roman" w:eastAsia="Times New Roman" w:hAnsi="Times New Roman"/>
          <w:rtl w:val="0"/>
        </w:rPr>
        <w:t xml:space="preserve"> concebido como un espacio institucional cuyo objetivo es orientar a la producción, sistematización y análisis de información con fines estratégicos y coligados a las trayectorias de sus estudiantes. Este trabajo presenta la experiencia de diseño e implementación de un observatorio que</w:t>
      </w:r>
      <w:r w:rsidDel="00000000" w:rsidR="00000000" w:rsidRPr="00000000">
        <w:rPr>
          <w:rFonts w:ascii="Times New Roman" w:cs="Times New Roman" w:eastAsia="Times New Roman" w:hAnsi="Times New Roman"/>
          <w:rtl w:val="0"/>
        </w:rPr>
        <w:t xml:space="preserve"> tiene como actividades centrales generar conocimiento, propiciar instancias de investigación aplicada y promover la elaboración de producciones sistematizadas sobre el seguimiento de las trayectorias educativas a partir del análisis de datos provenientes de distintas fuentes institucionales. Desde la mirada metodológica, el desarrollo del observatorio en una primera parte se sustenta en presentar un índice de indicadores sobre trayectorias educativas conformado por dimensiones de análisis vinculados con un enfoque integral de planeamiento institucional. Además, se diseñó una matriz de indicadores como parte del índice en conformación con enfoques de análisis orientadas al insumo, proceso, producto y resultado. </w:t>
      </w:r>
      <w:r w:rsidDel="00000000" w:rsidR="00000000" w:rsidRPr="00000000">
        <w:rPr>
          <w:rFonts w:ascii="Times New Roman" w:cs="Times New Roman" w:eastAsia="Times New Roman" w:hAnsi="Times New Roman"/>
          <w:rtl w:val="0"/>
        </w:rPr>
        <w:t xml:space="preserve">En este trabajo se presentarán inicialmente lineamientos institucionales que orientan la creación del observatorio, las etapas previstas para su implementación y los avances preliminares sobre elementos centrales en la construcción y validación de algunos indicadores. En particular, el Observatorio Integral de Trayectorias Educativas de la UTN.BA se configura como un instrumento clave para articular la producción de conocimiento sobre las trayectorias estudiantiles con la toma de decisiones institucionales, promoviendo una gestión universitaria basada en evidencia y orientada al acompañamiento efectivo de los recorridos formativos de sus estudiantes.</w:t>
      </w:r>
    </w:p>
    <w:p w:rsidR="00000000" w:rsidDel="00000000" w:rsidP="00000000" w:rsidRDefault="00000000" w:rsidRPr="00000000" w14:paraId="0000001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Educación Superior, Seguimiento de Trayectorias Educativas, Observatorio. </w:t>
      </w: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últimas décadas han producido profundas transformaciones en la educación superior tanto a nivel global como en el contexto latinoamericano y argentino. La ampliación del acceso a la universidad, impulsada por políticas de inclusión, gratuidad y diversificación de la oferta institucional, ha generado una matrícula estudiantil más heterogénea en términos de procedencias socioculturales, trayectorias previas y expectativas formativas (García de Fanelli, 2014; Chiroleu, 2012). Este fenómeno, interpela a las instituciones universitarias en su capacidad de acompañar recorridos educativos que ya no responden a un modelo lineal, homogéneo ni predecible.</w:t>
      </w:r>
    </w:p>
    <w:p w:rsidR="00000000" w:rsidDel="00000000" w:rsidP="00000000" w:rsidRDefault="00000000" w:rsidRPr="00000000" w14:paraId="0000001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conocer cómo transitan los estudiantes la educación superior —cómo ingresan, qué obstáculos enfrentan, por qué interrumpen o continúan, y bajo qué condiciones logran graduarse— se ha convertido en un eje central de la agenda de la gestión universitaria actual. Las trayectorias académicas, en su diversidad y complejidad, constituyen tanto un objeto de análisis como un insumo estratégico para la toma de decisiones institucionales (Terigi, 2009). Contar con información organizada, sistemática y confiable resulta necesario para comprender estos procesos y avanzar hacia una gestión universitaria fundada en evidencia, dejando a un lado las percepciones intuitivas. </w:t>
      </w:r>
    </w:p>
    <w:p w:rsidR="00000000" w:rsidDel="00000000" w:rsidP="00000000" w:rsidRDefault="00000000" w:rsidRPr="00000000" w14:paraId="0000001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la disponibilidad de datos no es suficiente por sí sola. Un estudio comparado del IIPE UNESCO sobre ocho países de América Latina —entre ellos Argentina—evidenció que la sola disponibilidad de sistemas de información educativa no asegura su utilización efectiva en los procesos de planificación y gestión de políticas. Aún existen diferencias importantes entre la información que estos sistemas generan y su incorporación en la toma de decisiones institucionales concretas (Montes, 2022).</w:t>
      </w:r>
    </w:p>
    <w:p w:rsidR="00000000" w:rsidDel="00000000" w:rsidP="00000000" w:rsidRDefault="00000000" w:rsidRPr="00000000" w14:paraId="0000001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 verdaderamente transformador, entonces, radica en la capacidad institucional de producir conocimiento a partir de esos datos, de articular fuentes diversas, de construir indicadores pertinentes y de generar interpretaciones que orienten políticas concretas de acompañamiento estudiantil. En este sentido, "resulta importante analizar y crear procesos de gestión de datos que sean en su elaboración y ejecución realizados con objetivos claros y pertinentes enfocados a una toma de decisiones concreta" (Reyes et al., 2025, p. 3).</w:t>
      </w:r>
    </w:p>
    <w:p w:rsidR="00000000" w:rsidDel="00000000" w:rsidP="00000000" w:rsidRDefault="00000000" w:rsidRPr="00000000" w14:paraId="0000001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en esta intersección entre la complejidad de las trayectorias estudiantiles y la necesidad de respuestas institucionales es donde cobra relevancia la experiencia que se presenta en este trabajo. La Universidad Tecnológica Nacional Facultad Regional Buenos Aires (UTN.BA), institución con una larga trayectoria en la formación de profesionales del área tecnológica, y con un firme compromiso con la calidad educativa, ha formalizado desde la Secretaría Académica la creación del Observatorio Integral de Trayectorias Educativas denominado Vector Académico. Este espacio institucional tiene como propósito central la producción, sistematización y análisis de información sobre las trayectorias de sus estudiantes, con el objetivo de orientar la planificación académica y el diseño de políticas de ingreso, permanencia, desempeño y graduación.</w:t>
      </w:r>
    </w:p>
    <w:p w:rsidR="00000000" w:rsidDel="00000000" w:rsidP="00000000" w:rsidRDefault="00000000" w:rsidRPr="00000000" w14:paraId="0000002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busca dar cuenta de los fundamentos que sostienen la creación de dicho observatorio, así como presentar los avances preliminares en la construcción y validación de un índice de indicadores sobre trayectorias educativas. El artículo presenta el marco conceptual que fundamenta el observatorio, describe su diseño e implementación institucional y expone los avances alcanzados en la construcción y validación de un índice de indicadores para el seguimiento de las trayectorias educativas.</w:t>
      </w:r>
    </w:p>
    <w:p w:rsidR="00000000" w:rsidDel="00000000" w:rsidP="00000000" w:rsidRDefault="00000000" w:rsidRPr="00000000" w14:paraId="00000021">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MARCO TEÓRICO</w:t>
      </w:r>
    </w:p>
    <w:p w:rsidR="00000000" w:rsidDel="00000000" w:rsidP="00000000" w:rsidRDefault="00000000" w:rsidRPr="00000000" w14:paraId="000000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concepto de trayectoria educativa ha adquirido una creciente centralidad en los estudios sobre educación superior durante las últimas décadas. Frente a las concepciones tradicionales que concebían el recorrido estudiantil como un proceso lineal y predecible —ingreso, cursado regular, egreso en tiempo y forma—, la literatura especializada ha puesto en evidencia la distancia que existe entre las denominadas </w:t>
      </w:r>
      <w:r w:rsidDel="00000000" w:rsidR="00000000" w:rsidRPr="00000000">
        <w:rPr>
          <w:rFonts w:ascii="Times New Roman" w:cs="Times New Roman" w:eastAsia="Times New Roman" w:hAnsi="Times New Roman"/>
          <w:i w:val="1"/>
          <w:iCs w:val="1"/>
          <w:rtl w:val="0"/>
        </w:rPr>
        <w:t xml:space="preserve">trayectorias teóricas</w:t>
      </w:r>
      <w:r w:rsidDel="00000000" w:rsidR="00000000" w:rsidRPr="00000000">
        <w:rPr>
          <w:rFonts w:ascii="Times New Roman" w:cs="Times New Roman" w:eastAsia="Times New Roman" w:hAnsi="Times New Roman"/>
          <w:rtl w:val="0"/>
        </w:rPr>
        <w:t xml:space="preserve"> y las </w:t>
      </w:r>
      <w:r w:rsidDel="00000000" w:rsidR="00000000" w:rsidRPr="00000000">
        <w:rPr>
          <w:rFonts w:ascii="Times New Roman" w:cs="Times New Roman" w:eastAsia="Times New Roman" w:hAnsi="Times New Roman"/>
          <w:i w:val="1"/>
          <w:iCs w:val="1"/>
          <w:rtl w:val="0"/>
        </w:rPr>
        <w:t xml:space="preserve">trayectorias reales</w:t>
      </w:r>
      <w:r w:rsidDel="00000000" w:rsidR="00000000" w:rsidRPr="00000000">
        <w:rPr>
          <w:rFonts w:ascii="Times New Roman" w:cs="Times New Roman" w:eastAsia="Times New Roman" w:hAnsi="Times New Roman"/>
          <w:rtl w:val="0"/>
        </w:rPr>
        <w:t xml:space="preserve"> de los estudiantes (Terigi, 2009). Las primeras expresan los recorridos lineales previstos por el propio diseño del sistema educativo y las segundas reflejan las formas en que los estudiantes efectivamente transitan y experimentan  sus recorridos por  las instituciones educativas. </w:t>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distinción conceptual implica reconocer que la experiencia universitaria está atravesada por múltiples factores —sociales, económicos, familiares, institucionales y subjetivos— que inciden de manera diferencial en las posibilidades de cada estudiante de mantenerse, avanzar y concluir sus estudios. </w:t>
      </w:r>
    </w:p>
    <w:p w:rsidR="00000000" w:rsidDel="00000000" w:rsidP="00000000" w:rsidRDefault="00000000" w:rsidRPr="00000000" w14:paraId="0000002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Argentina, esta problemática adquiere características especialmente relevantes. La masificación en el acceso a la educación superior, en particular en las universidades públicas, tiene su correlato con elevados índices de abandono, mayormente en los primeros años, trayectorias académicas más extensas de lo previsto, reinscripciones discontinuas y trayectos formativos alternantes entre cursadas e interrupciones temporales (García de Fanelli, 2014; Marquina y Soprano, 2009). El fenómeno del desgranamiento —entendido como la pérdida progresiva de estudiantes a lo largo de la trayectoria— se convierte así en una preocupación central tanto desde el punto de vista de la equidad como de la eficiencia institucional.</w:t>
      </w:r>
    </w:p>
    <w:p w:rsidR="00000000" w:rsidDel="00000000" w:rsidP="00000000" w:rsidRDefault="00000000" w:rsidRPr="00000000" w14:paraId="0000002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una perspectiva más integral, Nicastro y Greco (2012) plantean que las trayectorias dejan de entenderse como recorridos individuales e independientes para ser concebidas como procesos que se configuran a partir de la interacción entre los sujetos y las instituciones, enmarcados en condiciones históricas, sociales y culturales determinadas. Este enfoque relacional e institucional, ofrece un marco particularmente valioso para la labor de los observatorios educativos, ya que orienta el análisis desde las características individuales hacia la comprensión de los procesos institucionales que podrían favorecer o limitar el desarrollo de las trayectorias estudiantiles.</w:t>
      </w:r>
    </w:p>
    <w:p w:rsidR="00000000" w:rsidDel="00000000" w:rsidP="00000000" w:rsidRDefault="00000000" w:rsidRPr="00000000" w14:paraId="0000002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recientemente, el concepto de </w:t>
      </w:r>
      <w:r w:rsidDel="00000000" w:rsidR="00000000" w:rsidRPr="00000000">
        <w:rPr>
          <w:rFonts w:ascii="Times New Roman" w:cs="Times New Roman" w:eastAsia="Times New Roman" w:hAnsi="Times New Roman"/>
          <w:i w:val="1"/>
          <w:iCs w:val="1"/>
          <w:rtl w:val="0"/>
        </w:rPr>
        <w:t xml:space="preserve">trayectorias diversas</w:t>
      </w:r>
      <w:r w:rsidDel="00000000" w:rsidR="00000000" w:rsidRPr="00000000">
        <w:rPr>
          <w:rFonts w:ascii="Times New Roman" w:cs="Times New Roman" w:eastAsia="Times New Roman" w:hAnsi="Times New Roman"/>
          <w:rtl w:val="0"/>
        </w:rPr>
        <w:t xml:space="preserve"> se afianza como una categoría analítica que posibilita una interpretación más integral y equitativa de los recorridos estudiantiles (Terigi, 2010). En lugar de atribuir a déficits individuales las dificultades de quienes no avanzan conforme a los tiempos previstos, esta perspectiva invita a analizar las condiciones institucionales y pedagógicas que dan lugar a dichas discontinuidades. </w:t>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observatorios educativos han surgido como dispositivos institucionales orientados a la generación de conocimiento sobre la realidad educativa, definidos como unidades de análisis para la recopilación y difusión sistemática de datos vinculados al fenómeno educativo. Su propósito se orienta a la toma de decisiones y el fortalecimiento de los procesos de planificación y evaluación institucional (</w:t>
      </w:r>
      <w:r w:rsidDel="00000000" w:rsidR="00000000" w:rsidRPr="00000000">
        <w:rPr>
          <w:rFonts w:ascii="Times New Roman" w:cs="Times New Roman" w:eastAsia="Times New Roman" w:hAnsi="Times New Roman"/>
          <w:rtl w:val="0"/>
        </w:rPr>
        <w:t xml:space="preserve">Angulo</w:t>
      </w:r>
      <w:r w:rsidDel="00000000" w:rsidR="00000000" w:rsidRPr="00000000">
        <w:rPr>
          <w:rFonts w:ascii="Times New Roman" w:cs="Times New Roman" w:eastAsia="Times New Roman" w:hAnsi="Times New Roman"/>
          <w:rtl w:val="0"/>
        </w:rPr>
        <w:t xml:space="preserve">, 2009; Ramos Torres, 2016).</w:t>
      </w:r>
    </w:p>
    <w:p w:rsidR="00000000" w:rsidDel="00000000" w:rsidP="00000000" w:rsidRDefault="00000000" w:rsidRPr="00000000" w14:paraId="0000002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diferencia de los sistemas estadísticos tradicionales, los observatorios no se limitan a la acumulación de datos sino que apuntan a la producción de conocimiento contextualizado y orientado a la acción. Su valor radica, precisamente, en la capacidad de articular información proveniente de fuentes diversas, de establecer series históricas comparables y de generar análisis que destaquen tendencias, patrones y problemáticas emergentes (</w:t>
      </w:r>
      <w:r w:rsidDel="00000000" w:rsidR="00000000" w:rsidRPr="00000000">
        <w:rPr>
          <w:rFonts w:ascii="Times New Roman" w:cs="Times New Roman" w:eastAsia="Times New Roman" w:hAnsi="Times New Roman"/>
          <w:highlight w:val="white"/>
          <w:rtl w:val="0"/>
        </w:rPr>
        <w:t xml:space="preserve">Ramos Torres, 2016)</w:t>
      </w:r>
      <w:r w:rsidDel="00000000" w:rsidR="00000000" w:rsidRPr="00000000">
        <w:rPr>
          <w:rFonts w:ascii="Times New Roman" w:cs="Times New Roman" w:eastAsia="Times New Roman" w:hAnsi="Times New Roman"/>
          <w:rtl w:val="0"/>
        </w:rPr>
        <w:t xml:space="preserve">. En este sentido, los observatorios se posicionan entre la investigación aplicada y la gestión institucional, constituyéndose como ámbitos de articulación entre el saber académico </w:t>
      </w:r>
      <w:r w:rsidDel="00000000" w:rsidR="00000000" w:rsidRPr="00000000">
        <w:rPr>
          <w:rFonts w:ascii="Times New Roman" w:cs="Times New Roman" w:eastAsia="Times New Roman" w:hAnsi="Times New Roman"/>
          <w:rtl w:val="0"/>
        </w:rPr>
        <w:t xml:space="preserve">y</w:t>
      </w:r>
      <w:r w:rsidDel="00000000" w:rsidR="00000000" w:rsidRPr="00000000">
        <w:rPr>
          <w:rFonts w:ascii="Times New Roman" w:cs="Times New Roman" w:eastAsia="Times New Roman" w:hAnsi="Times New Roman"/>
          <w:rtl w:val="0"/>
        </w:rPr>
        <w:t xml:space="preserve"> la toma de decisiones políticas. </w:t>
      </w:r>
    </w:p>
    <w:p w:rsidR="00000000" w:rsidDel="00000000" w:rsidP="00000000" w:rsidRDefault="00000000" w:rsidRPr="00000000" w14:paraId="0000002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marco de la UTN.BA, la creación del Observatorio Integral de Trayectorias Educativas Vector Académico responde a una lógica institucional, que busca configurar un espacio de producción de conocimiento aplicado, articulado con la Secretaría Académica y orientado a las necesidades de gestión de la facultad, que lo distingue de los sistemas de información convencionales.  Su carácter integral refiere a su aproximación a las trayectorias estudiantiles no como eventos aislados, sino como procesos interconectados que deben ser leídos en su conjunto y en su contexto institucional específico.</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puesta en funcionamiento de un observatorio exige la articulación de distintos actores institucionales y el desarrollo de capacidades organizacionales para producir y utilizar información que contribuya a la gestión y a la mejora institucional. La coordinación entre actores y la construcción de capacidades constituyen condiciones relevantes para el fortalecimiento de los procesos de gobernanza (Rivas, 2015). </w:t>
      </w:r>
    </w:p>
    <w:p w:rsidR="00000000" w:rsidDel="00000000" w:rsidP="00000000" w:rsidRDefault="00000000" w:rsidRPr="00000000" w14:paraId="0000002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constitución de indicadores educativos representa una tarea relevante y, a la vez, de mayor complejidad para la gestión universitaria en la actualidad. En términos generales, un indicador puede entenderse como una medida de </w:t>
      </w:r>
      <w:r w:rsidDel="00000000" w:rsidR="00000000" w:rsidRPr="00000000">
        <w:rPr>
          <w:rFonts w:ascii="Times New Roman" w:cs="Times New Roman" w:eastAsia="Times New Roman" w:hAnsi="Times New Roman"/>
          <w:rtl w:val="0"/>
        </w:rPr>
        <w:t xml:space="preserve">caracter</w:t>
      </w:r>
      <w:r w:rsidDel="00000000" w:rsidR="00000000" w:rsidRPr="00000000">
        <w:rPr>
          <w:rFonts w:ascii="Times New Roman" w:cs="Times New Roman" w:eastAsia="Times New Roman" w:hAnsi="Times New Roman"/>
          <w:rtl w:val="0"/>
        </w:rPr>
        <w:t xml:space="preserve"> analítico que sintetiza información significativa acerca de determinado fenómeno o proceso, permitiendo describir su comportamiento, realiza el seguimiento de sus transformaciones a lo largo del tiempo, valorar su estado en un contexto específico y establecer comparaciones con parámetros o criterios previamente definidos (Tiana Ferrer, 1997; OCDE, 2013; Morduchowicz, 2018). En el campo educativo, los indicadores adquieren cierta complejidad, dada la multidimensionalidad de los procesos que abordan, muchas veces difícilmente de reducir a cifras simples.</w:t>
      </w:r>
    </w:p>
    <w:p w:rsidR="00000000" w:rsidDel="00000000" w:rsidP="00000000" w:rsidRDefault="00000000" w:rsidRPr="00000000" w14:paraId="000000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tanto la distinción de diferentes tipos de indicadores, según su naturaleza y función,  una clasificación ampliamente utilizada es la que diferencia entre indicadores de insumo, proceso, producto y resultado (CONEAU 2012; Montes, 2022). Los insumos refieren a los recursos disponibles -humanos, materiales, financieros- que condicionan el funcionamiento de un sistema. Los de proceso orientan al análisis de las prácticas y la configuración en cuanto al desarrollo de las actividades académicas. Los de producto, reflejan resultados a corto plazo -tasa de aprobación, avance curricular, egreso-. Y los de resultado valoran los efectos de la formación universitaria en un horizonte temporal más amplio -inserción profesional o el impacto en el entorno.</w:t>
      </w:r>
    </w:p>
    <w:p w:rsidR="00000000" w:rsidDel="00000000" w:rsidP="00000000" w:rsidRDefault="00000000" w:rsidRPr="00000000" w14:paraId="0000002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diferenciación entre estas categorías trasciende la mera descripción, ya que posee consecuencias relevantes para la planificación de los sistemas de información y para la definición de estrategias institucionales. Si nos limitamos solo a indicadores de producto, como por ejemplo tasas de graduación, se identificarán determinados resultados, pero se reduciría la posibilidad de comprender los factores y procesos que les dan origen. En este sentido articular la incorporación de los indicadores mencionados precedentemente en un esquema analítico integral </w:t>
      </w:r>
      <w:r w:rsidDel="00000000" w:rsidR="00000000" w:rsidRPr="00000000">
        <w:rPr>
          <w:rFonts w:ascii="Times New Roman" w:cs="Times New Roman" w:eastAsia="Times New Roman" w:hAnsi="Times New Roman"/>
          <w:rtl w:val="0"/>
        </w:rPr>
        <w:t xml:space="preserve">favorecería</w:t>
      </w:r>
      <w:r w:rsidDel="00000000" w:rsidR="00000000" w:rsidRPr="00000000">
        <w:rPr>
          <w:rFonts w:ascii="Times New Roman" w:cs="Times New Roman" w:eastAsia="Times New Roman" w:hAnsi="Times New Roman"/>
          <w:rtl w:val="0"/>
        </w:rPr>
        <w:t xml:space="preserve"> una comprensión más amplia del desempeño institucional, fortaleciendo no solo la capacidad de diagnóstico, sino que también la identificación de aquellos factores críticos que inciden en las trayectorias estudiantiles, aportando evidencia para el diseño de intervenciones oportunas, contextualizadas y orientadas a la mejora desde la gestión universitaria.</w:t>
      </w:r>
    </w:p>
    <w:p w:rsidR="00000000" w:rsidDel="00000000" w:rsidP="00000000" w:rsidRDefault="00000000" w:rsidRPr="00000000" w14:paraId="0000002E">
      <w:pPr>
        <w:spacing w:after="0" w:line="240" w:lineRule="auto"/>
        <w:jc w:val="both"/>
        <w:rPr>
          <w:sz w:val="22"/>
          <w:szCs w:val="22"/>
        </w:rPr>
      </w:pPr>
      <w:r w:rsidDel="00000000" w:rsidR="00000000" w:rsidRPr="00000000">
        <w:rPr>
          <w:rFonts w:ascii="Times New Roman" w:cs="Times New Roman" w:eastAsia="Times New Roman" w:hAnsi="Times New Roman"/>
          <w:rtl w:val="0"/>
        </w:rPr>
        <w:t xml:space="preserve">Definir indicadores válidos y confiables presenta como desafío el requerimiento de  una definición clara y consensuada en cuanto a los conceptos que se pretende medir, a fin de evitar hacerlo con aquello fácilmente cuantificable por sobre lo que realmente es relevante (Tiana Ferrer, 1997). Otro desafío da cuenta de la necesidad de articulación de diversas fuentes de datos, como también definir criterios de validación que garanticen que los indicadores midan efectivamente aquello para lo cual se los determinó, con resultados comparables a lo largo del tiempo y entre unidades de análisis.</w:t>
      </w: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 UTN.BA, la construcción del índice de indicadores de trayectorias educativas —organizado en dimensiones articuladas con un enfoque integral de planeamiento institucional— representa un avance significativo en dirección a la consolidación de un sistema de información robusto y orientado a la toma de decisiones. La opción metodológica de organizar los indicadores en torno a las dimensiones de insumo, proceso, producto y resultado no es azarosa: refleja la voluntad de contar con un instrumento que permita comprender las trayectorias en su integralidad, identificando tanto los recursos con que cuentan los estudiantes como los procesos institucionales que median entre esos recursos y los resultados observados.</w:t>
      </w:r>
    </w:p>
    <w:p w:rsidR="00000000" w:rsidDel="00000000" w:rsidP="00000000" w:rsidRDefault="00000000" w:rsidRPr="00000000" w14:paraId="0000003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perspectiva de la gestión universitaria basada en evidencia, en tanto práctica que fundamente las decisiones de política institucional en datos sistemáticos, análisis rigurosos e interpretaciones contextualizadas, constituye el horizonte normativo que orienta el conjunto de la propuesta de Vector Académico. Lejos de reducir la gestión universitaria a una lógica tecnocrática, esta perspectiva reconoce que la evidencia es siempre sobre algo, producida desde algún lugar y orientada hacia algún fin; por ello, su producción debe estar acompañada de reflexión crítica, debate colectivo y compromiso con la mejora de las condiciones de aprendizaje y permanencia de cada estudiante (Reyes et al., 2025).</w:t>
      </w:r>
    </w:p>
    <w:p w:rsidR="00000000" w:rsidDel="00000000" w:rsidP="00000000" w:rsidRDefault="00000000" w:rsidRPr="00000000" w14:paraId="0000003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OBSERVATORIO INTEGRAL DE TRAYECTORIAS EDUCATIVAS: MARCO INSTITUCIONAL Y MARCO DE IMPLEMENTACIÓN</w:t>
      </w:r>
    </w:p>
    <w:p w:rsidR="00000000" w:rsidDel="00000000" w:rsidP="00000000" w:rsidRDefault="00000000" w:rsidRPr="00000000" w14:paraId="0000003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Justificación de su creación e incorporación en el Programa de Trayectorias </w:t>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democratización del acceso a la educación superior en América Latina ha reconfigurado la composición de la población estudiantil. Los trayectos formativos ya no responden a modelos lineales ni a los tiempos teóricos previstos en los planes de estudio, sino que se caracterizan por recorridos heterogéneos y multicausales,  condicionados por variables pedagógicas, institucionales, territoriales y socioeconómicas. Terigi (2009) conceptualiza esto al distinguir las “trayectorias teóricas”, lineales y estandarizadas, de las “trayectorias reales”, caracterizadas por discontinuidades  y  la alternancia de ritmos.</w:t>
      </w:r>
    </w:p>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Ante esta complejidad, las universidades precisan herramientas que superen el registro administrativo aislado. La creación del Observatorio Integral de Trayectorias Educativas denominado </w:t>
      </w:r>
      <w:r w:rsidDel="00000000" w:rsidR="00000000" w:rsidRPr="00000000">
        <w:rPr>
          <w:rFonts w:ascii="Times New Roman" w:cs="Times New Roman" w:eastAsia="Times New Roman" w:hAnsi="Times New Roman"/>
          <w:b w:val="1"/>
          <w:bCs w:val="1"/>
          <w:rtl w:val="0"/>
        </w:rPr>
        <w:t xml:space="preserve">Vector Académico</w:t>
      </w:r>
      <w:r w:rsidDel="00000000" w:rsidR="00000000" w:rsidRPr="00000000">
        <w:rPr>
          <w:rFonts w:ascii="Times New Roman" w:cs="Times New Roman" w:eastAsia="Times New Roman" w:hAnsi="Times New Roman"/>
          <w:rtl w:val="0"/>
        </w:rPr>
        <w:t xml:space="preserve"> surge para centralizar y traducir datos dispersos ( SIU-Guaraní, encuestas) en conocimiento estratégico institucional. Su incorporación al programa de trayectorias dota a la gestión de un núcleo analítico que transforma el dato en evidencia orientada a la acción. Superando el mero informe retrospectivo, el dispositivo identifica tramos críticos u optimiza las políticas de inclusión, acompañamiento pedagógico y graduación efectiva (Carli, 2012).</w:t>
      </w:r>
    </w:p>
    <w:p w:rsidR="00000000" w:rsidDel="00000000" w:rsidP="00000000" w:rsidRDefault="00000000" w:rsidRPr="00000000" w14:paraId="00000036">
      <w:pPr>
        <w:spacing w:after="240" w:before="24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rtl w:val="0"/>
        </w:rPr>
        <w:t xml:space="preserve">Funciones principales</w:t>
      </w:r>
      <w:r w:rsidDel="00000000" w:rsidR="00000000" w:rsidRPr="00000000">
        <w:rPr>
          <w:rtl w:val="0"/>
        </w:rPr>
      </w:r>
    </w:p>
    <w:p w:rsidR="00000000" w:rsidDel="00000000" w:rsidP="00000000" w:rsidRDefault="00000000" w:rsidRPr="00000000" w14:paraId="0000003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Observatorio delimita sus intervenciones a través de cinco funciones operativas:</w:t>
      </w:r>
    </w:p>
    <w:p w:rsidR="00000000" w:rsidDel="00000000" w:rsidP="00000000" w:rsidRDefault="00000000" w:rsidRPr="00000000" w14:paraId="00000038">
      <w:pPr>
        <w:numPr>
          <w:ilvl w:val="0"/>
          <w:numId w:val="1"/>
        </w:numPr>
        <w:spacing w:after="0" w:afterAutospacing="0" w:before="24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Sistematización y Monitoreo. </w:t>
      </w:r>
      <w:r w:rsidDel="00000000" w:rsidR="00000000" w:rsidRPr="00000000">
        <w:rPr>
          <w:rFonts w:ascii="Times New Roman" w:cs="Times New Roman" w:eastAsia="Times New Roman" w:hAnsi="Times New Roman"/>
          <w:rtl w:val="0"/>
        </w:rPr>
        <w:t xml:space="preserve">Desarrollar y actualizar permanentemente un sistema integrado de indicadores educativos que abarque el acceso, el ingreso, la retención, el avance académico, el rezago pedagógico, el abandono y la graduación. Esto implica realizar seguimientos por cohorte para analizar los ritmos de avance reales y las interrupciones en el recorrido estudiantil.</w:t>
      </w:r>
    </w:p>
    <w:p w:rsidR="00000000" w:rsidDel="00000000" w:rsidP="00000000" w:rsidRDefault="00000000" w:rsidRPr="00000000" w14:paraId="00000039">
      <w:pPr>
        <w:numPr>
          <w:ilvl w:val="0"/>
          <w:numId w:val="1"/>
        </w:numPr>
        <w:spacing w:after="0" w:afterAutospacing="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Análisis Territorial y Sociodemográfico. </w:t>
      </w:r>
      <w:r w:rsidDel="00000000" w:rsidR="00000000" w:rsidRPr="00000000">
        <w:rPr>
          <w:rFonts w:ascii="Times New Roman" w:cs="Times New Roman" w:eastAsia="Times New Roman" w:hAnsi="Times New Roman"/>
          <w:rtl w:val="0"/>
        </w:rPr>
        <w:t xml:space="preserve">Relevar y caracterizar los perfiles estudiantiles atendiendo a variables de género, edad, procedencia educativa de nivel medio, nivel formativo del núcleo familiar y radicación geográfica, permitiendo comprender el impacto del entorno en el desempeño académico.</w:t>
      </w:r>
    </w:p>
    <w:p w:rsidR="00000000" w:rsidDel="00000000" w:rsidP="00000000" w:rsidRDefault="00000000" w:rsidRPr="00000000" w14:paraId="0000003A">
      <w:pPr>
        <w:numPr>
          <w:ilvl w:val="0"/>
          <w:numId w:val="1"/>
        </w:numPr>
        <w:spacing w:after="0" w:afterAutospacing="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Investigación Educativa Aplicada. </w:t>
      </w:r>
      <w:r w:rsidDel="00000000" w:rsidR="00000000" w:rsidRPr="00000000">
        <w:rPr>
          <w:rFonts w:ascii="Times New Roman" w:cs="Times New Roman" w:eastAsia="Times New Roman" w:hAnsi="Times New Roman"/>
          <w:rtl w:val="0"/>
        </w:rPr>
        <w:t xml:space="preserve">Promover y desarrollar estudios cualitativos y cuantitativos sobre las problemáticas de la permanencia y el desgranamiento, articulando con los comités académicos, docentes e investigadores de la institución para enriquecer la comprensión del fenómeno pedagógico.</w:t>
      </w:r>
    </w:p>
    <w:p w:rsidR="00000000" w:rsidDel="00000000" w:rsidP="00000000" w:rsidRDefault="00000000" w:rsidRPr="00000000" w14:paraId="0000003B">
      <w:pPr>
        <w:numPr>
          <w:ilvl w:val="0"/>
          <w:numId w:val="1"/>
        </w:numPr>
        <w:spacing w:after="0" w:afterAutospacing="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Desarrollo Tecnológico y Analítica de Datos. </w:t>
      </w:r>
      <w:r w:rsidDel="00000000" w:rsidR="00000000" w:rsidRPr="00000000">
        <w:rPr>
          <w:rFonts w:ascii="Times New Roman" w:cs="Times New Roman" w:eastAsia="Times New Roman" w:hAnsi="Times New Roman"/>
          <w:rtl w:val="0"/>
        </w:rPr>
        <w:t xml:space="preserve">Diseñar e implementar herramientas tecnológicas de avanzada para la visualización de datos, tableros de control y sistemas de alerta temprana basados en analítica predictiva, orientados a anticipar situaciones de riesgo de abandono.</w:t>
      </w:r>
    </w:p>
    <w:p w:rsidR="00000000" w:rsidDel="00000000" w:rsidP="00000000" w:rsidRDefault="00000000" w:rsidRPr="00000000" w14:paraId="0000003C">
      <w:pPr>
        <w:numPr>
          <w:ilvl w:val="0"/>
          <w:numId w:val="1"/>
        </w:numPr>
        <w:spacing w:after="240" w:before="0" w:before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Transferencia y Difusión. </w:t>
      </w:r>
      <w:r w:rsidDel="00000000" w:rsidR="00000000" w:rsidRPr="00000000">
        <w:rPr>
          <w:rFonts w:ascii="Times New Roman" w:cs="Times New Roman" w:eastAsia="Times New Roman" w:hAnsi="Times New Roman"/>
          <w:rtl w:val="0"/>
        </w:rPr>
        <w:t xml:space="preserve">Elaborar reportes periódicos, informes específicos por carrera o unidad académica y documentos de divulgación científica que permitan socializar el conocimiento producido y ponerlo a disposición de los equipos de gestión y de la comunidad universitaria.</w:t>
      </w:r>
    </w:p>
    <w:p w:rsidR="00000000" w:rsidDel="00000000" w:rsidP="00000000" w:rsidRDefault="00000000" w:rsidRPr="00000000" w14:paraId="0000003D">
      <w:pPr>
        <w:spacing w:after="240" w:before="240" w:line="240"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240" w:before="24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rtl w:val="0"/>
        </w:rPr>
        <w:t xml:space="preserve">Reglamentaciones y Sostenibilidad Institucional</w:t>
      </w:r>
      <w:r w:rsidDel="00000000" w:rsidR="00000000" w:rsidRPr="00000000">
        <w:rPr>
          <w:rtl w:val="0"/>
        </w:rPr>
      </w:r>
    </w:p>
    <w:p w:rsidR="00000000" w:rsidDel="00000000" w:rsidP="00000000" w:rsidRDefault="00000000" w:rsidRPr="00000000" w14:paraId="0000003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viabilidad y sostenibilidad del Observatorio Integral de Trayectorias en Educación requiere de un andamiaje normativo formal que delimite sus competencias y garantice su estatus institucional. La propuesta contempla su creación formal mediante resolución del Consejo Directivo de la Universidad, lo que le otorga entidad de dispositivo permanente dentro del organigrama de la Secretaría Académica.</w:t>
      </w:r>
    </w:p>
    <w:p w:rsidR="00000000" w:rsidDel="00000000" w:rsidP="00000000" w:rsidRDefault="00000000" w:rsidRPr="00000000" w14:paraId="00000040">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Estructuración del cuerpo reglamentario base:</w:t>
      </w:r>
    </w:p>
    <w:p w:rsidR="00000000" w:rsidDel="00000000" w:rsidP="00000000" w:rsidRDefault="00000000" w:rsidRPr="00000000" w14:paraId="0000004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Reglamento de Organización Interna. </w:t>
      </w:r>
      <w:r w:rsidDel="00000000" w:rsidR="00000000" w:rsidRPr="00000000">
        <w:rPr>
          <w:rFonts w:ascii="Times New Roman" w:cs="Times New Roman" w:eastAsia="Times New Roman" w:hAnsi="Times New Roman"/>
          <w:rtl w:val="0"/>
        </w:rPr>
        <w:t xml:space="preserve">Instrumento</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que determina que la Secretaría Académica asume la dirección y diseño estratégico del observatorio. La cual será responsable de fijar los lineamientos, coordinar los circuitos operativos y garantizará que los informes técnicos funcionen como insumo para la planificación, gestión y toma de decisiones institucionales.</w:t>
      </w:r>
    </w:p>
    <w:p w:rsidR="00000000" w:rsidDel="00000000" w:rsidP="00000000" w:rsidRDefault="00000000" w:rsidRPr="00000000" w14:paraId="0000004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Protocolo de Acceso y Protección de Datos. </w:t>
      </w:r>
      <w:r w:rsidDel="00000000" w:rsidR="00000000" w:rsidRPr="00000000">
        <w:rPr>
          <w:rFonts w:ascii="Times New Roman" w:cs="Times New Roman" w:eastAsia="Times New Roman" w:hAnsi="Times New Roman"/>
          <w:rtl w:val="0"/>
        </w:rPr>
        <w:t xml:space="preserve">Normativa estricta en consonancia con la Ley 25.326 de Protección de Datos Personales de la República Argentina, que garantice el anonimato de los registros estudiantiles utilizados en los procesos de análisis estadístico y la confidencialidad de la información sensible recopilada en encuestas y entrevistas.</w:t>
      </w:r>
    </w:p>
    <w:p w:rsidR="00000000" w:rsidDel="00000000" w:rsidP="00000000" w:rsidRDefault="00000000" w:rsidRPr="00000000" w14:paraId="0000004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Manual de Procedimientos Técnicos y Glosario de Indicadores. </w:t>
      </w:r>
      <w:r w:rsidDel="00000000" w:rsidR="00000000" w:rsidRPr="00000000">
        <w:rPr>
          <w:rFonts w:ascii="Times New Roman" w:cs="Times New Roman" w:eastAsia="Times New Roman" w:hAnsi="Times New Roman"/>
          <w:rtl w:val="0"/>
        </w:rPr>
        <w:t xml:space="preserve">Manual metodológico y glosario técnico para unificar criterios de construcción de dimensiones e indicadores, asegurando la consistencia metodológica a lo largo del tiempo y la comparabilidad con estándares de evaluación vinculados con la calidad.</w:t>
      </w:r>
    </w:p>
    <w:p w:rsidR="00000000" w:rsidDel="00000000" w:rsidP="00000000" w:rsidRDefault="00000000" w:rsidRPr="00000000" w14:paraId="00000044">
      <w:pPr>
        <w:spacing w:after="12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Planificación de etapas, acciones y objetivos de implementación del proyecto inicial:</w:t>
      </w:r>
    </w:p>
    <w:p w:rsidR="00000000" w:rsidDel="00000000" w:rsidP="00000000" w:rsidRDefault="00000000" w:rsidRPr="00000000" w14:paraId="00000046">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7">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Etapa 1. Planificación y organización del proyecto. Acciones: </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rtl w:val="0"/>
        </w:rPr>
        <w:t xml:space="preserve">onformación del equipo de trabajo, definición de roles, establecimiento de la gobernanza de datos, asignación de recursos y del cronograma general de actividades.</w:t>
      </w:r>
    </w:p>
    <w:p w:rsidR="00000000" w:rsidDel="00000000" w:rsidP="00000000" w:rsidRDefault="00000000" w:rsidRPr="00000000" w14:paraId="00000048">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-Objetivo principal. Gestión y gobernanza de datos. </w:t>
      </w:r>
      <w:r w:rsidDel="00000000" w:rsidR="00000000" w:rsidRPr="00000000">
        <w:rPr>
          <w:rFonts w:ascii="Times New Roman" w:cs="Times New Roman" w:eastAsia="Times New Roman" w:hAnsi="Times New Roman"/>
          <w:rtl w:val="0"/>
        </w:rPr>
        <w:t xml:space="preserve">Comprende la identificación de fuentes de información, la integración y normalización de bases de datos, la definición de estándares de calidad y la implementación de mecanismos de validación interna y externa que garanticen la consistencia y confiabilidad de los resultados.</w:t>
      </w:r>
    </w:p>
    <w:p w:rsidR="00000000" w:rsidDel="00000000" w:rsidP="00000000" w:rsidRDefault="00000000" w:rsidRPr="00000000" w14:paraId="00000049">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Etapa 2. Diseño metodológico y preparación de datos. Acciones: </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laboración de manuales técnicos y metodológicos, identificación de fuentes de información, integración y depuración de bases de datos, definición de dimensiones de análisis e implementación de procesos de validación  por parte de expertos.</w:t>
      </w:r>
    </w:p>
    <w:p w:rsidR="00000000" w:rsidDel="00000000" w:rsidP="00000000" w:rsidRDefault="00000000" w:rsidRPr="00000000" w14:paraId="0000004A">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-Objetivo principal: Construcción del sistema de indicadores.</w:t>
      </w:r>
      <w:r w:rsidDel="00000000" w:rsidR="00000000" w:rsidRPr="00000000">
        <w:rPr>
          <w:rFonts w:ascii="Times New Roman" w:cs="Times New Roman" w:eastAsia="Times New Roman" w:hAnsi="Times New Roman"/>
          <w:rtl w:val="0"/>
        </w:rPr>
        <w:t xml:space="preserve"> Se desarrolla un índice de indicadores de trayectorias educativas organizado en dimensiones de análisis vinculadas con una perspectiva integral del planeamiento institucional. Dichas dimensiones contemplan aspectos relacionados con el acceso, permanencia, rendimiento, rezago, abandono y egreso de los estudiantes.</w:t>
      </w:r>
    </w:p>
    <w:p w:rsidR="00000000" w:rsidDel="00000000" w:rsidP="00000000" w:rsidRDefault="00000000" w:rsidRPr="00000000" w14:paraId="0000004B">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Etapa 3. Construcción de indicadores y elaboración de informes. Acciones:  </w:t>
      </w: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rtl w:val="0"/>
        </w:rPr>
        <w:t xml:space="preserve">iseño y cálculo de indicadores de acceso, rendimiento, desgranamiento, deserción y trayectorias académicas; elaboración de informes parciales para carreras seleccionadas y posterior extensión a todas las ingenierías.</w:t>
      </w:r>
    </w:p>
    <w:p w:rsidR="00000000" w:rsidDel="00000000" w:rsidP="00000000" w:rsidRDefault="00000000" w:rsidRPr="00000000" w14:paraId="0000004C">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-Objetivo principal: Diseño de una matriz de análisis. </w:t>
      </w:r>
      <w:r w:rsidDel="00000000" w:rsidR="00000000" w:rsidRPr="00000000">
        <w:rPr>
          <w:rFonts w:ascii="Times New Roman" w:cs="Times New Roman" w:eastAsia="Times New Roman" w:hAnsi="Times New Roman"/>
          <w:rtl w:val="0"/>
        </w:rPr>
        <w:t xml:space="preserve">Los indicadores son estructurados en una matriz analítica basada en el enfoque de insumos, procesos, productos y resultados, permitiendo una lectura integral de los fenómenos educativos y facilitando el seguimiento de las trayectorias académicas desde diferentes niveles de análisis.</w:t>
      </w:r>
    </w:p>
    <w:p w:rsidR="00000000" w:rsidDel="00000000" w:rsidP="00000000" w:rsidRDefault="00000000" w:rsidRPr="00000000" w14:paraId="0000004D">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Etapa 4. Análisis integral y mejora continua. Acciones: </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laboración del Informe Integral de Trayectorias Académicas con más de 100 indicadores, revisión de resultados, con actores institucionales, incorporación de mejoras y validación final de los productos desarrollados.</w:t>
      </w:r>
    </w:p>
    <w:p w:rsidR="00000000" w:rsidDel="00000000" w:rsidP="00000000" w:rsidRDefault="00000000" w:rsidRPr="00000000" w14:paraId="0000004E">
      <w:pPr>
        <w:spacing w:after="12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-Objetivo principal. Investigación aplicada y mejora institucional</w:t>
      </w:r>
      <w:r w:rsidDel="00000000" w:rsidR="00000000" w:rsidRPr="00000000">
        <w:rPr>
          <w:rFonts w:ascii="Times New Roman" w:cs="Times New Roman" w:eastAsia="Times New Roman" w:hAnsi="Times New Roman"/>
          <w:rtl w:val="0"/>
        </w:rPr>
        <w:t xml:space="preserve">. Los resultados obtenidos se utilizarán para la elaboración de informes, estudios específicos y líneas de investigación aplicada, promoviendo procesos de retroalimentación y mejora continua de la gestión académica.</w:t>
      </w:r>
      <w:r w:rsidDel="00000000" w:rsidR="00000000" w:rsidRPr="00000000">
        <w:rPr>
          <w:rtl w:val="0"/>
        </w:rPr>
      </w:r>
    </w:p>
    <w:p w:rsidR="00000000" w:rsidDel="00000000" w:rsidP="00000000" w:rsidRDefault="00000000" w:rsidRPr="00000000" w14:paraId="0000004F">
      <w:pPr>
        <w:spacing w:after="12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0">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Tabla 1 ejemplifica el proceso de construcción y validación de los indicadores clave del Observatorio Integral de Trayectorias Educativas, constituyendo una guía metodológica que articula la definición conceptual de cada indicador con criterios operativos para su medición y análisis en la gestión universitaria basada en evidencia.</w:t>
      </w:r>
      <w:r w:rsidDel="00000000" w:rsidR="00000000" w:rsidRPr="00000000">
        <w:rPr>
          <w:rtl w:val="0"/>
        </w:rPr>
      </w:r>
    </w:p>
    <w:p w:rsidR="00000000" w:rsidDel="00000000" w:rsidP="00000000" w:rsidRDefault="00000000" w:rsidRPr="00000000" w14:paraId="00000051">
      <w:pPr>
        <w:spacing w:after="12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Tabla 1</w:t>
      </w:r>
    </w:p>
    <w:p w:rsidR="00000000" w:rsidDel="00000000" w:rsidP="00000000" w:rsidRDefault="00000000" w:rsidRPr="00000000" w14:paraId="00000053">
      <w:pPr>
        <w:spacing w:after="0" w:line="240" w:lineRule="auto"/>
        <w:jc w:val="both"/>
        <w:rPr>
          <w:rFonts w:ascii="Arial" w:cs="Arial" w:eastAsia="Arial" w:hAnsi="Arial"/>
          <w:sz w:val="22"/>
          <w:szCs w:val="22"/>
        </w:rPr>
      </w:pPr>
      <w:r w:rsidDel="00000000" w:rsidR="00000000" w:rsidRPr="00000000">
        <w:rPr>
          <w:rFonts w:ascii="Times New Roman" w:cs="Times New Roman" w:eastAsia="Times New Roman" w:hAnsi="Times New Roman"/>
          <w:i w:val="1"/>
          <w:iCs w:val="1"/>
          <w:sz w:val="20"/>
          <w:szCs w:val="20"/>
          <w:rtl w:val="0"/>
        </w:rPr>
        <w:t xml:space="preserve">Ejemplo de resumen de definiciones y marcos metodológicos de indicadores clave. Etapa 2.</w:t>
      </w:r>
      <w:r w:rsidDel="00000000" w:rsidR="00000000" w:rsidRPr="00000000">
        <w:rPr>
          <w:rtl w:val="0"/>
        </w:rPr>
      </w:r>
    </w:p>
    <w:tbl>
      <w:tblPr>
        <w:tblStyle w:val="Table1"/>
        <w:tblW w:w="88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75"/>
        <w:gridCol w:w="1815"/>
        <w:gridCol w:w="1890"/>
        <w:gridCol w:w="2100"/>
        <w:gridCol w:w="1515"/>
        <w:tblGridChange w:id="0">
          <w:tblGrid>
            <w:gridCol w:w="1575"/>
            <w:gridCol w:w="1815"/>
            <w:gridCol w:w="1890"/>
            <w:gridCol w:w="2100"/>
            <w:gridCol w:w="1515"/>
          </w:tblGrid>
        </w:tblGridChange>
      </w:tblGrid>
      <w:tr>
        <w:trPr>
          <w:cantSplit w:val="0"/>
          <w:tblHeader w:val="1"/>
        </w:trPr>
        <w:tc>
          <w:tcPr>
            <w:tcBorders>
              <w:top w:color="aaaaaa" w:space="0" w:sz="4" w:val="single"/>
              <w:left w:color="aaaaaa" w:space="0" w:sz="4" w:val="single"/>
              <w:bottom w:color="aaaaaa" w:space="0" w:sz="4" w:val="single"/>
              <w:right w:color="aaaaaa" w:space="0" w:sz="4" w:val="single"/>
            </w:tcBorders>
            <w:shd w:fill="1f3864" w:val="clear"/>
            <w:tcMar>
              <w:top w:w="100.0" w:type="dxa"/>
              <w:left w:w="140.0" w:type="dxa"/>
              <w:bottom w:w="100.0" w:type="dxa"/>
              <w:right w:w="140.0" w:type="dxa"/>
            </w:tcMar>
            <w:vAlign w:val="center"/>
          </w:tcPr>
          <w:p w:rsidR="00000000" w:rsidDel="00000000" w:rsidP="00000000" w:rsidRDefault="00000000" w:rsidRPr="00000000" w14:paraId="00000054">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color w:val="ffffff"/>
                <w:sz w:val="16"/>
                <w:szCs w:val="16"/>
                <w:rtl w:val="0"/>
              </w:rPr>
              <w:t xml:space="preserve">Indicador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f3864" w:val="clear"/>
            <w:tcMar>
              <w:top w:w="100.0" w:type="dxa"/>
              <w:left w:w="140.0" w:type="dxa"/>
              <w:bottom w:w="100.0" w:type="dxa"/>
              <w:right w:w="140.0" w:type="dxa"/>
            </w:tcMar>
            <w:vAlign w:val="center"/>
          </w:tcPr>
          <w:p w:rsidR="00000000" w:rsidDel="00000000" w:rsidP="00000000" w:rsidRDefault="00000000" w:rsidRPr="00000000" w14:paraId="00000055">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color w:val="ffffff"/>
                <w:sz w:val="16"/>
                <w:szCs w:val="16"/>
                <w:rtl w:val="0"/>
              </w:rPr>
              <w:t xml:space="preserve">Definición operacional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f3864" w:val="clear"/>
            <w:tcMar>
              <w:top w:w="100.0" w:type="dxa"/>
              <w:left w:w="140.0" w:type="dxa"/>
              <w:bottom w:w="100.0" w:type="dxa"/>
              <w:right w:w="140.0" w:type="dxa"/>
            </w:tcMar>
            <w:vAlign w:val="center"/>
          </w:tcPr>
          <w:p w:rsidR="00000000" w:rsidDel="00000000" w:rsidP="00000000" w:rsidRDefault="00000000" w:rsidRPr="00000000" w14:paraId="00000056">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color w:val="ffffff"/>
                <w:sz w:val="16"/>
                <w:szCs w:val="16"/>
                <w:rtl w:val="0"/>
              </w:rPr>
              <w:t xml:space="preserve">Marco teórico / Dimensión conceptual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f3864" w:val="clear"/>
            <w:tcMar>
              <w:top w:w="100.0" w:type="dxa"/>
              <w:left w:w="140.0" w:type="dxa"/>
              <w:bottom w:w="100.0" w:type="dxa"/>
              <w:right w:w="140.0" w:type="dxa"/>
            </w:tcMar>
            <w:vAlign w:val="center"/>
          </w:tcPr>
          <w:p w:rsidR="00000000" w:rsidDel="00000000" w:rsidP="00000000" w:rsidRDefault="00000000" w:rsidRPr="00000000" w14:paraId="00000057">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color w:val="ffffff"/>
                <w:sz w:val="16"/>
                <w:szCs w:val="16"/>
                <w:rtl w:val="0"/>
              </w:rPr>
              <w:t xml:space="preserve">Sugerencias metodológicas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1f3864" w:val="clear"/>
            <w:tcMar>
              <w:top w:w="100.0" w:type="dxa"/>
              <w:left w:w="140.0" w:type="dxa"/>
              <w:bottom w:w="100.0" w:type="dxa"/>
              <w:right w:w="140.0" w:type="dxa"/>
            </w:tcMar>
            <w:vAlign w:val="center"/>
          </w:tcPr>
          <w:p w:rsidR="00000000" w:rsidDel="00000000" w:rsidP="00000000" w:rsidRDefault="00000000" w:rsidRPr="00000000" w14:paraId="00000058">
            <w:pPr>
              <w:spacing w:after="0"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color w:val="ffffff"/>
                <w:sz w:val="16"/>
                <w:szCs w:val="16"/>
                <w:rtl w:val="0"/>
              </w:rPr>
              <w:t xml:space="preserve">Autores y fuentes de referencia</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59">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18"/>
                <w:szCs w:val="18"/>
                <w:rtl w:val="0"/>
              </w:rPr>
              <w:t xml:space="preserve">Tasa de egreso</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5A">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Proporción de estudiantes que completan una carrera en relación al total de ingresantes de una cohorte, en un período determinado (generalmente duración teórica + 50%).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5B">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Eficiencia terminal y análisis de cohortes. Evalúa la capacidad institucional de conducir al estudiante hasta la graduación.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5C">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Calcular por cohorte de ingreso real. Distinguir egreso en tiempo teórico y egreso tardío. Desagregar por carrera, género y modalidad.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5D">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iCs w:val="1"/>
                <w:sz w:val="16"/>
                <w:szCs w:val="16"/>
                <w:rtl w:val="0"/>
              </w:rPr>
              <w:t xml:space="preserve">García de Fanelli, A. M. (2014). </w:t>
            </w:r>
            <w:r w:rsidDel="00000000" w:rsidR="00000000" w:rsidRPr="00000000">
              <w:rPr>
                <w:rtl w:val="0"/>
              </w:rPr>
            </w:r>
          </w:p>
          <w:p w:rsidR="00000000" w:rsidDel="00000000" w:rsidP="00000000" w:rsidRDefault="00000000" w:rsidRPr="00000000" w14:paraId="0000005E">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iCs w:val="1"/>
                <w:sz w:val="16"/>
                <w:szCs w:val="16"/>
                <w:rtl w:val="0"/>
              </w:rPr>
              <w:t xml:space="preserve">IESALC-UNESCO (2006).</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5F">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18"/>
                <w:szCs w:val="18"/>
                <w:rtl w:val="0"/>
              </w:rPr>
              <w:t xml:space="preserve">Duración promedio de la carrera</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60">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Tiempo medio efectivo entre el ingreso y la obtención del título, medido en años o semestres, comparado con la duración teórica del plan de estudios.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61">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Concepto de </w:t>
            </w:r>
            <w:r w:rsidDel="00000000" w:rsidR="00000000" w:rsidRPr="00000000">
              <w:rPr>
                <w:rFonts w:ascii="Times New Roman" w:cs="Times New Roman" w:eastAsia="Times New Roman" w:hAnsi="Times New Roman"/>
                <w:sz w:val="17"/>
                <w:szCs w:val="17"/>
                <w:rtl w:val="0"/>
              </w:rPr>
              <w:t xml:space="preserve">sobreduración</w:t>
            </w:r>
            <w:r w:rsidDel="00000000" w:rsidR="00000000" w:rsidRPr="00000000">
              <w:rPr>
                <w:rFonts w:ascii="Times New Roman" w:cs="Times New Roman" w:eastAsia="Times New Roman" w:hAnsi="Times New Roman"/>
                <w:sz w:val="17"/>
                <w:szCs w:val="17"/>
                <w:rtl w:val="0"/>
              </w:rPr>
              <w:t xml:space="preserve"> o alargamiento de los estudios. Indica ineficiencia curricular, laboral o institucional.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62">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Calcular el promedio de la cohorte egresada. Comparar con la duración teórica del plan. Analizar causas: trabajo, repitencia, simultaneidad de carreras.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63">
            <w:pPr>
              <w:spacing w:after="0" w:line="240" w:lineRule="auto"/>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6"/>
                <w:szCs w:val="16"/>
                <w:rtl w:val="0"/>
              </w:rPr>
              <w:t xml:space="preserve">Sigal, V. y Dávila, M. (2005). </w:t>
            </w:r>
          </w:p>
          <w:p w:rsidR="00000000" w:rsidDel="00000000" w:rsidP="00000000" w:rsidRDefault="00000000" w:rsidRPr="00000000" w14:paraId="00000064">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iCs w:val="1"/>
                <w:sz w:val="16"/>
                <w:szCs w:val="16"/>
                <w:rtl w:val="0"/>
              </w:rPr>
              <w:t xml:space="preserve">Fernández Lamarra, N. (2003).</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65">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18"/>
                <w:szCs w:val="18"/>
                <w:rtl w:val="0"/>
              </w:rPr>
              <w:t xml:space="preserve">Retención por carrera</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66">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Porcentaje de estudiantes que, habiendo ingresado en un período, continúan cursando en el período siguiente sin haber abandonado ni egresado.</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67">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Modelos de persistencia estudiantil Integración académica y social del estudiante en la institución.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68">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Medir retención al primer año como indicador temprano crítico. Complementar con encuestas de integración académica. Distinguir retención formal de retención efectiva.</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69">
            <w:pPr>
              <w:spacing w:after="0" w:line="240" w:lineRule="auto"/>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6"/>
                <w:szCs w:val="16"/>
                <w:rtl w:val="0"/>
              </w:rPr>
              <w:t xml:space="preserve">Tinto, V. (1987). </w:t>
            </w:r>
          </w:p>
          <w:p w:rsidR="00000000" w:rsidDel="00000000" w:rsidP="00000000" w:rsidRDefault="00000000" w:rsidRPr="00000000" w14:paraId="0000006A">
            <w:pPr>
              <w:spacing w:after="0" w:line="240" w:lineRule="auto"/>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6"/>
                <w:szCs w:val="16"/>
                <w:rtl w:val="0"/>
              </w:rPr>
              <w:t xml:space="preserve">De Garay Sánchez, A. (2004). </w:t>
            </w:r>
          </w:p>
          <w:p w:rsidR="00000000" w:rsidDel="00000000" w:rsidP="00000000" w:rsidRDefault="00000000" w:rsidRPr="00000000" w14:paraId="0000006B">
            <w:pPr>
              <w:spacing w:after="0" w:line="240" w:lineRule="auto"/>
              <w:rPr>
                <w:rFonts w:ascii="Times New Roman" w:cs="Times New Roman" w:eastAsia="Times New Roman" w:hAnsi="Times New Roman"/>
                <w:i w:val="1"/>
                <w:iCs w:val="1"/>
                <w:sz w:val="16"/>
                <w:szCs w:val="16"/>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6C">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18"/>
                <w:szCs w:val="18"/>
                <w:rtl w:val="0"/>
              </w:rPr>
              <w:t xml:space="preserve">Tasa de reincorporación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6D">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Proporción de estudiantes que, tras un período de inactividad académica, retoman sus estudios en la misma institución y carrera.</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6E">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Indicador propio de sistemas de acceso abierto. Refleja la permeabilidad institucional y las políticas de segunda oportunidad.</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6F">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Definir operacionalmente el período de inactividad (ej.: 1 o 2 años). Analizar trayectoria post-reincorporación: ¿completan? ¿vuelven a abandonar?</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70">
            <w:pPr>
              <w:spacing w:after="0" w:line="240" w:lineRule="auto"/>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6"/>
                <w:szCs w:val="16"/>
                <w:rtl w:val="0"/>
              </w:rPr>
              <w:t xml:space="preserve">García de Fanelli, A. M. y Jacinto, C. (2010).</w:t>
            </w:r>
          </w:p>
          <w:p w:rsidR="00000000" w:rsidDel="00000000" w:rsidP="00000000" w:rsidRDefault="00000000" w:rsidRPr="00000000" w14:paraId="00000071">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iCs w:val="1"/>
                <w:sz w:val="16"/>
                <w:szCs w:val="16"/>
                <w:rtl w:val="0"/>
              </w:rPr>
              <w:t xml:space="preserve">SPU – Secretaría de Políticas Universitarias (2020). </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72">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18"/>
                <w:szCs w:val="18"/>
                <w:rtl w:val="0"/>
              </w:rPr>
              <w:t xml:space="preserve">Abandono</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73">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Desvinculación definitiva o prolongada del estudiante de la carrera o institución sin haber obtenido el título. Puede ser temprano (1.er año), intermedio o tardío.</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74">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Distingue abandono voluntario, académico e institucional. En el contexto latinoamericano se suma la dimensión socioeconómica.</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75">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Distinguir abandono institucional (cambia de universidad) de abandono del sistema. Identificar momentos críticos. Cruzar con variables socioeconómicas y primera generación universitaria.</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76">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iCs w:val="1"/>
                <w:sz w:val="16"/>
                <w:szCs w:val="16"/>
                <w:rtl w:val="0"/>
              </w:rPr>
              <w:t xml:space="preserve">Tinto, V. (1993).  Ezcurra, A. M. (2011). </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77">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18"/>
                <w:szCs w:val="18"/>
                <w:rtl w:val="0"/>
              </w:rPr>
              <w:t xml:space="preserve">Desgranamiento</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78">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Disminución progresiva del número de estudiantes activos a lo largo de los años de una cohorte, que incluye también la ralentización o desaparición del padrón activo sin abandono definitivo.</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79">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Concepto de uso extendido en el sistema universitario argentino. Emparentado con el rezago académico. Diferente del abandono porque incluye quienes permanecen sin avanzar regularmente.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7A">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7"/>
                <w:szCs w:val="17"/>
                <w:rtl w:val="0"/>
              </w:rPr>
              <w:t xml:space="preserve">Trazar la curva de desgranamiento por cohorte y año de carrera. Complementar con tasas de aprobación por materia. Distinguir desgranamiento estructural de </w:t>
            </w:r>
            <w:r w:rsidDel="00000000" w:rsidR="00000000" w:rsidRPr="00000000">
              <w:rPr>
                <w:rFonts w:ascii="Times New Roman" w:cs="Times New Roman" w:eastAsia="Times New Roman" w:hAnsi="Times New Roman"/>
                <w:sz w:val="17"/>
                <w:szCs w:val="17"/>
                <w:rtl w:val="0"/>
              </w:rPr>
              <w:t xml:space="preserve">situacional</w:t>
            </w:r>
            <w:r w:rsidDel="00000000" w:rsidR="00000000" w:rsidRPr="00000000">
              <w:rPr>
                <w:rFonts w:ascii="Times New Roman" w:cs="Times New Roman" w:eastAsia="Times New Roman" w:hAnsi="Times New Roman"/>
                <w:sz w:val="17"/>
                <w:szCs w:val="17"/>
                <w:rtl w:val="0"/>
              </w:rPr>
              <w:t xml:space="preserv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eaf0fb" w:val="clear"/>
            <w:tcMar>
              <w:top w:w="100.0" w:type="dxa"/>
              <w:left w:w="140.0" w:type="dxa"/>
              <w:bottom w:w="100.0" w:type="dxa"/>
              <w:right w:w="140.0" w:type="dxa"/>
            </w:tcMar>
          </w:tcPr>
          <w:p w:rsidR="00000000" w:rsidDel="00000000" w:rsidP="00000000" w:rsidRDefault="00000000" w:rsidRPr="00000000" w14:paraId="0000007B">
            <w:pPr>
              <w:spacing w:after="0" w:line="240" w:lineRule="auto"/>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6"/>
                <w:szCs w:val="16"/>
                <w:rtl w:val="0"/>
              </w:rPr>
              <w:t xml:space="preserve">Marquis, C. y Toribio, D. (1998).</w:t>
            </w:r>
          </w:p>
          <w:p w:rsidR="00000000" w:rsidDel="00000000" w:rsidP="00000000" w:rsidRDefault="00000000" w:rsidRPr="00000000" w14:paraId="0000007C">
            <w:pPr>
              <w:spacing w:after="0" w:line="240" w:lineRule="auto"/>
              <w:rPr>
                <w:rFonts w:ascii="Times New Roman" w:cs="Times New Roman" w:eastAsia="Times New Roman" w:hAnsi="Times New Roman"/>
                <w:i w:val="1"/>
                <w:iCs w:val="1"/>
                <w:sz w:val="16"/>
                <w:szCs w:val="16"/>
              </w:rPr>
            </w:pPr>
            <w:r w:rsidDel="00000000" w:rsidR="00000000" w:rsidRPr="00000000">
              <w:rPr>
                <w:rFonts w:ascii="Times New Roman" w:cs="Times New Roman" w:eastAsia="Times New Roman" w:hAnsi="Times New Roman"/>
                <w:i w:val="1"/>
                <w:iCs w:val="1"/>
                <w:sz w:val="16"/>
                <w:szCs w:val="16"/>
                <w:rtl w:val="0"/>
              </w:rPr>
              <w:t xml:space="preserve">Kisilevsky, M. y Veleda, C. (2002). </w:t>
            </w:r>
          </w:p>
          <w:p w:rsidR="00000000" w:rsidDel="00000000" w:rsidP="00000000" w:rsidRDefault="00000000" w:rsidRPr="00000000" w14:paraId="0000007D">
            <w:pPr>
              <w:spacing w:after="0" w:line="240" w:lineRule="auto"/>
              <w:rPr>
                <w:rFonts w:ascii="Times New Roman" w:cs="Times New Roman" w:eastAsia="Times New Roman" w:hAnsi="Times New Roman"/>
                <w:i w:val="1"/>
                <w:iCs w:val="1"/>
                <w:sz w:val="16"/>
                <w:szCs w:val="16"/>
              </w:rPr>
            </w:pPr>
            <w:r w:rsidDel="00000000" w:rsidR="00000000" w:rsidRPr="00000000">
              <w:rPr>
                <w:rtl w:val="0"/>
              </w:rPr>
            </w:r>
          </w:p>
        </w:tc>
      </w:tr>
    </w:tbl>
    <w:p w:rsidR="00000000" w:rsidDel="00000000" w:rsidP="00000000" w:rsidRDefault="00000000" w:rsidRPr="00000000" w14:paraId="0000007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after="12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buscó además presentar consideraciones para la definición de  lineamientos teóricos e institucionales que conforman etapas iniciales del proyecto. El Observatorio Integral de Trayectorias Educativas se concibe como un espacio institucional orientado a la generación de conocimiento para la toma de decisiones basadas en evidencia. Su propósito principal es producir información sistematizada sobre las trayectorias académicas de los estudiantes mediante la integración, análisis e interpretación de datos provenientes de diversas fuentes institucionales.</w:t>
      </w:r>
    </w:p>
    <w:p w:rsidR="00000000" w:rsidDel="00000000" w:rsidP="00000000" w:rsidRDefault="00000000" w:rsidRPr="00000000" w14:paraId="0000008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Conclusión</w:t>
      </w:r>
    </w:p>
    <w:p w:rsidR="00000000" w:rsidDel="00000000" w:rsidP="00000000" w:rsidRDefault="00000000" w:rsidRPr="00000000" w14:paraId="0000008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creación del </w:t>
      </w:r>
      <w:r w:rsidDel="00000000" w:rsidR="00000000" w:rsidRPr="00000000">
        <w:rPr>
          <w:rFonts w:ascii="Times New Roman" w:cs="Times New Roman" w:eastAsia="Times New Roman" w:hAnsi="Times New Roman"/>
          <w:rtl w:val="0"/>
        </w:rPr>
        <w:t xml:space="preserve">Observatorio Integral de Trayectorias Educativas Vector Académico </w:t>
      </w:r>
      <w:r w:rsidDel="00000000" w:rsidR="00000000" w:rsidRPr="00000000">
        <w:rPr>
          <w:rFonts w:ascii="Times New Roman" w:cs="Times New Roman" w:eastAsia="Times New Roman" w:hAnsi="Times New Roman"/>
          <w:rtl w:val="0"/>
        </w:rPr>
        <w:t xml:space="preserve">constituye un avance significativo para consolidar una gestión universitaria basada en evidencia en la Universidad Tecnológica Nacional Facultad Regional Buenos Aires. La propuesta desarrollada demuestra que el seguimiento de las trayectorias estudiantiles requiere trascender la mera disponibilidad de datos administrativos para avanzar hacia la construcción de un sistema integrado de información capaz de producir conocimiento pertinente para la planificación institucional. La definición de indicadores organizados en dimensiones de insumo, proceso, producto y resultado entre otros permite abordar las trayectorias desde una perspectiva integral, favoreciendo la identificación de factores que inciden en el ingreso, la permanencia, el rendimiento y la graduación de los estudiantes. Asimismo, la articulación entre fundamentos teóricos, criterios técnicos,  metodológicos y necesidades de gestión fortalece la validez del observatorio como herramienta para la mejora continua de las políticas académicas. Como línea de trabajo futura, el desafío radica en consolidar el observatorio mediante la incorporación progresiva de nuevas fuentes de información, el desarrollo de tableros de visualización, la implementación de modelos de analítica predictiva y la validación permanente de los indicadores construidos. Estas acciones permitirán evolucionar desde un enfoque descriptivo hacia uno explicativo y prospectivo, facilitando la detección temprana de situaciones de riesgo y el diseño de intervenciones oportunas que favorezcan la permanencia y el éxito académico. En conclusión, el Observatorio Integral de Trayectorias Educativas no solo se configura como un dispositivo técnico para el análisis de datos, sino también como un espacio institucional de producción de conocimiento que contribuye al fortalecimiento de la calidad educativa, la innovación en la gestión universitaria y el cumplimiento de la misión institucional de acompañar las trayectorias formativas de sus estudiantes</w:t>
      </w:r>
    </w:p>
    <w:p w:rsidR="00000000" w:rsidDel="00000000" w:rsidP="00000000" w:rsidRDefault="00000000" w:rsidRPr="00000000" w14:paraId="0000008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84">
      <w:pPr>
        <w:spacing w:after="240" w:before="240" w:line="240" w:lineRule="auto"/>
        <w:ind w:left="708.6614173228347" w:hanging="708.6614173228347"/>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Angulo Marcial, N. (2009). ¿Qué son los observatorios y cuáles son sus funciones? </w:t>
      </w:r>
      <w:r w:rsidDel="00000000" w:rsidR="00000000" w:rsidRPr="00000000">
        <w:rPr>
          <w:rFonts w:ascii="Times New Roman" w:cs="Times New Roman" w:eastAsia="Times New Roman" w:hAnsi="Times New Roman"/>
          <w:i w:val="1"/>
          <w:iCs w:val="1"/>
          <w:rtl w:val="0"/>
        </w:rPr>
        <w:t xml:space="preserve">Innovación Educativa, 9</w:t>
      </w:r>
      <w:r w:rsidDel="00000000" w:rsidR="00000000" w:rsidRPr="00000000">
        <w:rPr>
          <w:rFonts w:ascii="Times New Roman" w:cs="Times New Roman" w:eastAsia="Times New Roman" w:hAnsi="Times New Roman"/>
          <w:rtl w:val="0"/>
        </w:rPr>
        <w:t xml:space="preserve">(47), 5–17.</w:t>
      </w:r>
      <w:hyperlink r:id="rId14">
        <w:r w:rsidDel="00000000" w:rsidR="00000000" w:rsidRPr="00000000">
          <w:rPr>
            <w:rFonts w:ascii="Times New Roman" w:cs="Times New Roman" w:eastAsia="Times New Roman" w:hAnsi="Times New Roman"/>
            <w:rtl w:val="0"/>
          </w:rPr>
          <w:t xml:space="preserve"> </w:t>
        </w:r>
      </w:hyperlink>
      <w:hyperlink r:id="rId15">
        <w:r w:rsidDel="00000000" w:rsidR="00000000" w:rsidRPr="00000000">
          <w:rPr>
            <w:rFonts w:ascii="Times New Roman" w:cs="Times New Roman" w:eastAsia="Times New Roman" w:hAnsi="Times New Roman"/>
            <w:color w:val="1155cc"/>
            <w:u w:val="single"/>
            <w:rtl w:val="0"/>
          </w:rPr>
          <w:t xml:space="preserve">http://www.redalyc.org/articulo.oa?id=179414895002</w:t>
        </w:r>
      </w:hyperlink>
      <w:r w:rsidDel="00000000" w:rsidR="00000000" w:rsidRPr="00000000">
        <w:rPr>
          <w:rtl w:val="0"/>
        </w:rPr>
      </w:r>
    </w:p>
    <w:p w:rsidR="00000000" w:rsidDel="00000000" w:rsidP="00000000" w:rsidRDefault="00000000" w:rsidRPr="00000000" w14:paraId="00000085">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(2012). Políticas de educación superior en América Latina en el siglo XXI: ¿Inclusión o democratización? </w:t>
      </w:r>
      <w:r w:rsidDel="00000000" w:rsidR="00000000" w:rsidRPr="00000000">
        <w:rPr>
          <w:rFonts w:ascii="Times New Roman" w:cs="Times New Roman" w:eastAsia="Times New Roman" w:hAnsi="Times New Roman"/>
          <w:i w:val="1"/>
          <w:iCs w:val="1"/>
          <w:rtl w:val="0"/>
        </w:rPr>
        <w:t xml:space="preserve">Pensamiento Universitario, 14</w:t>
      </w:r>
      <w:r w:rsidDel="00000000" w:rsidR="00000000" w:rsidRPr="00000000">
        <w:rPr>
          <w:rFonts w:ascii="Times New Roman" w:cs="Times New Roman" w:eastAsia="Times New Roman" w:hAnsi="Times New Roman"/>
          <w:rtl w:val="0"/>
        </w:rPr>
        <w:t xml:space="preserve">(14).</w:t>
      </w:r>
    </w:p>
    <w:p w:rsidR="00000000" w:rsidDel="00000000" w:rsidP="00000000" w:rsidRDefault="00000000" w:rsidRPr="00000000" w14:paraId="00000086">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Comisión Nacional de Evaluación y Acreditación Universitaria. (2012). </w:t>
      </w:r>
      <w:r w:rsidDel="00000000" w:rsidR="00000000" w:rsidRPr="00000000">
        <w:rPr>
          <w:rFonts w:ascii="Times New Roman" w:cs="Times New Roman" w:eastAsia="Times New Roman" w:hAnsi="Times New Roman"/>
          <w:i w:val="1"/>
          <w:iCs w:val="1"/>
          <w:rtl w:val="0"/>
        </w:rPr>
        <w:t xml:space="preserve">Indicadores para el seguimiento de las carreras de grado</w:t>
      </w:r>
      <w:r w:rsidDel="00000000" w:rsidR="00000000" w:rsidRPr="00000000">
        <w:rPr>
          <w:rFonts w:ascii="Times New Roman" w:cs="Times New Roman" w:eastAsia="Times New Roman" w:hAnsi="Times New Roman"/>
          <w:rtl w:val="0"/>
        </w:rPr>
        <w:t xml:space="preserve">. Ministerio de Educación de la Nación.</w:t>
      </w:r>
    </w:p>
    <w:p w:rsidR="00000000" w:rsidDel="00000000" w:rsidP="00000000" w:rsidRDefault="00000000" w:rsidRPr="00000000" w14:paraId="00000087">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Garay Sánchez, A. (2004). </w:t>
      </w:r>
      <w:r w:rsidDel="00000000" w:rsidR="00000000" w:rsidRPr="00000000">
        <w:rPr>
          <w:rFonts w:ascii="Times New Roman" w:cs="Times New Roman" w:eastAsia="Times New Roman" w:hAnsi="Times New Roman"/>
          <w:i w:val="1"/>
          <w:iCs w:val="1"/>
          <w:rtl w:val="0"/>
        </w:rPr>
        <w:t xml:space="preserve">Integración de los jóvenes en el sistema universitario</w:t>
      </w:r>
      <w:r w:rsidDel="00000000" w:rsidR="00000000" w:rsidRPr="00000000">
        <w:rPr>
          <w:rFonts w:ascii="Times New Roman" w:cs="Times New Roman" w:eastAsia="Times New Roman" w:hAnsi="Times New Roman"/>
          <w:rtl w:val="0"/>
        </w:rPr>
        <w:t xml:space="preserve">. Pomares.</w:t>
      </w:r>
    </w:p>
    <w:p w:rsidR="00000000" w:rsidDel="00000000" w:rsidP="00000000" w:rsidRDefault="00000000" w:rsidRPr="00000000" w14:paraId="00000088">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Ezcurra, A. M. (2011). </w:t>
      </w:r>
      <w:r w:rsidDel="00000000" w:rsidR="00000000" w:rsidRPr="00000000">
        <w:rPr>
          <w:rFonts w:ascii="Times New Roman" w:cs="Times New Roman" w:eastAsia="Times New Roman" w:hAnsi="Times New Roman"/>
          <w:i w:val="1"/>
          <w:iCs w:val="1"/>
          <w:rtl w:val="0"/>
        </w:rPr>
        <w:t xml:space="preserve">Igualdad en educación superior: Un desafío mundial</w:t>
      </w:r>
      <w:r w:rsidDel="00000000" w:rsidR="00000000" w:rsidRPr="00000000">
        <w:rPr>
          <w:rFonts w:ascii="Times New Roman" w:cs="Times New Roman" w:eastAsia="Times New Roman" w:hAnsi="Times New Roman"/>
          <w:rtl w:val="0"/>
        </w:rPr>
        <w:t xml:space="preserve">. Universidad Nacional de General Sarmiento.</w:t>
      </w:r>
    </w:p>
    <w:p w:rsidR="00000000" w:rsidDel="00000000" w:rsidP="00000000" w:rsidRDefault="00000000" w:rsidRPr="00000000" w14:paraId="00000089">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Fernández Lamarra, N. (2003). </w:t>
      </w:r>
      <w:r w:rsidDel="00000000" w:rsidR="00000000" w:rsidRPr="00000000">
        <w:rPr>
          <w:rFonts w:ascii="Times New Roman" w:cs="Times New Roman" w:eastAsia="Times New Roman" w:hAnsi="Times New Roman"/>
          <w:i w:val="1"/>
          <w:iCs w:val="1"/>
          <w:rtl w:val="0"/>
        </w:rPr>
        <w:t xml:space="preserve">La educación superior argentina en debate</w:t>
      </w:r>
      <w:r w:rsidDel="00000000" w:rsidR="00000000" w:rsidRPr="00000000">
        <w:rPr>
          <w:rFonts w:ascii="Times New Roman" w:cs="Times New Roman" w:eastAsia="Times New Roman" w:hAnsi="Times New Roman"/>
          <w:rtl w:val="0"/>
        </w:rPr>
        <w:t xml:space="preserve">. EUDEBA/IESALC.</w:t>
      </w:r>
    </w:p>
    <w:p w:rsidR="00000000" w:rsidDel="00000000" w:rsidP="00000000" w:rsidRDefault="00000000" w:rsidRPr="00000000" w14:paraId="0000008A">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de Fanelli, A. M. (2014). Rendimiento académico y abandono universitario: Modelos, resultados y alcances de la producción académica en la Argentina. </w:t>
      </w:r>
      <w:r w:rsidDel="00000000" w:rsidR="00000000" w:rsidRPr="00000000">
        <w:rPr>
          <w:rFonts w:ascii="Times New Roman" w:cs="Times New Roman" w:eastAsia="Times New Roman" w:hAnsi="Times New Roman"/>
          <w:i w:val="1"/>
          <w:iCs w:val="1"/>
          <w:rtl w:val="0"/>
        </w:rPr>
        <w:t xml:space="preserve">Revista Argentina de Educación Superior, 6</w:t>
      </w:r>
      <w:r w:rsidDel="00000000" w:rsidR="00000000" w:rsidRPr="00000000">
        <w:rPr>
          <w:rFonts w:ascii="Times New Roman" w:cs="Times New Roman" w:eastAsia="Times New Roman" w:hAnsi="Times New Roman"/>
          <w:rtl w:val="0"/>
        </w:rPr>
        <w:t xml:space="preserve">(8), 9–30.</w:t>
      </w:r>
    </w:p>
    <w:p w:rsidR="00000000" w:rsidDel="00000000" w:rsidP="00000000" w:rsidRDefault="00000000" w:rsidRPr="00000000" w14:paraId="0000008B">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de Fanelli, A. M., y Jacinto, C. (2010). Equidad y educación superior en América Latina. </w:t>
      </w:r>
      <w:r w:rsidDel="00000000" w:rsidR="00000000" w:rsidRPr="00000000">
        <w:rPr>
          <w:rFonts w:ascii="Times New Roman" w:cs="Times New Roman" w:eastAsia="Times New Roman" w:hAnsi="Times New Roman"/>
          <w:i w:val="1"/>
          <w:iCs w:val="1"/>
          <w:rtl w:val="0"/>
        </w:rPr>
        <w:t xml:space="preserve">Revista Iberoamericana de Educación Superior, 1</w:t>
      </w:r>
      <w:r w:rsidDel="00000000" w:rsidR="00000000" w:rsidRPr="00000000">
        <w:rPr>
          <w:rFonts w:ascii="Times New Roman" w:cs="Times New Roman" w:eastAsia="Times New Roman" w:hAnsi="Times New Roman"/>
          <w:rtl w:val="0"/>
        </w:rPr>
        <w:t xml:space="preserve">(1), 58–73.</w:t>
      </w:r>
    </w:p>
    <w:p w:rsidR="00000000" w:rsidDel="00000000" w:rsidP="00000000" w:rsidRDefault="00000000" w:rsidRPr="00000000" w14:paraId="0000008C">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IESALC-UNESCO. (2006). </w:t>
      </w:r>
      <w:r w:rsidDel="00000000" w:rsidR="00000000" w:rsidRPr="00000000">
        <w:rPr>
          <w:rFonts w:ascii="Times New Roman" w:cs="Times New Roman" w:eastAsia="Times New Roman" w:hAnsi="Times New Roman"/>
          <w:i w:val="1"/>
          <w:iCs w:val="1"/>
          <w:rtl w:val="0"/>
        </w:rPr>
        <w:t xml:space="preserve">Informe sobre la educación superior en América Latina y el Caribe 2000–2005</w:t>
      </w:r>
      <w:r w:rsidDel="00000000" w:rsidR="00000000" w:rsidRPr="00000000">
        <w:rPr>
          <w:rFonts w:ascii="Times New Roman" w:cs="Times New Roman" w:eastAsia="Times New Roman" w:hAnsi="Times New Roman"/>
          <w:rtl w:val="0"/>
        </w:rPr>
        <w:t xml:space="preserve">. IESALC.</w:t>
      </w:r>
    </w:p>
    <w:p w:rsidR="00000000" w:rsidDel="00000000" w:rsidP="00000000" w:rsidRDefault="00000000" w:rsidRPr="00000000" w14:paraId="0000008D">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Kisilevsky, M., y Veleda, C. (2002). </w:t>
      </w:r>
      <w:r w:rsidDel="00000000" w:rsidR="00000000" w:rsidRPr="00000000">
        <w:rPr>
          <w:rFonts w:ascii="Times New Roman" w:cs="Times New Roman" w:eastAsia="Times New Roman" w:hAnsi="Times New Roman"/>
          <w:i w:val="1"/>
          <w:iCs w:val="1"/>
          <w:rtl w:val="0"/>
        </w:rPr>
        <w:t xml:space="preserve">Dos estudios sobre el acceso a la educación superior en la Argentina</w:t>
      </w:r>
      <w:r w:rsidDel="00000000" w:rsidR="00000000" w:rsidRPr="00000000">
        <w:rPr>
          <w:rFonts w:ascii="Times New Roman" w:cs="Times New Roman" w:eastAsia="Times New Roman" w:hAnsi="Times New Roman"/>
          <w:rtl w:val="0"/>
        </w:rPr>
        <w:t xml:space="preserve">. IIPE-UNESCO.</w:t>
      </w:r>
    </w:p>
    <w:p w:rsidR="00000000" w:rsidDel="00000000" w:rsidP="00000000" w:rsidRDefault="00000000" w:rsidRPr="00000000" w14:paraId="0000008E">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Light, M. A., y Light, I. H. (2008). The geographic expansion of Mexican immigration in the United States and its implications for local law enforcement. </w:t>
      </w:r>
      <w:r w:rsidDel="00000000" w:rsidR="00000000" w:rsidRPr="00000000">
        <w:rPr>
          <w:rFonts w:ascii="Times New Roman" w:cs="Times New Roman" w:eastAsia="Times New Roman" w:hAnsi="Times New Roman"/>
          <w:i w:val="1"/>
          <w:iCs w:val="1"/>
          <w:rtl w:val="0"/>
        </w:rPr>
        <w:t xml:space="preserve">Law Enforcement Executive Forum Journal, 8</w:t>
      </w:r>
      <w:r w:rsidDel="00000000" w:rsidR="00000000" w:rsidRPr="00000000">
        <w:rPr>
          <w:rFonts w:ascii="Times New Roman" w:cs="Times New Roman" w:eastAsia="Times New Roman" w:hAnsi="Times New Roman"/>
          <w:rtl w:val="0"/>
        </w:rPr>
        <w:t xml:space="preserve">(1), 73–82.</w:t>
      </w:r>
    </w:p>
    <w:p w:rsidR="00000000" w:rsidDel="00000000" w:rsidP="00000000" w:rsidRDefault="00000000" w:rsidRPr="00000000" w14:paraId="0000008F">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y Soprano, G. (Comps.). (2009). </w:t>
      </w:r>
      <w:r w:rsidDel="00000000" w:rsidR="00000000" w:rsidRPr="00000000">
        <w:rPr>
          <w:rFonts w:ascii="Times New Roman" w:cs="Times New Roman" w:eastAsia="Times New Roman" w:hAnsi="Times New Roman"/>
          <w:i w:val="1"/>
          <w:iCs w:val="1"/>
          <w:rtl w:val="0"/>
        </w:rPr>
        <w:t xml:space="preserve">Ideas sobre la cuestión universitaria. Aportes de la RIEPESAL al debate sobre las políticas para el sector</w:t>
      </w:r>
      <w:r w:rsidDel="00000000" w:rsidR="00000000" w:rsidRPr="00000000">
        <w:rPr>
          <w:rFonts w:ascii="Times New Roman" w:cs="Times New Roman" w:eastAsia="Times New Roman" w:hAnsi="Times New Roman"/>
          <w:rtl w:val="0"/>
        </w:rPr>
        <w:t xml:space="preserve">. Universidad Nacional de General Sarmiento.</w:t>
      </w:r>
    </w:p>
    <w:p w:rsidR="00000000" w:rsidDel="00000000" w:rsidP="00000000" w:rsidRDefault="00000000" w:rsidRPr="00000000" w14:paraId="00000090">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Marquis, C., y Toribio, D. (1998). La evaluación universitaria en la Argentina. En </w:t>
      </w:r>
      <w:r w:rsidDel="00000000" w:rsidR="00000000" w:rsidRPr="00000000">
        <w:rPr>
          <w:rFonts w:ascii="Times New Roman" w:cs="Times New Roman" w:eastAsia="Times New Roman" w:hAnsi="Times New Roman"/>
          <w:i w:val="1"/>
          <w:iCs w:val="1"/>
          <w:rtl w:val="0"/>
        </w:rPr>
        <w:t xml:space="preserve">La evaluación de la educación superior en América Latina</w:t>
      </w:r>
      <w:r w:rsidDel="00000000" w:rsidR="00000000" w:rsidRPr="00000000">
        <w:rPr>
          <w:rFonts w:ascii="Times New Roman" w:cs="Times New Roman" w:eastAsia="Times New Roman" w:hAnsi="Times New Roman"/>
          <w:rtl w:val="0"/>
        </w:rPr>
        <w:t xml:space="preserve"> (pp. 15–32). Secretaría de Políticas Universitarias.</w:t>
      </w:r>
    </w:p>
    <w:p w:rsidR="00000000" w:rsidDel="00000000" w:rsidP="00000000" w:rsidRDefault="00000000" w:rsidRPr="00000000" w14:paraId="00000091">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Montes, N. (2022). </w:t>
      </w:r>
      <w:r w:rsidDel="00000000" w:rsidR="00000000" w:rsidRPr="00000000">
        <w:rPr>
          <w:rFonts w:ascii="Times New Roman" w:cs="Times New Roman" w:eastAsia="Times New Roman" w:hAnsi="Times New Roman"/>
          <w:i w:val="1"/>
          <w:iCs w:val="1"/>
          <w:rtl w:val="0"/>
        </w:rPr>
        <w:t xml:space="preserve">Usos de los sistemas de información en el planeamiento y gestión de políticas educativas en América Latina: Informe regional</w:t>
      </w:r>
      <w:r w:rsidDel="00000000" w:rsidR="00000000" w:rsidRPr="00000000">
        <w:rPr>
          <w:rFonts w:ascii="Times New Roman" w:cs="Times New Roman" w:eastAsia="Times New Roman" w:hAnsi="Times New Roman"/>
          <w:rtl w:val="0"/>
        </w:rPr>
        <w:t xml:space="preserve">. IIPE UNESCO, Oficina para América Latina y el Caribe.</w:t>
      </w:r>
    </w:p>
    <w:p w:rsidR="00000000" w:rsidDel="00000000" w:rsidP="00000000" w:rsidRDefault="00000000" w:rsidRPr="00000000" w14:paraId="00000092">
      <w:pPr>
        <w:spacing w:after="240" w:before="240" w:line="240" w:lineRule="auto"/>
        <w:ind w:left="708.6614173228347" w:hanging="708.6614173228347"/>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Morduchowicz, A. (2018). El fascinante mundo de los indicadores educativos: De la descripción a la explicación. </w:t>
      </w:r>
      <w:r w:rsidDel="00000000" w:rsidR="00000000" w:rsidRPr="00000000">
        <w:rPr>
          <w:rFonts w:ascii="Times New Roman" w:cs="Times New Roman" w:eastAsia="Times New Roman" w:hAnsi="Times New Roman"/>
          <w:i w:val="1"/>
          <w:iCs w:val="1"/>
          <w:rtl w:val="0"/>
        </w:rPr>
        <w:t xml:space="preserve">Propuesta Educativa, 27</w:t>
      </w:r>
      <w:r w:rsidDel="00000000" w:rsidR="00000000" w:rsidRPr="00000000">
        <w:rPr>
          <w:rFonts w:ascii="Times New Roman" w:cs="Times New Roman" w:eastAsia="Times New Roman" w:hAnsi="Times New Roman"/>
          <w:rtl w:val="0"/>
        </w:rPr>
        <w:t xml:space="preserve">(49), 8–17.</w:t>
      </w:r>
      <w:hyperlink r:id="rId16">
        <w:r w:rsidDel="00000000" w:rsidR="00000000" w:rsidRPr="00000000">
          <w:rPr>
            <w:rFonts w:ascii="Times New Roman" w:cs="Times New Roman" w:eastAsia="Times New Roman" w:hAnsi="Times New Roman"/>
            <w:rtl w:val="0"/>
          </w:rPr>
          <w:t xml:space="preserve"> </w:t>
        </w:r>
      </w:hyperlink>
      <w:hyperlink r:id="rId17">
        <w:r w:rsidDel="00000000" w:rsidR="00000000" w:rsidRPr="00000000">
          <w:rPr>
            <w:rFonts w:ascii="Times New Roman" w:cs="Times New Roman" w:eastAsia="Times New Roman" w:hAnsi="Times New Roman"/>
            <w:color w:val="1155cc"/>
            <w:u w:val="single"/>
            <w:rtl w:val="0"/>
          </w:rPr>
          <w:t xml:space="preserve">https://www.scielo.org.ar/scielo.php?script=sci_arttext&amp;pid=S1995-77852018000100003&amp;lng=es&amp;tlng=es</w:t>
        </w:r>
      </w:hyperlink>
      <w:r w:rsidDel="00000000" w:rsidR="00000000" w:rsidRPr="00000000">
        <w:rPr>
          <w:rtl w:val="0"/>
        </w:rPr>
      </w:r>
    </w:p>
    <w:p w:rsidR="00000000" w:rsidDel="00000000" w:rsidP="00000000" w:rsidRDefault="00000000" w:rsidRPr="00000000" w14:paraId="00000093">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Nicastro, S., y Greco, M. B. (2012). </w:t>
      </w:r>
      <w:r w:rsidDel="00000000" w:rsidR="00000000" w:rsidRPr="00000000">
        <w:rPr>
          <w:rFonts w:ascii="Times New Roman" w:cs="Times New Roman" w:eastAsia="Times New Roman" w:hAnsi="Times New Roman"/>
          <w:i w:val="1"/>
          <w:iCs w:val="1"/>
          <w:rtl w:val="0"/>
        </w:rPr>
        <w:t xml:space="preserve">Entre trayectorias. Escenas y pensamientos en espacios de formación</w:t>
      </w:r>
      <w:r w:rsidDel="00000000" w:rsidR="00000000" w:rsidRPr="00000000">
        <w:rPr>
          <w:rFonts w:ascii="Times New Roman" w:cs="Times New Roman" w:eastAsia="Times New Roman" w:hAnsi="Times New Roman"/>
          <w:rtl w:val="0"/>
        </w:rPr>
        <w:t xml:space="preserve">. Homo Sapiens.</w:t>
      </w:r>
    </w:p>
    <w:p w:rsidR="00000000" w:rsidDel="00000000" w:rsidP="00000000" w:rsidRDefault="00000000" w:rsidRPr="00000000" w14:paraId="00000094">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Organisation for Economic Co-operation and Development. (2013). </w:t>
      </w:r>
      <w:r w:rsidDel="00000000" w:rsidR="00000000" w:rsidRPr="00000000">
        <w:rPr>
          <w:rFonts w:ascii="Times New Roman" w:cs="Times New Roman" w:eastAsia="Times New Roman" w:hAnsi="Times New Roman"/>
          <w:i w:val="1"/>
          <w:iCs w:val="1"/>
          <w:rtl w:val="0"/>
        </w:rPr>
        <w:t xml:space="preserve">Education at a glance 2013: OECD indicators</w:t>
      </w:r>
      <w:r w:rsidDel="00000000" w:rsidR="00000000" w:rsidRPr="00000000">
        <w:rPr>
          <w:rFonts w:ascii="Times New Roman" w:cs="Times New Roman" w:eastAsia="Times New Roman" w:hAnsi="Times New Roman"/>
          <w:rtl w:val="0"/>
        </w:rPr>
        <w:t xml:space="preserve">. OECD Publishing.</w:t>
      </w:r>
    </w:p>
    <w:p w:rsidR="00000000" w:rsidDel="00000000" w:rsidP="00000000" w:rsidRDefault="00000000" w:rsidRPr="00000000" w14:paraId="00000095">
      <w:pPr>
        <w:spacing w:after="240" w:before="240" w:line="240" w:lineRule="auto"/>
        <w:ind w:left="708.6614173228347" w:hanging="708.6614173228347"/>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Ramos Torres, D. I. (2019). Los observatorios de la educación superior en América Latina y el Caribe y sus desafíos de gestión institucional. </w:t>
      </w:r>
      <w:r w:rsidDel="00000000" w:rsidR="00000000" w:rsidRPr="00000000">
        <w:rPr>
          <w:rFonts w:ascii="Times New Roman" w:cs="Times New Roman" w:eastAsia="Times New Roman" w:hAnsi="Times New Roman"/>
          <w:i w:val="1"/>
          <w:iCs w:val="1"/>
          <w:rtl w:val="0"/>
        </w:rPr>
        <w:t xml:space="preserve">Revista Educación Superior y Sociedad, 18</w:t>
      </w:r>
      <w:r w:rsidDel="00000000" w:rsidR="00000000" w:rsidRPr="00000000">
        <w:rPr>
          <w:rFonts w:ascii="Times New Roman" w:cs="Times New Roman" w:eastAsia="Times New Roman" w:hAnsi="Times New Roman"/>
          <w:rtl w:val="0"/>
        </w:rPr>
        <w:t xml:space="preserve">(18), 99–119.</w:t>
      </w:r>
      <w:hyperlink r:id="rId18">
        <w:r w:rsidDel="00000000" w:rsidR="00000000" w:rsidRPr="00000000">
          <w:rPr>
            <w:rFonts w:ascii="Times New Roman" w:cs="Times New Roman" w:eastAsia="Times New Roman" w:hAnsi="Times New Roman"/>
            <w:rtl w:val="0"/>
          </w:rPr>
          <w:t xml:space="preserve"> </w:t>
        </w:r>
      </w:hyperlink>
      <w:hyperlink r:id="rId19">
        <w:r w:rsidDel="00000000" w:rsidR="00000000" w:rsidRPr="00000000">
          <w:rPr>
            <w:rFonts w:ascii="Times New Roman" w:cs="Times New Roman" w:eastAsia="Times New Roman" w:hAnsi="Times New Roman"/>
            <w:color w:val="1155cc"/>
            <w:u w:val="single"/>
            <w:rtl w:val="0"/>
          </w:rPr>
          <w:t xml:space="preserve">https://ess.iesalc.unesco.org/index.php/ess3/article/view/8</w:t>
        </w:r>
      </w:hyperlink>
      <w:r w:rsidDel="00000000" w:rsidR="00000000" w:rsidRPr="00000000">
        <w:rPr>
          <w:rtl w:val="0"/>
        </w:rPr>
      </w:r>
    </w:p>
    <w:p w:rsidR="00000000" w:rsidDel="00000000" w:rsidP="00000000" w:rsidRDefault="00000000" w:rsidRPr="00000000" w14:paraId="00000096">
      <w:pPr>
        <w:spacing w:after="240" w:before="240" w:line="240" w:lineRule="auto"/>
        <w:ind w:left="708.6614173228347" w:hanging="708.6614173228347"/>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Reyes, E., José, G. A., y Torres Auad, L. F. (2025). </w:t>
      </w:r>
      <w:r w:rsidDel="00000000" w:rsidR="00000000" w:rsidRPr="00000000">
        <w:rPr>
          <w:rFonts w:ascii="Times New Roman" w:cs="Times New Roman" w:eastAsia="Times New Roman" w:hAnsi="Times New Roman"/>
          <w:i w:val="1"/>
          <w:iCs w:val="1"/>
          <w:rtl w:val="0"/>
        </w:rPr>
        <w:t xml:space="preserve">Buenas prácticas en la gestión de datos para la toma de decisiones estratégicas en universidades. Revisión sistemática</w:t>
      </w:r>
      <w:r w:rsidDel="00000000" w:rsidR="00000000" w:rsidRPr="00000000">
        <w:rPr>
          <w:rFonts w:ascii="Times New Roman" w:cs="Times New Roman" w:eastAsia="Times New Roman" w:hAnsi="Times New Roman"/>
          <w:rtl w:val="0"/>
        </w:rPr>
        <w:t xml:space="preserve">.</w:t>
      </w:r>
      <w:hyperlink r:id="rId20">
        <w:r w:rsidDel="00000000" w:rsidR="00000000" w:rsidRPr="00000000">
          <w:rPr>
            <w:rFonts w:ascii="Times New Roman" w:cs="Times New Roman" w:eastAsia="Times New Roman" w:hAnsi="Times New Roman"/>
            <w:rtl w:val="0"/>
          </w:rPr>
          <w:t xml:space="preserve"> </w:t>
        </w:r>
      </w:hyperlink>
      <w:hyperlink r:id="rId21">
        <w:r w:rsidDel="00000000" w:rsidR="00000000" w:rsidRPr="00000000">
          <w:rPr>
            <w:rFonts w:ascii="Times New Roman" w:cs="Times New Roman" w:eastAsia="Times New Roman" w:hAnsi="Times New Roman"/>
            <w:color w:val="1155cc"/>
            <w:u w:val="single"/>
            <w:rtl w:val="0"/>
          </w:rPr>
          <w:t xml:space="preserve">https://cedite.facet.unt.edu.ar/?page_id=206</w:t>
        </w:r>
      </w:hyperlink>
      <w:r w:rsidDel="00000000" w:rsidR="00000000" w:rsidRPr="00000000">
        <w:rPr>
          <w:rtl w:val="0"/>
        </w:rPr>
      </w:r>
    </w:p>
    <w:p w:rsidR="00000000" w:rsidDel="00000000" w:rsidP="00000000" w:rsidRDefault="00000000" w:rsidRPr="00000000" w14:paraId="00000097">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Rivas, A. (2015). </w:t>
      </w:r>
      <w:r w:rsidDel="00000000" w:rsidR="00000000" w:rsidRPr="00000000">
        <w:rPr>
          <w:rFonts w:ascii="Times New Roman" w:cs="Times New Roman" w:eastAsia="Times New Roman" w:hAnsi="Times New Roman"/>
          <w:i w:val="1"/>
          <w:iCs w:val="1"/>
          <w:rtl w:val="0"/>
        </w:rPr>
        <w:t xml:space="preserve">América Latina después de PISA: Lecciones aprendidas de la educación en siete países (2000–2015)</w:t>
      </w:r>
      <w:r w:rsidDel="00000000" w:rsidR="00000000" w:rsidRPr="00000000">
        <w:rPr>
          <w:rFonts w:ascii="Times New Roman" w:cs="Times New Roman" w:eastAsia="Times New Roman" w:hAnsi="Times New Roman"/>
          <w:rtl w:val="0"/>
        </w:rPr>
        <w:t xml:space="preserve">. CIPPEC, Natura e Instituto Natura.</w:t>
      </w:r>
    </w:p>
    <w:p w:rsidR="00000000" w:rsidDel="00000000" w:rsidP="00000000" w:rsidRDefault="00000000" w:rsidRPr="00000000" w14:paraId="00000098">
      <w:pPr>
        <w:spacing w:after="240" w:before="240" w:line="240" w:lineRule="auto"/>
        <w:ind w:left="708.6614173228347" w:hanging="708.6614173228347"/>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Schmid, H.-J. (Ed.). (2017). </w:t>
      </w:r>
      <w:r w:rsidDel="00000000" w:rsidR="00000000" w:rsidRPr="00000000">
        <w:rPr>
          <w:rFonts w:ascii="Times New Roman" w:cs="Times New Roman" w:eastAsia="Times New Roman" w:hAnsi="Times New Roman"/>
          <w:i w:val="1"/>
          <w:iCs w:val="1"/>
          <w:rtl w:val="0"/>
        </w:rPr>
        <w:t xml:space="preserve">Entrenchment and the psychology of language learning: How we reorganize and adapt linguistic knowledge</w:t>
      </w:r>
      <w:r w:rsidDel="00000000" w:rsidR="00000000" w:rsidRPr="00000000">
        <w:rPr>
          <w:rFonts w:ascii="Times New Roman" w:cs="Times New Roman" w:eastAsia="Times New Roman" w:hAnsi="Times New Roman"/>
          <w:rtl w:val="0"/>
        </w:rPr>
        <w:t xml:space="preserve">. American Psychological Association &amp; De Gruyter Mouton.</w:t>
      </w:r>
      <w:hyperlink r:id="rId22">
        <w:r w:rsidDel="00000000" w:rsidR="00000000" w:rsidRPr="00000000">
          <w:rPr>
            <w:rFonts w:ascii="Times New Roman" w:cs="Times New Roman" w:eastAsia="Times New Roman" w:hAnsi="Times New Roman"/>
            <w:rtl w:val="0"/>
          </w:rPr>
          <w:t xml:space="preserve"> </w:t>
        </w:r>
      </w:hyperlink>
      <w:hyperlink r:id="rId23">
        <w:r w:rsidDel="00000000" w:rsidR="00000000" w:rsidRPr="00000000">
          <w:rPr>
            <w:rFonts w:ascii="Times New Roman" w:cs="Times New Roman" w:eastAsia="Times New Roman" w:hAnsi="Times New Roman"/>
            <w:color w:val="1155cc"/>
            <w:u w:val="single"/>
            <w:rtl w:val="0"/>
          </w:rPr>
          <w:t xml:space="preserve">https://doi.org/10.1037/15969-000</w:t>
        </w:r>
      </w:hyperlink>
      <w:r w:rsidDel="00000000" w:rsidR="00000000" w:rsidRPr="00000000">
        <w:rPr>
          <w:rtl w:val="0"/>
        </w:rPr>
      </w:r>
    </w:p>
    <w:p w:rsidR="00000000" w:rsidDel="00000000" w:rsidP="00000000" w:rsidRDefault="00000000" w:rsidRPr="00000000" w14:paraId="00000099">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Secretaría de Políticas Universitarias. (2020). </w:t>
      </w:r>
      <w:r w:rsidDel="00000000" w:rsidR="00000000" w:rsidRPr="00000000">
        <w:rPr>
          <w:rFonts w:ascii="Times New Roman" w:cs="Times New Roman" w:eastAsia="Times New Roman" w:hAnsi="Times New Roman"/>
          <w:i w:val="1"/>
          <w:iCs w:val="1"/>
          <w:rtl w:val="0"/>
        </w:rPr>
        <w:t xml:space="preserve">Anuario de estadísticas universitarias argentinas</w:t>
      </w:r>
      <w:r w:rsidDel="00000000" w:rsidR="00000000" w:rsidRPr="00000000">
        <w:rPr>
          <w:rFonts w:ascii="Times New Roman" w:cs="Times New Roman" w:eastAsia="Times New Roman" w:hAnsi="Times New Roman"/>
          <w:rtl w:val="0"/>
        </w:rPr>
        <w:t xml:space="preserve">. Ministerio de Educación.</w:t>
      </w:r>
    </w:p>
    <w:p w:rsidR="00000000" w:rsidDel="00000000" w:rsidP="00000000" w:rsidRDefault="00000000" w:rsidRPr="00000000" w14:paraId="0000009A">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Sigal, V., y Dávila, M. (2005). </w:t>
      </w:r>
      <w:r w:rsidDel="00000000" w:rsidR="00000000" w:rsidRPr="00000000">
        <w:rPr>
          <w:rFonts w:ascii="Times New Roman" w:cs="Times New Roman" w:eastAsia="Times New Roman" w:hAnsi="Times New Roman"/>
          <w:i w:val="1"/>
          <w:iCs w:val="1"/>
          <w:rtl w:val="0"/>
        </w:rPr>
        <w:t xml:space="preserve">La educación superior no universitaria argentina</w:t>
      </w:r>
      <w:r w:rsidDel="00000000" w:rsidR="00000000" w:rsidRPr="00000000">
        <w:rPr>
          <w:rFonts w:ascii="Times New Roman" w:cs="Times New Roman" w:eastAsia="Times New Roman" w:hAnsi="Times New Roman"/>
          <w:rtl w:val="0"/>
        </w:rPr>
        <w:t xml:space="preserve">. Siglo XXI.</w:t>
      </w:r>
    </w:p>
    <w:p w:rsidR="00000000" w:rsidDel="00000000" w:rsidP="00000000" w:rsidRDefault="00000000" w:rsidRPr="00000000" w14:paraId="0000009B">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Stapley, A. (2018). Liofilización. En J. A. Evans (Ed.), </w:t>
      </w:r>
      <w:r w:rsidDel="00000000" w:rsidR="00000000" w:rsidRPr="00000000">
        <w:rPr>
          <w:rFonts w:ascii="Times New Roman" w:cs="Times New Roman" w:eastAsia="Times New Roman" w:hAnsi="Times New Roman"/>
          <w:i w:val="1"/>
          <w:iCs w:val="1"/>
          <w:rtl w:val="0"/>
        </w:rPr>
        <w:t xml:space="preserve">Ciencia y tecnología de los alimentos congelados</w:t>
      </w:r>
      <w:r w:rsidDel="00000000" w:rsidR="00000000" w:rsidRPr="00000000">
        <w:rPr>
          <w:rFonts w:ascii="Times New Roman" w:cs="Times New Roman" w:eastAsia="Times New Roman" w:hAnsi="Times New Roman"/>
          <w:rtl w:val="0"/>
        </w:rPr>
        <w:t xml:space="preserve"> (pp. 305–336). Acribia.</w:t>
      </w:r>
    </w:p>
    <w:p w:rsidR="00000000" w:rsidDel="00000000" w:rsidP="00000000" w:rsidRDefault="00000000" w:rsidRPr="00000000" w14:paraId="0000009C">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Terigi, F. (2009). </w:t>
      </w:r>
      <w:r w:rsidDel="00000000" w:rsidR="00000000" w:rsidRPr="00000000">
        <w:rPr>
          <w:rFonts w:ascii="Times New Roman" w:cs="Times New Roman" w:eastAsia="Times New Roman" w:hAnsi="Times New Roman"/>
          <w:i w:val="1"/>
          <w:iCs w:val="1"/>
          <w:rtl w:val="0"/>
        </w:rPr>
        <w:t xml:space="preserve">Las trayectorias escolares. Del problema individual al desafío </w:t>
      </w:r>
      <w:r w:rsidDel="00000000" w:rsidR="00000000" w:rsidRPr="00000000">
        <w:rPr>
          <w:rFonts w:ascii="Times New Roman" w:cs="Times New Roman" w:eastAsia="Times New Roman" w:hAnsi="Times New Roman"/>
          <w:i w:val="1"/>
          <w:iCs w:val="1"/>
          <w:rtl w:val="0"/>
        </w:rPr>
        <w:t xml:space="preserve">de política</w:t>
      </w:r>
      <w:r w:rsidDel="00000000" w:rsidR="00000000" w:rsidRPr="00000000">
        <w:rPr>
          <w:rFonts w:ascii="Times New Roman" w:cs="Times New Roman" w:eastAsia="Times New Roman" w:hAnsi="Times New Roman"/>
          <w:i w:val="1"/>
          <w:iCs w:val="1"/>
          <w:rtl w:val="0"/>
        </w:rPr>
        <w:t xml:space="preserve"> educativa</w:t>
      </w:r>
      <w:r w:rsidDel="00000000" w:rsidR="00000000" w:rsidRPr="00000000">
        <w:rPr>
          <w:rFonts w:ascii="Times New Roman" w:cs="Times New Roman" w:eastAsia="Times New Roman" w:hAnsi="Times New Roman"/>
          <w:rtl w:val="0"/>
        </w:rPr>
        <w:t xml:space="preserve">. OEA/Ministerio de Educación de la Nación.</w:t>
      </w:r>
    </w:p>
    <w:p w:rsidR="00000000" w:rsidDel="00000000" w:rsidP="00000000" w:rsidRDefault="00000000" w:rsidRPr="00000000" w14:paraId="0000009D">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Terigi, F. (2010). </w:t>
      </w:r>
      <w:r w:rsidDel="00000000" w:rsidR="00000000" w:rsidRPr="00000000">
        <w:rPr>
          <w:rFonts w:ascii="Times New Roman" w:cs="Times New Roman" w:eastAsia="Times New Roman" w:hAnsi="Times New Roman"/>
          <w:i w:val="1"/>
          <w:iCs w:val="1"/>
          <w:rtl w:val="0"/>
        </w:rPr>
        <w:t xml:space="preserve">Las cronologías de aprendizaje: Un concepto para pensar las trayectorias escolares</w:t>
      </w:r>
      <w:r w:rsidDel="00000000" w:rsidR="00000000" w:rsidRPr="00000000">
        <w:rPr>
          <w:rFonts w:ascii="Times New Roman" w:cs="Times New Roman" w:eastAsia="Times New Roman" w:hAnsi="Times New Roman"/>
          <w:rtl w:val="0"/>
        </w:rPr>
        <w:t xml:space="preserve"> [Conferencia]. Jornada de Apertura del Ciclo Lectivo 2010.</w:t>
      </w:r>
    </w:p>
    <w:p w:rsidR="00000000" w:rsidDel="00000000" w:rsidP="00000000" w:rsidRDefault="00000000" w:rsidRPr="00000000" w14:paraId="0000009E">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Tiana Ferrer, A. (1997). La evaluación de los sistemas educativos. </w:t>
      </w:r>
      <w:r w:rsidDel="00000000" w:rsidR="00000000" w:rsidRPr="00000000">
        <w:rPr>
          <w:rFonts w:ascii="Times New Roman" w:cs="Times New Roman" w:eastAsia="Times New Roman" w:hAnsi="Times New Roman"/>
          <w:i w:val="1"/>
          <w:iCs w:val="1"/>
          <w:rtl w:val="0"/>
        </w:rPr>
        <w:t xml:space="preserve">Revista Iberoamericana de Educación, 10</w:t>
      </w:r>
      <w:r w:rsidDel="00000000" w:rsidR="00000000" w:rsidRPr="00000000">
        <w:rPr>
          <w:rFonts w:ascii="Times New Roman" w:cs="Times New Roman" w:eastAsia="Times New Roman" w:hAnsi="Times New Roman"/>
          <w:rtl w:val="0"/>
        </w:rPr>
        <w:t xml:space="preserve">, 37–61.</w:t>
      </w:r>
    </w:p>
    <w:p w:rsidR="00000000" w:rsidDel="00000000" w:rsidP="00000000" w:rsidRDefault="00000000" w:rsidRPr="00000000" w14:paraId="0000009F">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Tinto, V. (1987). </w:t>
      </w:r>
      <w:r w:rsidDel="00000000" w:rsidR="00000000" w:rsidRPr="00000000">
        <w:rPr>
          <w:rFonts w:ascii="Times New Roman" w:cs="Times New Roman" w:eastAsia="Times New Roman" w:hAnsi="Times New Roman"/>
          <w:i w:val="1"/>
          <w:iCs w:val="1"/>
          <w:rtl w:val="0"/>
        </w:rPr>
        <w:t xml:space="preserve">El abandono de los estudios superiores</w:t>
      </w:r>
      <w:r w:rsidDel="00000000" w:rsidR="00000000" w:rsidRPr="00000000">
        <w:rPr>
          <w:rFonts w:ascii="Times New Roman" w:cs="Times New Roman" w:eastAsia="Times New Roman" w:hAnsi="Times New Roman"/>
          <w:rtl w:val="0"/>
        </w:rPr>
        <w:t xml:space="preserve"> (trad. esp.). UNAM/ANUIES.</w:t>
      </w:r>
    </w:p>
    <w:p w:rsidR="00000000" w:rsidDel="00000000" w:rsidP="00000000" w:rsidRDefault="00000000" w:rsidRPr="00000000" w14:paraId="000000A0">
      <w:pPr>
        <w:spacing w:after="240" w:before="240" w:line="240" w:lineRule="auto"/>
        <w:ind w:left="708.6614173228347" w:hanging="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Tinto, V. (1993). </w:t>
      </w:r>
      <w:r w:rsidDel="00000000" w:rsidR="00000000" w:rsidRPr="00000000">
        <w:rPr>
          <w:rFonts w:ascii="Times New Roman" w:cs="Times New Roman" w:eastAsia="Times New Roman" w:hAnsi="Times New Roman"/>
          <w:i w:val="1"/>
          <w:iCs w:val="1"/>
          <w:rtl w:val="0"/>
        </w:rPr>
        <w:t xml:space="preserve">Leaving college: Rethinking the causes and cures of student attrition</w:t>
      </w:r>
      <w:r w:rsidDel="00000000" w:rsidR="00000000" w:rsidRPr="00000000">
        <w:rPr>
          <w:rFonts w:ascii="Times New Roman" w:cs="Times New Roman" w:eastAsia="Times New Roman" w:hAnsi="Times New Roman"/>
          <w:rtl w:val="0"/>
        </w:rPr>
        <w:t xml:space="preserve"> (2nd ed.). University of Chicago Press.</w:t>
      </w:r>
    </w:p>
    <w:p w:rsidR="00000000" w:rsidDel="00000000" w:rsidP="00000000" w:rsidRDefault="00000000" w:rsidRPr="00000000" w14:paraId="000000A1">
      <w:pPr>
        <w:spacing w:after="240" w:before="240" w:line="240" w:lineRule="auto"/>
        <w:ind w:left="708.661417322834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8">
      <w:pPr>
        <w:spacing w:line="240" w:lineRule="auto"/>
        <w:jc w:val="center"/>
        <w:rPr>
          <w:rFonts w:ascii="Times New Roman" w:cs="Times New Roman" w:eastAsia="Times New Roman" w:hAnsi="Times New Roman"/>
        </w:rPr>
      </w:pPr>
      <w:r w:rsidDel="00000000" w:rsidR="00000000" w:rsidRPr="00000000">
        <w:rPr>
          <w:rtl w:val="0"/>
        </w:rPr>
      </w:r>
    </w:p>
    <w:sectPr>
      <w:headerReference r:id="rId24" w:type="default"/>
      <w:footerReference r:id="rId25"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cedite.facet.unt.edu.ar/?page_id=206" TargetMode="External"/><Relationship Id="rId22" Type="http://schemas.openxmlformats.org/officeDocument/2006/relationships/hyperlink" Target="https://doi.org/10.1037/15969-000" TargetMode="External"/><Relationship Id="rId21" Type="http://schemas.openxmlformats.org/officeDocument/2006/relationships/hyperlink" Target="https://cedite.facet.unt.edu.ar/?page_id=206" TargetMode="External"/><Relationship Id="rId24" Type="http://schemas.openxmlformats.org/officeDocument/2006/relationships/header" Target="header1.xml"/><Relationship Id="rId23" Type="http://schemas.openxmlformats.org/officeDocument/2006/relationships/hyperlink" Target="https://doi.org/10.1037/15969-00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vcarrodellavalle@frba.utn.edu.ar"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lsareyes@frba.utn.edu.ar" TargetMode="External"/><Relationship Id="rId8" Type="http://schemas.openxmlformats.org/officeDocument/2006/relationships/hyperlink" Target="mailto:crodrigo@frba.utn.edu.ar" TargetMode="External"/><Relationship Id="rId11" Type="http://schemas.openxmlformats.org/officeDocument/2006/relationships/hyperlink" Target="mailto:ericciolini@frba.utn.edu.ar" TargetMode="External"/><Relationship Id="rId10" Type="http://schemas.openxmlformats.org/officeDocument/2006/relationships/hyperlink" Target="mailto:gkrechuck@frba.utn.edu.ar" TargetMode="External"/><Relationship Id="rId13" Type="http://schemas.openxmlformats.org/officeDocument/2006/relationships/hyperlink" Target="mailto:vbottini@frba.utn.edu.ar" TargetMode="External"/><Relationship Id="rId12" Type="http://schemas.openxmlformats.org/officeDocument/2006/relationships/hyperlink" Target="mailto:francisco.delellis@frba.utn.edu.ar" TargetMode="External"/><Relationship Id="rId15" Type="http://schemas.openxmlformats.org/officeDocument/2006/relationships/hyperlink" Target="http://www.redalyc.org/articulo.oa?id=179414895002" TargetMode="External"/><Relationship Id="rId14" Type="http://schemas.openxmlformats.org/officeDocument/2006/relationships/hyperlink" Target="http://www.redalyc.org/articulo.oa?id=179414895002" TargetMode="External"/><Relationship Id="rId17" Type="http://schemas.openxmlformats.org/officeDocument/2006/relationships/hyperlink" Target="https://www.scielo.org.ar/scielo.php?script=sci_arttext&amp;pid=S1995-77852018000100003&amp;lng=es&amp;tlng=es" TargetMode="External"/><Relationship Id="rId16" Type="http://schemas.openxmlformats.org/officeDocument/2006/relationships/hyperlink" Target="https://www.scielo.org.ar/scielo.php?script=sci_arttext&amp;pid=S1995-77852018000100003&amp;lng=es&amp;tlng=es" TargetMode="External"/><Relationship Id="rId19" Type="http://schemas.openxmlformats.org/officeDocument/2006/relationships/hyperlink" Target="https://ess.iesalc.unesco.org/index.php/ess3/article/view/8" TargetMode="External"/><Relationship Id="rId18" Type="http://schemas.openxmlformats.org/officeDocument/2006/relationships/hyperlink" Target="https://ess.iesalc.unesco.org/index.php/ess3/article/view/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lREgJaB4/nfTtcnqsJhljWIDAQ==">CgMxLjA4AHIhMTJ5M3BlTFJpQUlaQWNvMEstSHluSExoTEJxNGZLVjl0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