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cs="Times New Roman"/>
        </w:rPr>
      </w:pPr>
      <w:bookmarkStart w:id="0" w:name="docs-internal-guid-bc4e368d-7fff-a032-4a"/>
      <w:bookmarkEnd w:id="0"/>
      <w:r>
        <w:rPr>
          <w:rFonts w:cs="Times New Roman" w:ascii="Times New Roman" w:hAnsi="Times New Roman"/>
          <w:b/>
          <w:bCs/>
          <w:i w:val="false"/>
          <w:caps w:val="false"/>
          <w:smallCaps w:val="false"/>
          <w:strike w:val="false"/>
          <w:dstrike w:val="false"/>
          <w:color w:val="000000"/>
          <w:sz w:val="24"/>
          <w:szCs w:val="24"/>
          <w:u w:val="none"/>
          <w:effect w:val="none"/>
          <w:shd w:fill="FFFFFF" w:val="clear"/>
        </w:rPr>
        <w:t>Desafíos para la Extensión en el ISEF, tras la implementación de un plan desarrollo.</w:t>
      </w:r>
      <w:r>
        <w:rPr>
          <w:rFonts w:cs="Times New Roman" w:ascii="Times New Roman" w:hAnsi="Times New Roman"/>
          <w:b/>
          <w:bCs/>
          <w:sz w:val="24"/>
          <w:szCs w:val="24"/>
        </w:rPr>
        <w:t xml:space="preserve"> </w:t>
      </w:r>
    </w:p>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BodyText"/>
        <w:spacing w:lineRule="auto" w:line="240" w:before="0" w:after="0"/>
        <w:jc w:val="right"/>
        <w:rPr>
          <w:rFonts w:ascii="Times New Roman" w:hAnsi="Times New Roman"/>
          <w:b w:val="false"/>
          <w:i w:val="false"/>
          <w:caps w:val="false"/>
          <w:smallCaps w:val="false"/>
          <w:strike w:val="false"/>
          <w:dstrike w:val="false"/>
          <w:color w:val="000000"/>
          <w:sz w:val="24"/>
          <w:u w:val="none"/>
          <w:effect w:val="none"/>
          <w:shd w:fill="auto" w:val="clear"/>
        </w:rPr>
      </w:pPr>
      <w:r>
        <w:rPr>
          <w:rFonts w:cs="Times New Roman" w:ascii="Times New Roman" w:hAnsi="Times New Roman"/>
          <w:b w:val="false"/>
          <w:i w:val="false"/>
          <w:caps w:val="false"/>
          <w:smallCaps w:val="false"/>
          <w:strike w:val="false"/>
          <w:dstrike w:val="false"/>
          <w:color w:val="000000"/>
          <w:sz w:val="24"/>
          <w:u w:val="none"/>
          <w:effect w:val="none"/>
          <w:shd w:fill="auto" w:val="clear"/>
        </w:rPr>
        <w:t>R</w:t>
      </w:r>
      <w:r>
        <w:rPr>
          <w:rFonts w:cs="Times New Roman" w:ascii="Times New Roman" w:hAnsi="Times New Roman"/>
          <w:b w:val="false"/>
          <w:i w:val="false"/>
          <w:caps w:val="false"/>
          <w:smallCaps w:val="false"/>
          <w:strike w:val="false"/>
          <w:dstrike w:val="false"/>
          <w:color w:val="000000"/>
          <w:sz w:val="24"/>
          <w:u w:val="none"/>
          <w:effect w:val="none"/>
          <w:shd w:fill="auto" w:val="clear"/>
        </w:rPr>
        <w:t>íos Camilo</w:t>
      </w:r>
    </w:p>
    <w:p>
      <w:pPr>
        <w:pStyle w:val="BodyText"/>
        <w:bidi w:val="0"/>
        <w:spacing w:lineRule="auto" w:line="240" w:before="0" w:after="0"/>
        <w:ind w:hanging="0" w:left="0" w:right="0"/>
        <w:jc w:val="right"/>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Instituto Superior de Educación Física - Universidad de la República (UdelaR)</w:t>
      </w:r>
    </w:p>
    <w:p>
      <w:pPr>
        <w:pStyle w:val="BodyText"/>
        <w:bidi w:val="0"/>
        <w:spacing w:lineRule="auto" w:line="240" w:before="68" w:after="142"/>
        <w:ind w:hanging="0" w:left="0" w:right="0"/>
        <w:jc w:val="right"/>
        <w:rPr/>
      </w:pPr>
      <w:hyperlink r:id="rId3">
        <w:r>
          <w:rPr>
            <w:rStyle w:val="Hyperlink"/>
            <w:rFonts w:ascii="Times New Roman" w:hAnsi="Times New Roman"/>
            <w:b w:val="false"/>
            <w:i w:val="false"/>
            <w:caps w:val="false"/>
            <w:smallCaps w:val="false"/>
            <w:strike w:val="false"/>
            <w:dstrike w:val="false"/>
            <w:color w:val="000000"/>
            <w:sz w:val="24"/>
            <w:u w:val="none"/>
            <w:effect w:val="none"/>
            <w:shd w:fill="auto" w:val="clear"/>
          </w:rPr>
          <w:t>camilo.rios90@gmail.com</w:t>
        </w:r>
      </w:hyperlink>
    </w:p>
    <w:p>
      <w:pPr>
        <w:pStyle w:val="BodyText"/>
        <w:bidi w:val="0"/>
        <w:spacing w:lineRule="auto" w:line="240" w:before="68" w:after="142"/>
        <w:ind w:hanging="0" w:left="0" w:right="0"/>
        <w:jc w:val="right"/>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r>
    </w:p>
    <w:p>
      <w:pPr>
        <w:pStyle w:val="Normal"/>
        <w:spacing w:lineRule="auto" w:line="240" w:before="0" w:after="0"/>
        <w:jc w:val="right"/>
        <w:rPr>
          <w:rFonts w:ascii="Times New Roman" w:hAnsi="Times New Roman"/>
        </w:rPr>
      </w:pPr>
      <w:r>
        <w:rPr>
          <w:rFonts w:ascii="Times New Roman" w:hAnsi="Times New Roman"/>
        </w:rPr>
      </w:r>
    </w:p>
    <w:p>
      <w:pPr>
        <w:pStyle w:val="BodyText"/>
        <w:spacing w:lineRule="auto" w:line="240" w:before="0" w:after="198"/>
        <w:jc w:val="left"/>
        <w:rPr>
          <w:rFonts w:ascii="Times New Roman" w:hAnsi="Times New Roman"/>
          <w:b/>
          <w:i w:val="false"/>
          <w:caps w:val="false"/>
          <w:smallCaps w:val="false"/>
          <w:strike w:val="false"/>
          <w:dstrike w:val="false"/>
          <w:color w:val="000000"/>
          <w:sz w:val="24"/>
          <w:u w:val="none"/>
          <w:effect w:val="none"/>
          <w:shd w:fill="FFFFFF" w:val="clear"/>
        </w:rPr>
      </w:pPr>
      <w:bookmarkStart w:id="1" w:name="docs-internal-guid-9deb5ea7-7fff-5a58-50"/>
      <w:bookmarkEnd w:id="1"/>
      <w:r>
        <w:rPr>
          <w:rFonts w:cs="Times New Roman" w:ascii="Times New Roman" w:hAnsi="Times New Roman"/>
          <w:b/>
          <w:i w:val="false"/>
          <w:caps w:val="false"/>
          <w:smallCaps w:val="false"/>
          <w:strike w:val="false"/>
          <w:dstrike w:val="false"/>
          <w:color w:val="000000"/>
          <w:sz w:val="24"/>
          <w:u w:val="none"/>
          <w:effect w:val="none"/>
          <w:shd w:fill="FFFFFF" w:val="clear"/>
          <w:lang w:val="pt-BR"/>
        </w:rPr>
        <w:t>Resumen</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FFFFFF" w:val="clear"/>
        </w:rPr>
      </w:pPr>
      <w:r>
        <w:rPr>
          <w:rFonts w:ascii="Times New Roman" w:hAnsi="Times New Roman"/>
          <w:b w:val="false"/>
          <w:i w:val="false"/>
          <w:caps w:val="false"/>
          <w:smallCaps w:val="false"/>
          <w:strike w:val="false"/>
          <w:dstrike w:val="false"/>
          <w:color w:val="000000"/>
          <w:sz w:val="24"/>
          <w:u w:val="none"/>
          <w:effect w:val="none"/>
          <w:shd w:fill="FFFFFF" w:val="clear"/>
        </w:rPr>
        <w:t>En los últimos años, el Instituto Superior de Educación Física (ISEF), de la Universidad de la República (UdelaR) se propuso desarrollar un Plan Quinquenal de Desarrollo de la Extensión 2021-2025, para impulsar la extensión en el servicio. El mismo contó con la definición de una serie de objetivos que desprendían acciones en diferentes líneas de trabajo, considerando la formalización de la extensión para docentes y estudiantes; la generación de espacios de formación conceptual y metodológica de esta función universitaria; el vínculo con actores sociales con los que abordar diferentes problemáticas sociales; la producción de conocimiento a partir de las experiencias desarrolladas. Tras la finalización del período en el que que se había planteado el plan quinquenal, la Unidad de Apoyo a la Extensión (UAEx-ISEF) realizó un trabajo de revisión y análisis, sistematizado en la elaboración de un informe que buscó arrojar una mirada sobre el estado actual de la extensión en el servicio. En el mismo, se identifica la potencialidad de ciertas acciones generadas y sostenidas en el tiempo que lograron visibilizar la función y aumentar la participación de docentes y estudiantes, a partir de Espacios de Formación Integral (EFIs), Proyectos de Extensión y Actividades en el Medio. A la vez, se reconocen ámbitos en los que la extensión no logra vínculos significativos y acciones que aún no llegan a ser abordadas. Se identifican obstáculos y debilidades que persisten y continúan siendo objetos de discusión y desafío institucional. En esta línea, es que se propone profundizar en la problematización de las consideraciones finales planteadas en el informe realizado en 2025, en el que se identifican desafíos en cuanto a la formación y conceptualización de la extensión, la participación estudiantil en los proyectos y espacios generados para su formación y la disponibilidad presupuestaria para sostener e impulsar el desarrollo de la función. La situación planteada, se da en un contexto institucional en el que se producen una serie de cambios que, en algún punto, también presenta repercusiones sobre el desarrollo de la función en el servicio. Por un lado, el cambio de las autoridades que llevan adelante la dirección del ISEF, y por otra parte, una modificación en la organización institucional de las unidades de apoyo a las funciones, en el que la UAEx-ISEF pasa a formar parte de la Unidad de Apoyo a la Gestión Institucional (UAGI) y se constituye en una subunidad dentro de la misma.</w:t>
      </w:r>
    </w:p>
    <w:p>
      <w:pPr>
        <w:pStyle w:val="BodyText"/>
        <w:bidi w:val="0"/>
        <w:spacing w:lineRule="auto" w:line="240" w:before="0" w:after="198"/>
        <w:ind w:hanging="0" w:left="0" w:right="0"/>
        <w:jc w:val="both"/>
        <w:rPr>
          <w:rFonts w:ascii="Times New Roman" w:hAnsi="Times New Roman"/>
        </w:rPr>
      </w:pPr>
      <w:r>
        <w:rPr>
          <w:rFonts w:ascii="Times New Roman" w:hAnsi="Times New Roman"/>
          <w:b/>
          <w:i w:val="false"/>
          <w:caps w:val="false"/>
          <w:smallCaps w:val="false"/>
          <w:strike w:val="false"/>
          <w:dstrike w:val="false"/>
          <w:color w:val="000000"/>
          <w:sz w:val="24"/>
          <w:u w:val="none"/>
          <w:effect w:val="none"/>
          <w:shd w:fill="FFFFFF" w:val="clear"/>
        </w:rPr>
        <w:t xml:space="preserve">Palabras claves: </w:t>
      </w:r>
      <w:r>
        <w:rPr>
          <w:rFonts w:ascii="Times New Roman" w:hAnsi="Times New Roman"/>
          <w:b w:val="false"/>
          <w:i w:val="false"/>
          <w:caps w:val="false"/>
          <w:smallCaps w:val="false"/>
          <w:strike w:val="false"/>
          <w:dstrike w:val="false"/>
          <w:color w:val="000000"/>
          <w:sz w:val="24"/>
          <w:u w:val="none"/>
          <w:effect w:val="none"/>
          <w:shd w:fill="FFFFFF" w:val="clear"/>
        </w:rPr>
        <w:t>Extensión, Universidad, Políticas Institucionales</w:t>
      </w:r>
    </w:p>
    <w:p>
      <w:pPr>
        <w:pStyle w:val="BodyText"/>
        <w:bidi w:val="0"/>
        <w:spacing w:lineRule="auto" w:line="240" w:before="68" w:after="198"/>
        <w:ind w:hanging="0" w:left="0" w:right="0"/>
        <w:jc w:val="both"/>
        <w:rPr>
          <w:b/>
          <w:i w:val="false"/>
          <w:caps w:val="false"/>
          <w:smallCaps w:val="false"/>
          <w:strike w:val="false"/>
          <w:dstrike w:val="false"/>
          <w:color w:val="000000"/>
          <w:sz w:val="24"/>
          <w:u w:val="none"/>
          <w:effect w:val="none"/>
          <w:shd w:fill="FFFFFF" w:val="clear"/>
        </w:rPr>
      </w:pPr>
      <w:r>
        <w:rPr>
          <w:rFonts w:ascii="Times New Roman" w:hAnsi="Times New Roman"/>
        </w:rPr>
      </w:r>
    </w:p>
    <w:p>
      <w:pPr>
        <w:pStyle w:val="BodyText"/>
        <w:bidi w:val="0"/>
        <w:spacing w:lineRule="auto" w:line="240" w:before="68" w:after="198"/>
        <w:ind w:hanging="0" w:left="0" w:right="0"/>
        <w:jc w:val="both"/>
        <w:rPr>
          <w:rFonts w:ascii="Times New Roman" w:hAnsi="Times New Roman"/>
        </w:rPr>
      </w:pPr>
      <w:r>
        <w:rPr>
          <w:rFonts w:ascii="Times New Roman" w:hAnsi="Times New Roman"/>
          <w:b/>
          <w:i w:val="false"/>
          <w:caps w:val="false"/>
          <w:smallCaps w:val="false"/>
          <w:strike w:val="false"/>
          <w:dstrike w:val="false"/>
          <w:color w:val="000000"/>
          <w:sz w:val="24"/>
          <w:u w:val="none"/>
          <w:effect w:val="none"/>
          <w:shd w:fill="FFFFFF" w:val="clear"/>
        </w:rPr>
        <w:t>Introducción</w:t>
      </w:r>
    </w:p>
    <w:p>
      <w:pPr>
        <w:pStyle w:val="BodyText"/>
        <w:bidi w:val="0"/>
        <w:spacing w:lineRule="auto" w:line="240" w:before="68" w:after="198"/>
        <w:ind w:hanging="0" w:left="0" w:right="0"/>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FFFFFF" w:val="clear"/>
        </w:rPr>
        <w:t>En el presente artículo se propone presentar el análisis realizado a partir del relevamiento y la sistematización de información en relación al desarrollo de la extensión en el ISEF, en el marco de la implementación del Plan de Desarrollo Quinquenal de la Extensión 2021-2025 impulsado por la Unidad de Apoyo a la Extensión de ISEF.</w:t>
      </w:r>
    </w:p>
    <w:p>
      <w:pPr>
        <w:pStyle w:val="BodyText"/>
        <w:bidi w:val="0"/>
        <w:spacing w:lineRule="auto" w:line="240" w:before="0" w:after="198"/>
        <w:ind w:hanging="0" w:left="0" w:right="57"/>
        <w:jc w:val="both"/>
        <w:rPr>
          <w:rFonts w:ascii="Times New Roman" w:hAnsi="Times New Roman"/>
        </w:rPr>
      </w:pPr>
      <w:r>
        <w:rPr>
          <w:rFonts w:ascii="Times New Roman" w:hAnsi="Times New Roman"/>
          <w:b/>
          <w:i w:val="false"/>
          <w:caps w:val="false"/>
          <w:smallCaps w:val="false"/>
          <w:strike w:val="false"/>
          <w:dstrike w:val="false"/>
          <w:color w:val="000000"/>
          <w:sz w:val="24"/>
          <w:u w:val="none"/>
          <w:effect w:val="none"/>
          <w:shd w:fill="FFFFFF" w:val="clear"/>
        </w:rPr>
        <w:t>Antecedentes de cómo se llega a la conformación del Plan Quinquenal de Desarrollo de la Extensión 2021-2025</w:t>
      </w:r>
    </w:p>
    <w:p>
      <w:pPr>
        <w:pStyle w:val="BodyText"/>
        <w:bidi w:val="0"/>
        <w:spacing w:lineRule="auto" w:line="240" w:before="0" w:after="198"/>
        <w:ind w:hanging="0" w:left="0" w:right="0"/>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FFFFFF" w:val="clear"/>
        </w:rPr>
        <w:t>Por resolución de la Comisión Directiva del 21 de junio de 2019, el ISEF comenzó un trabajo de revisión y proyección de la función de extensión universitaria. Su cometido fue impulsar y expandir las acciones de extensión como parte del proceso de desarrollo académico en la institución. A estos efectos se propuso iniciar la elaboración de un plan de desarrollo institucional a largo plazo, que proporcione orientaciones para su fortalecimiento en el servicio, apostando a su desarrollo como componente relevante en la consolidación de la Educación Física como campo académico.</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FFFFFF" w:val="clear"/>
        </w:rPr>
      </w:pPr>
      <w:r>
        <w:rPr>
          <w:rFonts w:ascii="Times New Roman" w:hAnsi="Times New Roman"/>
          <w:b w:val="false"/>
          <w:i w:val="false"/>
          <w:caps w:val="false"/>
          <w:smallCaps w:val="false"/>
          <w:strike w:val="false"/>
          <w:dstrike w:val="false"/>
          <w:color w:val="000000"/>
          <w:sz w:val="24"/>
          <w:u w:val="none"/>
          <w:effect w:val="none"/>
          <w:shd w:fill="FFFFFF" w:val="clear"/>
        </w:rPr>
        <w:t>En este marco, se conformó una comisión cogobernada para avanzar con esos lineamientos, integrada por los tres órdenes, junto a la Unidad de Apoyo a la Extensión (UAEx-ISEF) y un representante de la Comisión Sectorial de Extensión y Actividades en el Medio (CSEAM). En el segundo semestre de 2019 se realiza un diagnóstico institucional, y en el correr de 2020 se sistematiza el material obtenido, lo que dio paso a la elaboración del Plan Estratégico de Desarrollo de la Extensión del Instituto Superior de Educación Física 2021-2025.</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FFFFFF" w:val="clear"/>
        </w:rPr>
      </w:pPr>
      <w:r>
        <w:rPr>
          <w:rFonts w:ascii="Times New Roman" w:hAnsi="Times New Roman"/>
          <w:b w:val="false"/>
          <w:i w:val="false"/>
          <w:caps w:val="false"/>
          <w:smallCaps w:val="false"/>
          <w:strike w:val="false"/>
          <w:dstrike w:val="false"/>
          <w:color w:val="000000"/>
          <w:sz w:val="24"/>
          <w:u w:val="none"/>
          <w:effect w:val="none"/>
          <w:shd w:fill="FFFFFF" w:val="clear"/>
        </w:rPr>
        <w:t>El Plan se propuso orientar a la Institución y, en consecuencia, al trabajo de la UAEx sobre una serie de objetivos a nivel general y otros específicos, cada uno de ellos acompañados de acciones concretas. A continuación, se recuperan esos objetivos planteados y se analiza en relación a las acciones desarrolladas en el primer quinquenio.</w:t>
      </w:r>
    </w:p>
    <w:p>
      <w:pPr>
        <w:pStyle w:val="BodyText"/>
        <w:bidi w:val="0"/>
        <w:spacing w:lineRule="auto" w:line="240" w:before="0" w:after="198"/>
        <w:ind w:hanging="0" w:left="0" w:right="0"/>
        <w:jc w:val="both"/>
        <w:rPr>
          <w:rFonts w:ascii="Times New Roman" w:hAnsi="Times New Roman"/>
        </w:rPr>
      </w:pPr>
      <w:r>
        <w:rPr>
          <w:rFonts w:ascii="Times New Roman" w:hAnsi="Times New Roman"/>
          <w:b/>
          <w:i w:val="false"/>
          <w:caps w:val="false"/>
          <w:smallCaps w:val="false"/>
          <w:strike w:val="false"/>
          <w:dstrike w:val="false"/>
          <w:color w:val="000000"/>
          <w:sz w:val="24"/>
          <w:u w:val="none"/>
          <w:effect w:val="none"/>
          <w:shd w:fill="FFFFFF" w:val="clear"/>
        </w:rPr>
        <w:t>Objetivos y acciones implementadas por la Unidad de Extensión</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FFFFFF" w:val="clear"/>
        </w:rPr>
      </w:pPr>
      <w:r>
        <w:rPr>
          <w:rFonts w:ascii="Times New Roman" w:hAnsi="Times New Roman"/>
          <w:b w:val="false"/>
          <w:i w:val="false"/>
          <w:caps w:val="false"/>
          <w:smallCaps w:val="false"/>
          <w:strike w:val="false"/>
          <w:dstrike w:val="false"/>
          <w:color w:val="000000"/>
          <w:sz w:val="24"/>
          <w:u w:val="none"/>
          <w:effect w:val="none"/>
          <w:shd w:fill="FFFFFF" w:val="clear"/>
        </w:rPr>
        <w:t>Sobre los objetivos estratégicos que se plantearon en el Plan de Desarrollo de la Extensión 2021-2025, se propuso como objetivo general “Desarrollar y fortalecer la extensión en el ISEF en consonancia con las políticas centrales de la Udelar, privilegiando procesos de democratización del conocimiento y prestando especial atención al diálogo con los sectores más vulnerados de la sociedad” (Plan Estratégico de Desarrollo de la Extensión 2021-2025).</w:t>
      </w:r>
    </w:p>
    <w:p>
      <w:pPr>
        <w:pStyle w:val="BodyText"/>
        <w:bidi w:val="0"/>
        <w:spacing w:lineRule="auto" w:line="240" w:before="0" w:after="198"/>
        <w:ind w:hanging="0" w:left="0" w:right="0"/>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FFFFFF" w:val="clear"/>
        </w:rPr>
        <w:t>Para abordar este objetivo el plan dispuso un conjunto de objetivos y acciones para que fortalezcan el desarrollo de la función en relación al ISEF y el campo de la Educación Física en el Uruguay.</w:t>
      </w:r>
    </w:p>
    <w:p>
      <w:pPr>
        <w:pStyle w:val="BodyText"/>
        <w:numPr>
          <w:ilvl w:val="0"/>
          <w:numId w:val="1"/>
        </w:numPr>
        <w:pBdr/>
        <w:tabs>
          <w:tab w:val="clear" w:pos="708"/>
          <w:tab w:val="left" w:pos="0" w:leader="none"/>
        </w:tabs>
        <w:bidi w:val="0"/>
        <w:spacing w:lineRule="auto" w:line="240" w:before="0" w:after="198"/>
        <w:ind w:hanging="283" w:left="709" w:right="0"/>
        <w:jc w:val="both"/>
        <w:rPr>
          <w:rFonts w:ascii="Times New Roman" w:hAnsi="Times New Roman"/>
          <w:b w:val="false"/>
          <w:i/>
          <w:caps w:val="false"/>
          <w:smallCaps w:val="false"/>
          <w:strike w:val="false"/>
          <w:dstrike w:val="false"/>
          <w:color w:val="000000"/>
          <w:sz w:val="24"/>
          <w:u w:val="none"/>
          <w:effect w:val="none"/>
          <w:shd w:fill="auto" w:val="clear"/>
        </w:rPr>
      </w:pPr>
      <w:r>
        <w:rPr>
          <w:rFonts w:ascii="Times New Roman" w:hAnsi="Times New Roman"/>
          <w:b w:val="false"/>
          <w:i/>
          <w:caps w:val="false"/>
          <w:smallCaps w:val="false"/>
          <w:strike w:val="false"/>
          <w:dstrike w:val="false"/>
          <w:color w:val="000000"/>
          <w:sz w:val="24"/>
          <w:u w:val="none"/>
          <w:effect w:val="none"/>
          <w:shd w:fill="auto" w:val="clear"/>
        </w:rPr>
        <w:t>Impulso de la Extensión desde la Integralidad de las funciones</w:t>
      </w:r>
    </w:p>
    <w:p>
      <w:pPr>
        <w:pStyle w:val="BodyText"/>
        <w:bidi w:val="0"/>
        <w:spacing w:lineRule="auto" w:line="240" w:before="0" w:after="198"/>
        <w:ind w:hanging="0" w:left="0" w:right="0"/>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 xml:space="preserve">Uno de los objetivos específicos consistió en “Impulsar la extensión desde la integración de funciones como forma relevante para el quehacer universitario, en los niveles de pregrado, grado y posgrado” </w:t>
      </w:r>
      <w:r>
        <w:rPr>
          <w:rFonts w:ascii="Times New Roman" w:hAnsi="Times New Roman"/>
          <w:b w:val="false"/>
          <w:i w:val="false"/>
          <w:caps w:val="false"/>
          <w:smallCaps w:val="false"/>
          <w:strike w:val="false"/>
          <w:dstrike w:val="false"/>
          <w:color w:val="000000"/>
          <w:sz w:val="24"/>
          <w:u w:val="none"/>
          <w:effect w:val="none"/>
          <w:shd w:fill="FFFFFF" w:val="clear"/>
        </w:rPr>
        <w:t>(Plan Estratégico de Desarrollo de la Extensión 2021-2025</w:t>
      </w:r>
      <w:r>
        <w:rPr>
          <w:rFonts w:ascii="Times New Roman" w:hAnsi="Times New Roman"/>
          <w:b w:val="false"/>
          <w:i w:val="false"/>
          <w:caps w:val="false"/>
          <w:smallCaps w:val="false"/>
          <w:strike w:val="false"/>
          <w:dstrike w:val="false"/>
          <w:color w:val="000000"/>
          <w:sz w:val="24"/>
          <w:u w:val="none"/>
          <w:effect w:val="none"/>
          <w:shd w:fill="auto" w:val="clear"/>
        </w:rPr>
        <w:t>.Para ello, entre las acciones principales estuvo el fomento de los Espacios de Formación Integral (EFIs). Estos espacios de formación, han sido propulsores del abordaje interdisciplinario y la búsqueda de la integralidad en el desarrollo de las funciones dentro de la universidad. En este sentido, los EFIs en ISEF han sido el principal dispositivo impulsado que busca desarrollar la extensión de forma integrada a las funciones de Investigación y Enseñanza. </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Un elemento identificado como avance en el desarrollo de la función, es encontrar que los EFIs han ganado visibilidad dentro de la Udelar (y en el ISEF) entre estudiantes y docentes, a la vez que la curricularización de la extensión va dando muestras de dar pasos en su implementación. Para los estudiantes, comienza a tomarse con mayor naturalidad la posibilidad de inscribirse a un EFI (mediante la misma plataforma en la que se inscriben a las unidades curriculares) y que su cursada sea posteriormente acreditada. Para el cuerpo docente, la posibilidad de desarrollar o vincularse a los EFIs ha permitido poner en diálogo el trabajo de enseñanza e investigación que realizan por fuera de ISEF, en diferentes territorios y en articulación con diversos actores sociales, proyectando intervenciones y acciones conjuntas. En este sentido, también comienzan a establecerse como un espacio en el que docentes sin experiencia en Extensión pueden integrarse a equipos de trabajo con mayor trayectoria, lo que les permite iniciar su vinculación con esta función. Algo que comenzamos a considerar con cautela, es que la integralidad promovida desde los EFIs para impulsar el desarrollo de la extensión también presenta nuevos desafíos, ya que en algunos casos, ha generado que la función quede desdibujada entre acciones principalmente de Investigación y Enseñanza. Por tal motivo durante el quinquenio se identificó como necesario recuperar la figura de los Proyectos de Extensión como tales, de manera de retomar la centralidad en la intervención, sumado al carácter político que conlleva la función. </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nivel estudiantil, los EFIs se han logrado consolidar como una oferta de formación en la Licenciatura, que se ofrece año a año, y en los períodos de inscripción de cada semestre. Igualmente la participación alcanzada aún se considera baja en proporción a la cantidad de estudiantes que circulan en la carrera de la Licenciatura. En este sentido, aún se percibe una dificultad para que los estudiantes naturalicen la vinculación con procesos de extensión durante su trayectoria formativa. </w:t>
      </w:r>
      <w:r>
        <w:rPr>
          <w:rFonts w:ascii="Times New Roman" w:hAnsi="Times New Roman"/>
          <w:b w:val="false"/>
          <w:i w:val="false"/>
          <w:caps w:val="false"/>
          <w:smallCaps w:val="false"/>
          <w:strike w:val="false"/>
          <w:dstrike w:val="false"/>
          <w:color w:val="000000"/>
          <w:sz w:val="24"/>
          <w:u w:val="none"/>
          <w:effect w:val="none"/>
          <w:shd w:fill="auto" w:val="clear"/>
        </w:rPr>
        <w:t>Uno de los aspectos identificados es</w:t>
      </w:r>
      <w:r>
        <w:rPr>
          <w:rFonts w:ascii="Times New Roman" w:hAnsi="Times New Roman"/>
          <w:b w:val="false"/>
          <w:i w:val="false"/>
          <w:caps w:val="false"/>
          <w:smallCaps w:val="false"/>
          <w:strike w:val="false"/>
          <w:dstrike w:val="false"/>
          <w:color w:val="000000"/>
          <w:sz w:val="24"/>
          <w:u w:val="none"/>
          <w:effect w:val="none"/>
          <w:shd w:fill="auto" w:val="clear"/>
        </w:rPr>
        <w:t xml:space="preserve"> que las acciones implementadas en el transcurso de estos años han tenido incidencia a nivel del grado principalmente, mientras que a nivel de posgrado únicamente son identificadas algunas excepciones.</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continuación, se presentan tres tablas. La primera (tabla 1) agrupa los proyectos de extensión llevados a cabo, la segunda (tabla 2) muestra los EFIs que se desarrollaron dentro del período 2021-2025 y la tercera (tabla 3) los EFIs que al 2025 se encontraban en ejercicio. </w:t>
      </w:r>
    </w:p>
    <w:p>
      <w:pPr>
        <w:pStyle w:val="BodyText"/>
        <w:bidi w:val="0"/>
        <w:spacing w:lineRule="auto" w:line="240" w:before="0" w:after="198"/>
        <w:ind w:hanging="0" w:left="585"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Tabla 1. Proyectos de Extensión de ISEF 2021-20205</w:t>
      </w:r>
    </w:p>
    <w:tbl>
      <w:tblPr>
        <w:tblW w:w="7937" w:type="dxa"/>
        <w:jc w:val="left"/>
        <w:tblInd w:w="557" w:type="dxa"/>
        <w:tblLayout w:type="fixed"/>
        <w:tblCellMar>
          <w:top w:w="100" w:type="dxa"/>
          <w:left w:w="100" w:type="dxa"/>
          <w:bottom w:w="100" w:type="dxa"/>
          <w:right w:w="100" w:type="dxa"/>
        </w:tblCellMar>
      </w:tblPr>
      <w:tblGrid>
        <w:gridCol w:w="3756"/>
        <w:gridCol w:w="1474"/>
        <w:gridCol w:w="1356"/>
        <w:gridCol w:w="1351"/>
      </w:tblGrid>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Nombre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Deptos. </w:t>
            </w:r>
          </w:p>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Académicos</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Sede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Año</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y memoria; lo público y lo común en el barrio La Teja.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Educación física adaptada a niños con discapacidad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Salud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MERAKI: Escuela de actividades en la naturaleza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Escuela de Fútbol Barrio Lausana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Sistematización de las actividades acuáticas realizadas en el medio acuático natural en el departamento de Maldonado durante los meses de invierno.</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inclusión y derechos humanos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2022</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Proyecto Lúdico Pedagógico BUSHIDO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2024</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Derecho al movimiento: Educación Física para niños, niñas y adolescentes del Hospital Pereira Rossell</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Salud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2025</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La Teja se Mueve: prácticas corporales juveniles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2025</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Meraki: Escuela de prácticas en la naturaleza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2025</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 universitario y compromiso académico con el CURE. Sentido de pertenencia y relación entre diferentes carreras.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 </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2025</w:t>
            </w:r>
          </w:p>
        </w:tc>
      </w:tr>
      <w:tr>
        <w:trPr/>
        <w:tc>
          <w:tcPr>
            <w:tcW w:w="37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Tecnologías digitales y cultura escolar. </w:t>
            </w:r>
          </w:p>
        </w:tc>
        <w:tc>
          <w:tcPr>
            <w:tcW w:w="1474"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35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w:t>
            </w:r>
          </w:p>
        </w:tc>
        <w:tc>
          <w:tcPr>
            <w:tcW w:w="13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2025</w:t>
            </w:r>
          </w:p>
        </w:tc>
      </w:tr>
    </w:tbl>
    <w:p>
      <w:pPr>
        <w:pStyle w:val="BodyText"/>
        <w:bidi w:val="0"/>
        <w:spacing w:lineRule="auto" w:line="240" w:before="68" w:after="198"/>
        <w:ind w:hanging="0" w:left="581"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Fuente. Datos de UAEx. </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Un dato relevante se puede identificar en la cantidad de Proyectos de Extensión identificados en el servicio (6) en 2022. Esto da cuenta de la contribución que implicó el llamado interno realizado por la UAEx-ISEF, para la formalización de propuestas de extensión en el servicio. Esta convocatoria permitió reconocer propuestas que comenzaban a ser trabajadas desde la extensión universitaria sin llegar a constituirse como una propuesta de EFI. En los demás años los registros de proyectos de extensión se identifican a partir de postulaciones a las convocatorias centrales que realiza la Comisión Sectorial de la Extensión y Actividades en el Medio, en la modalidad de Desarrollo de Proyectos de Extensión. </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La tabla 2 agrupa 11 proyectos de EFIs ya finalizados, que iniciaron previamente o durante el período en el que se recopiló la información y la tabla 3 complementa con aquellos EFIs que para el 2025 se encontraban en ejercicio.</w:t>
      </w:r>
    </w:p>
    <w:p>
      <w:pPr>
        <w:pStyle w:val="BodyText"/>
        <w:bidi w:val="0"/>
        <w:spacing w:lineRule="auto" w:line="288" w:before="0" w:after="198"/>
        <w:ind w:hanging="0" w:left="585"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Tabla 2. Espacios de Formación Integral de ISEF 2020-2025 </w:t>
      </w:r>
    </w:p>
    <w:tbl>
      <w:tblPr>
        <w:tblW w:w="7932" w:type="dxa"/>
        <w:jc w:val="left"/>
        <w:tblInd w:w="562" w:type="dxa"/>
        <w:tblLayout w:type="fixed"/>
        <w:tblCellMar>
          <w:top w:w="100" w:type="dxa"/>
          <w:left w:w="100" w:type="dxa"/>
          <w:bottom w:w="100" w:type="dxa"/>
          <w:right w:w="100" w:type="dxa"/>
        </w:tblCellMar>
      </w:tblPr>
      <w:tblGrid>
        <w:gridCol w:w="1017"/>
        <w:gridCol w:w="826"/>
        <w:gridCol w:w="3651"/>
        <w:gridCol w:w="1173"/>
        <w:gridCol w:w="1265"/>
      </w:tblGrid>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18"/>
                <w:u w:val="none"/>
                <w:effect w:val="none"/>
                <w:shd w:fill="auto" w:val="clear"/>
              </w:rPr>
            </w:pPr>
            <w:r>
              <w:rPr>
                <w:rFonts w:ascii="Times New Roman" w:hAnsi="Times New Roman"/>
                <w:b/>
                <w:i w:val="false"/>
                <w:caps w:val="false"/>
                <w:smallCaps w:val="false"/>
                <w:strike w:val="false"/>
                <w:dstrike w:val="false"/>
                <w:color w:val="000000"/>
                <w:sz w:val="18"/>
                <w:u w:val="none"/>
                <w:effect w:val="none"/>
                <w:shd w:fill="auto" w:val="clear"/>
              </w:rPr>
              <w:t>Apertura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18"/>
                <w:u w:val="none"/>
                <w:effect w:val="none"/>
                <w:shd w:fill="auto" w:val="clear"/>
              </w:rPr>
            </w:pPr>
            <w:r>
              <w:rPr>
                <w:rFonts w:ascii="Times New Roman" w:hAnsi="Times New Roman"/>
                <w:b/>
                <w:i w:val="false"/>
                <w:caps w:val="false"/>
                <w:smallCaps w:val="false"/>
                <w:strike w:val="false"/>
                <w:dstrike w:val="false"/>
                <w:color w:val="000000"/>
                <w:sz w:val="18"/>
                <w:u w:val="none"/>
                <w:effect w:val="none"/>
                <w:shd w:fill="auto" w:val="clear"/>
              </w:rPr>
              <w:t>Cierre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18"/>
                <w:u w:val="none"/>
                <w:effect w:val="none"/>
                <w:shd w:fill="auto" w:val="clear"/>
              </w:rPr>
            </w:pPr>
            <w:r>
              <w:rPr>
                <w:rFonts w:ascii="Times New Roman" w:hAnsi="Times New Roman"/>
                <w:b/>
                <w:i w:val="false"/>
                <w:caps w:val="false"/>
                <w:smallCaps w:val="false"/>
                <w:strike w:val="false"/>
                <w:dstrike w:val="false"/>
                <w:color w:val="000000"/>
                <w:sz w:val="18"/>
                <w:u w:val="none"/>
                <w:effect w:val="none"/>
                <w:shd w:fill="auto" w:val="clear"/>
              </w:rPr>
              <w:t>Nombre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18"/>
                <w:u w:val="none"/>
                <w:effect w:val="none"/>
                <w:shd w:fill="auto" w:val="clear"/>
              </w:rPr>
            </w:pPr>
            <w:r>
              <w:rPr>
                <w:rFonts w:ascii="Times New Roman" w:hAnsi="Times New Roman"/>
                <w:b/>
                <w:i w:val="false"/>
                <w:caps w:val="false"/>
                <w:smallCaps w:val="false"/>
                <w:strike w:val="false"/>
                <w:dstrike w:val="false"/>
                <w:color w:val="000000"/>
                <w:sz w:val="18"/>
                <w:u w:val="none"/>
                <w:effect w:val="none"/>
                <w:shd w:fill="auto" w:val="clear"/>
              </w:rPr>
              <w:t>Deptos. Académico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18"/>
                <w:u w:val="none"/>
                <w:effect w:val="none"/>
                <w:shd w:fill="auto" w:val="clear"/>
              </w:rPr>
            </w:pPr>
            <w:r>
              <w:rPr>
                <w:rFonts w:ascii="Times New Roman" w:hAnsi="Times New Roman"/>
                <w:b/>
                <w:i w:val="false"/>
                <w:caps w:val="false"/>
                <w:smallCaps w:val="false"/>
                <w:strike w:val="false"/>
                <w:dstrike w:val="false"/>
                <w:color w:val="000000"/>
                <w:sz w:val="18"/>
                <w:u w:val="none"/>
                <w:effect w:val="none"/>
                <w:shd w:fill="auto" w:val="clear"/>
              </w:rPr>
              <w:t>Sede y lugar</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2016 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Proyecto Tatami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Malvín Norte</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2019 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2023</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lúdicas y artísticas en la Unidad Penitenciaria nº6 Punta de Rieles: Diálogos entre el adentro y el afuera</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Tiempo Libre y Ocio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Punta de Rieles</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Programa para lograr uruguayos saludables con actividad física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Rivera</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deportivas y derechos de infancia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Malvín Norte</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 y Comensalidad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Casavalle</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El fútbol como espacio para la formación integral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Villa Española</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La enseñanza del tenis en la escuela: nuevo enfoque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Maldonado</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2021 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2023 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Juego tiempo libre y ocio. Memoria lúdica y patrimonio cultural. Paso de las Duranas.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Tiempo Libre y Ocio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Paso de Las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Duranas</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2024 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Formación y entrenamiento deportivo en el contexto local y regional</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Deportes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Maldonado</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2022 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2024</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Memoria reciente, cuerpo presente: aproximaciones al lugar del cuerpo en los procesos de construcción de memoria colectiva vinculados al Museo de la Memoria.</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Prácticas Corporales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Montevideo, </w:t>
            </w:r>
          </w:p>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Cerro</w:t>
            </w:r>
          </w:p>
        </w:tc>
      </w:tr>
      <w:tr>
        <w:trPr/>
        <w:tc>
          <w:tcPr>
            <w:tcW w:w="101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2023 </w:t>
            </w:r>
          </w:p>
        </w:tc>
        <w:tc>
          <w:tcPr>
            <w:tcW w:w="826"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2024 </w:t>
            </w:r>
          </w:p>
        </w:tc>
        <w:tc>
          <w:tcPr>
            <w:tcW w:w="3651"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Laboratorio de Educación del cuerpo para la primera infancia </w:t>
            </w:r>
          </w:p>
        </w:tc>
        <w:tc>
          <w:tcPr>
            <w:tcW w:w="117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Prácticas Corporales </w:t>
            </w:r>
          </w:p>
        </w:tc>
        <w:tc>
          <w:tcPr>
            <w:tcW w:w="126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18"/>
                <w:u w:val="none"/>
                <w:effect w:val="none"/>
                <w:shd w:fill="auto" w:val="clear"/>
              </w:rPr>
            </w:pPr>
            <w:r>
              <w:rPr>
                <w:rFonts w:ascii="Times New Roman" w:hAnsi="Times New Roman"/>
                <w:b w:val="false"/>
                <w:i w:val="false"/>
                <w:caps w:val="false"/>
                <w:smallCaps w:val="false"/>
                <w:strike w:val="false"/>
                <w:dstrike w:val="false"/>
                <w:color w:val="000000"/>
                <w:sz w:val="18"/>
                <w:u w:val="none"/>
                <w:effect w:val="none"/>
                <w:shd w:fill="auto" w:val="clear"/>
              </w:rPr>
              <w:t>Maldonado</w:t>
            </w:r>
          </w:p>
        </w:tc>
      </w:tr>
    </w:tbl>
    <w:p>
      <w:pPr>
        <w:pStyle w:val="BodyText"/>
        <w:bidi w:val="0"/>
        <w:spacing w:lineRule="auto" w:line="288" w:before="0" w:after="198"/>
        <w:ind w:hanging="0" w:left="581"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Fuente. Datos de UAEx. </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Para el 2025 la institución contaba con los siguientes EFIs en desarrollo:</w:t>
      </w:r>
    </w:p>
    <w:p>
      <w:pPr>
        <w:pStyle w:val="BodyText"/>
        <w:bidi w:val="0"/>
        <w:spacing w:lineRule="auto" w:line="288" w:before="0" w:after="198"/>
        <w:ind w:hanging="0" w:left="586"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Tabla 3. EFIs desarrollados en 2025</w:t>
      </w:r>
    </w:p>
    <w:tbl>
      <w:tblPr>
        <w:tblW w:w="7932" w:type="dxa"/>
        <w:jc w:val="left"/>
        <w:tblInd w:w="562" w:type="dxa"/>
        <w:tblLayout w:type="fixed"/>
        <w:tblCellMar>
          <w:top w:w="100" w:type="dxa"/>
          <w:left w:w="100" w:type="dxa"/>
          <w:bottom w:w="100" w:type="dxa"/>
          <w:right w:w="100" w:type="dxa"/>
        </w:tblCellMar>
      </w:tblPr>
      <w:tblGrid>
        <w:gridCol w:w="1118"/>
        <w:gridCol w:w="4157"/>
        <w:gridCol w:w="1252"/>
        <w:gridCol w:w="1405"/>
      </w:tblGrid>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Apertura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Nombre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Deptos. Académico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Sede</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2014 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Interdisciplina, territorio y acción colectiva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2016 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Escuela Deportiva ISEF Malvín Norte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2019 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Picaditos Etnográficos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 Maldonado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Escuela deportiva “La Chapita”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Paysandú</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y Escuela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Estrategias interdisciplinarias para la producción en salud. Un camino posible.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Salud</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Las canas de vivir, Perspectiva desde la Educación Física como estrategia de intervención en psicogerontología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Abordaje del rendimiento deportivo en deportes colectivos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2021 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en clave de integralidad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Rivera</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Espacio Público, Juego e Infancia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Clases de luchas: tensiones sociales en lucha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Formación de deportistas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Deportes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acuáticas en la primera infancia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Corporales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Educación Física y Salud con un enfoque interdisciplinario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Salud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Promoción de la salud en entornos educativos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Salud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Paysandú</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Educación, naturaleza y tiempo libre: Proyecto Meraki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Maldonado</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2023 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pBdr/>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La cultura lúdica como derecho humano y de empoderamiento de las infancias en el barrio “La Chapita” de Paysandú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Paysandú</w:t>
            </w:r>
          </w:p>
        </w:tc>
      </w:tr>
      <w:tr>
        <w:trPr/>
        <w:tc>
          <w:tcPr>
            <w:tcW w:w="1118"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2024 </w:t>
            </w:r>
          </w:p>
        </w:tc>
        <w:tc>
          <w:tcPr>
            <w:tcW w:w="4157"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Prácticas en la naturaleza para la valoración y la conservación de patrimonio biocultural </w:t>
            </w:r>
          </w:p>
        </w:tc>
        <w:tc>
          <w:tcPr>
            <w:tcW w:w="1252"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Tiempo Libre y Ocio </w:t>
            </w:r>
          </w:p>
        </w:tc>
        <w:tc>
          <w:tcPr>
            <w:tcW w:w="1405"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Montevideo</w:t>
            </w:r>
          </w:p>
        </w:tc>
      </w:tr>
    </w:tbl>
    <w:p>
      <w:pPr>
        <w:pStyle w:val="BodyText"/>
        <w:bidi w:val="0"/>
        <w:spacing w:lineRule="auto" w:line="288" w:before="68" w:after="198"/>
        <w:ind w:hanging="0" w:left="581" w:right="0"/>
        <w:jc w:val="both"/>
        <w:rPr>
          <w:rFonts w:ascii="Times New Roman" w:hAnsi="Times New Roman"/>
          <w:caps w:val="false"/>
          <w:smallCaps w:val="false"/>
          <w:strike w:val="false"/>
          <w:dstrike w:val="false"/>
          <w:color w:val="00000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Fuente. Datos de UAEx.</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Durante este período se pueden identificar 28 EFIs que se han desarrollado a nivel nacional, perteneciente a los cuatro departamentos académicos que componen la estructura de la institución, trabajando a partir de una diversidad de temáticas y dando respuesta a demandas construidas junto a diferentes actores sociales.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partir de los cuadros se puede observar variables en la concentración y desarrollo de las propuestas de EFIs según el lugar de las intervenciones, en qué departamento académico se enmarcan y desde qué sede. Se identifica un predominio de Montevideo como sede en la que se concentran la mayor cantidad de proyectos en relación a las sedes de Maldonado, Paysandú y Rivera. En relación al anclaje en los Departamentos Académicos, desde los de Deportes y Tiempo Libre y Ocio se desarrollan los EFIs en mayor medida, mientras que Prácticas Corporales y Salud lo realizan en menor medida.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Continuando con algunas lectura en relación a los cuadros presentados. El aumento de espacios de formación integral da cuenta del interés de pensar la Educación Física en diálogo con la sociedad, lo que se evidencia en el aumento gradual del trabajo en extensión en ISEF. El número se ha incrementado y potenciado a partir de las convocatorias internas en 2021 y 2023 desde la UAEx ISEF y se proyecta continuar impulsando esta herramienta. La vinculación con la extensión evidencia el interés y el desempeño de un conjunto de docentes que ofician como responsables académicos de los proyectos, quienes coordinan los proyectos y a los equipos docentes, buscando abordar el desarrollo de las funciones en forma integral. Otro de los elementos que entendemos puede haber repercutido favorablemente en el aumento de docentes vinculados a esta función fue la aprobación del Estatuto de Personal Docente (2021) en la UdelaR, con el requerimiento de que los docentes de cargas horarias altas deban justificar la implicación con las tres funciones sustantivas de la Universidad</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FFFFFF" w:val="clear"/>
        </w:rPr>
        <w:t>Por otra parte, se desempeñaron otras acciones durante el transcurso de este quinquenio que buscaron fortalecer el desarrollo de la extensión en docentes y estudiantes del ISEF. Entre ellas se encuentra la generación de instancias de trabajo junto a los equipos docentes, como</w:t>
      </w:r>
      <w:r>
        <w:rPr>
          <w:rFonts w:ascii="Times New Roman" w:hAnsi="Times New Roman"/>
          <w:caps w:val="false"/>
          <w:smallCaps w:val="false"/>
          <w:strike w:val="false"/>
          <w:dstrike w:val="false"/>
          <w:color w:val="000000"/>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metodología que nos permitió mantener un ida y vuelta para trabajar aspectos referidos al desarrollo de los EFIs. Estos encuentros han resultado instancias útiles para poner en conocimiento lo trabajado desde los EFIs, así como también brindar un espacio donde poder presentar dificultades y problemáticas de implementación y, en ocasiones, trabajar temáticas colocadas por el equipo de la UAEx.</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Por otro lado, la atención sobre los eventos académicos que coloquen a la extensión como eje de la discusión o como espacios en los que mostrar lo que se viene trabajando o conocer otras experiencias de extensión, resultó una línea de acción sostenida. En este período se ha logrado la participación en eventos por parte de diferentes equipos, tanto en el campo de la Educación Física (Encuentro de Extensionistas de ISEF) como en el de la Educación (Congreso de Educación Física de La Plata), u otros encuentros o congresos de Extensión desarrollados a nivel nacional como también a nivel regional. En este sentido, también se generaron instancias de intercambio, conversatorio o mesas de debate, a partir de invitados especializados, en las que se buscó colocar aspectos relevantes a la hora de problematizar y llevar adelante la Extensión universitaria, como fomento a la integración de las funciones.</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Mientras que la producción de conocimiento a partir de lo trabajado en los diferentes procesos también resultó una acción sostenida. La compilación del libro “Extensión en el ISEF hoy. Entre la acción y la reflexión” se constituye como un material de interés generado partir de artículos producidos por los equipos docentes, resultando la una posibilidad e divulgar lo producido por ISEF. Esta experiencia no se ha logrado repetir, pero se ha considerado como valiosa para quienes vienen trabajando en Extensión. Por otra parte, se han dado producciones generadas a partir de las experiencias de los EFIs o Proyectos de Extensión que fueron publicadas en dossier y revistas académicas nacionales y regionales.  </w:t>
      </w:r>
    </w:p>
    <w:p>
      <w:pPr>
        <w:pStyle w:val="BodyText"/>
        <w:numPr>
          <w:ilvl w:val="0"/>
          <w:numId w:val="2"/>
        </w:numPr>
        <w:pBdr/>
        <w:tabs>
          <w:tab w:val="clear" w:pos="708"/>
          <w:tab w:val="left" w:pos="0" w:leader="none"/>
        </w:tabs>
        <w:bidi w:val="0"/>
        <w:spacing w:lineRule="auto" w:line="240" w:before="0" w:after="198"/>
        <w:ind w:hanging="283" w:left="709" w:right="6"/>
        <w:jc w:val="both"/>
        <w:rPr>
          <w:rFonts w:ascii="Times New Roman" w:hAnsi="Times New Roman"/>
          <w:b w:val="false"/>
          <w:i/>
          <w:caps w:val="false"/>
          <w:smallCaps w:val="false"/>
          <w:strike w:val="false"/>
          <w:dstrike w:val="false"/>
          <w:color w:val="000000"/>
          <w:sz w:val="24"/>
          <w:u w:val="none"/>
          <w:effect w:val="none"/>
          <w:shd w:fill="auto" w:val="clear"/>
        </w:rPr>
      </w:pPr>
      <w:r>
        <w:rPr>
          <w:rFonts w:ascii="Times New Roman" w:hAnsi="Times New Roman"/>
          <w:b w:val="false"/>
          <w:i/>
          <w:caps w:val="false"/>
          <w:smallCaps w:val="false"/>
          <w:strike w:val="false"/>
          <w:dstrike w:val="false"/>
          <w:color w:val="000000"/>
          <w:sz w:val="24"/>
          <w:u w:val="none"/>
          <w:effect w:val="none"/>
          <w:shd w:fill="auto" w:val="clear"/>
        </w:rPr>
        <w:t>Estimulación de procesos de Formación en Extensión</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Otros de los objetivos específicos que se propuso el plan quinquenal apuntó a “Promover procesos de formación en extensión”. Para ello, la UAEx-ISEF implementó instancias de formación en la extensión tanto para docentes como para estudiantes por distintas vías. Primero, mediante cursos de formación de grado, concretamente vehiculizados mediante la participación en el ciclo Introducción a la vida universitaria; un curso diseñado por un conjunto de unidades implicadas en la gestión institucional, nucleadas como la Unidad de Apoyo Académico a la Gestión (UAAG). Los cursos de Introducción a la vida universitaria desarrollados en 2023, 2024 y 2025, permitieron trabajar con estudiantes de ingreso sobre la relevancia de las funciones universitarias y su abordaje en forma integral, reconociendo el valor del desarrollo de la extensión en su proceso de formación universitaria, y presentando las formas en que ISEF lo lleva adelante. En esta línea se puede identificar que el alcance masivo a estudiantes se da en el nivel de pregrado, al comenzar la carrera, instancia en la que se logra presentar la función universitaria de la Extensión.</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Posteriormente el involucramiento de los estudiantes con la Extensión queda sujeto a la trayectoria que él mismo decida o logre realizar, pudiendo vincularse y participar en más o menos procesos de extensión. En este sentido, se presentan dificultades para lograr implementar instancias de formación en extensión dentro del grado en la Licenciatura en Educación Física. De esta manera la formación en extensión estudiantil queda sujeta a las instancias de formación que ofrecen directamente los EFIs, de inscripción voluntaria para cumplir con los créditos que implica la Licenciatura.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Los EFIs fueron promovidos como espacios de gran potencial para que los estudiantes obtengan un proceso de formación en relación a la Extensión. En este sentido, se han dado pasos para consolidar su figura como una oferta visible en la que los estudiantes encuentren la posibilidad de complementar y enriquecer su formación de grado. Para esto fue importante ir avanzando en la curricularización de la extensión, tanto en optimizar los mecanismos de inscripción a estos espacios como en su posterior creditización. De esta manera, se ha logrado alcanzar variabilidad en cuanto a la oferta de EFIs que trabajan en relación a diversas temáticas del campo de la Educación Física y se desarrollan en diferentes territorios. Una discusión que se presenta como latente, y que debería ser abordada para un nuevo Plan de Estudios es si resulta necesario introducir en la formación de grado, algún tipo de unidad curricular en la que se profundice sobre la Extensión en términos conceptuales pero que también coloque a los estudiantes frente a experiencias de Extensión.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Por otro lado, otra de las estrategias de formación implementadas por la UAEx-ISEF en este período consistió en la postulación de cursos de Formación Permanente. Estos cursos lograron dictarse en 2021 (“Formación permanente en extensión: conceptos, posibilidades y perspectivas”) y en 2022 (“Introducción a la Extensión: conceptos, posibilidades y perspectivas”), contando con la participación de docentes de ISEF, docentes externos y estudiantes avanzados en la Licenciatura en Educación Física. Estos espacios, han sido los ámbitos de mayor relevancia a la hora de profundizar en aspectos históricos, conceptuales y metodológicos en cuanto al desarrollo de la extensión, logrando un alcance en estudiantes de la carrera y en docentes interesados en esta función universitaria.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En otro sentido, es necesario reconocer que a nivel de Posgrado, no se ha concretado la realización de un curso en la Maestría en Educación Física que haya tenido la centralidad en la Extensión y su problematización como función universitaria, no encontrándose equipos docentes que hayan formulado cursos o seminarios en este sentido. Desde el trabajo de la UAEx no ha sido posible diseñar e implementar una propuesta para su consideración, pero se vuelve relevante reforzar este aspecto, a partir de una propuesta que reúna docentes que cuentan con la trayectoria y formación en el área, capaces de poder generar una instancia de formación en extensión a nivel del posgrado. A su vez, se cuenta con vínculos al nivel del resto de la Udelar que pueden fortalecer la propuesta y volverla más enriquecedora a partir de saberes y experiencias desde otras disciplinas. </w:t>
      </w:r>
    </w:p>
    <w:p>
      <w:pPr>
        <w:pStyle w:val="BodyText"/>
        <w:numPr>
          <w:ilvl w:val="0"/>
          <w:numId w:val="3"/>
        </w:numPr>
        <w:pBdr/>
        <w:tabs>
          <w:tab w:val="clear" w:pos="708"/>
          <w:tab w:val="left" w:pos="0" w:leader="none"/>
        </w:tabs>
        <w:bidi w:val="0"/>
        <w:spacing w:lineRule="auto" w:line="240" w:before="0" w:after="198"/>
        <w:ind w:hanging="283" w:left="1429" w:right="6"/>
        <w:jc w:val="both"/>
        <w:rPr>
          <w:rFonts w:ascii="Times New Roman" w:hAnsi="Times New Roman"/>
          <w:b w:val="false"/>
          <w:i/>
          <w:caps w:val="false"/>
          <w:smallCaps w:val="false"/>
          <w:strike w:val="false"/>
          <w:dstrike w:val="false"/>
          <w:color w:val="000000"/>
          <w:sz w:val="24"/>
          <w:u w:val="none"/>
          <w:effect w:val="none"/>
          <w:shd w:fill="auto" w:val="clear"/>
        </w:rPr>
      </w:pPr>
      <w:r>
        <w:rPr>
          <w:rFonts w:ascii="Times New Roman" w:hAnsi="Times New Roman"/>
          <w:b w:val="false"/>
          <w:i/>
          <w:caps w:val="false"/>
          <w:smallCaps w:val="false"/>
          <w:strike w:val="false"/>
          <w:dstrike w:val="false"/>
          <w:color w:val="000000"/>
          <w:sz w:val="24"/>
          <w:u w:val="none"/>
          <w:effect w:val="none"/>
          <w:shd w:fill="auto" w:val="clear"/>
        </w:rPr>
        <w:t>Consolidación de la Extensión como tarea docente</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En la búsqueda de estimular procesos de extensión en las actividades docentes y como estrategia para alcanzar la consolidación de la función como tarea docente se han desplegado múltiples acciones que combinan mecanismos que estimulen el desarrollo de la Extensión, a partir de EFIs y proyectos de Extensión. Es así que se logró sostener el ofrecer convocatorias internas que permitieran formalizar las propuestas y en algunos casos llegar a ofrecerle la posibilidad de financiar en el rubro sueldos y gastos. Esto permitió la conformación de nuevos Espacios de Formación Integral, otorgando financiación para el rubro sueldos y gastos en nuevas propuestas a implementarse en cualquiera de las cuatro sedes que cuenta ISEF (Montevideo, Maldonado, Paysandú, Rivera). Estas convocatorias presentaron diferentes formatos pero sostenían el mismo espíritu, y concretamente se tradujeron en los siguientes llamados: Convocatoria a Autoidentificación de Espacios de Formación Integral y relevamiento de proyectos implementados en el período 2020- 2021, Convocatoria a Financiamiento de Espacios de Formación Integral (EFI) 2021-2022 Fase B, Convocatoria a Formalización de actividades de Extensión UAEx-ISEF (Actividades de extensión, Proyectos  de Extensión, EFIs) - 2022 y la Convocatoria a Financiamiento de  Espacios de Formación Integral (EFI) 2023-2024.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También, en este quinquenio se promovieron diferentes espacios en los que debatir acerca de las implicancias, las formas y el posicionamiento político en la búsqueda de un mayor desarrollo de la extensión y una perspectiva de abordaje desde la Integralidad de las funciones. Es así que se desarrollaron diferentes actividades académicas como: Mesa de diálogo: “Repensando la  Extensión como función universitaria” - Prorector, director  de ISEF y Encargado de UAEx (2021), Ciclo de Difusión: 1) Extensión y  Derechos Humanos: implicancias,  perspectivas y desafíos. 2) Derechos a la niñez. Del dicho al hecho. 3)  Presentación del Centro de recreación y cuidados / Sistema  Nacional Integrado de Cuidados. 4)  Políticas culturales. 5) Encuentro  con organizaciones vinculadas a los  derechos humanos. (2022), un conversatorio con Humberto  Tommasino, exprorector de la  Extensión durante la 2da reforma  universitaria. (2023), Conversatorios durante los Encuentro de Investigadores en  ISEF  (2022, 2024), Webinar: “Perspectivas Latinoamericanas de la Extensión  Universitaria en Educación Física:  Experiencias en la UdelaR (Uruguay)” (2024).</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ello, se suma una producción académica realizada por la UAEx-ISEF, que en 2021 concretó la creación de un libro “Extensión en el ISEF hoy. Entre la acción y la  reflexión” que se propuso la compilación de artículos elaborados por los docentes que venían trabajando en vínculo con la extensión universitaria de ISEF.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Por otra parte, otras de las estrategias establecidas para el estímulo de la extensión en la tarea docente, se encuentra en el apoyo a la postulación a convocatorias. En la medida que los mecanismos que se brindan para sostener procesos de extensión son limitados, su desarrollo suele verse dependiente a la obtención de un presupuesto extra, proveniente de convocatorias centrales de CSEAM. Las convocatorias a nivel central desarrolladas en este período fueron: “Fortalecimiento de Trayectorias Integrales”, “Desarrollo de la Extensión Universitaria”, “Apoyo a Actividades en el Medio”, a lo que eventualmente pueden sumarse convocatorias internas. Esta vía de financiación permite desarrollar los proyectos. En este sentido, las convocatorias internas para percibir apoyo económico para la conformación de EFIs, se ha valorado como una herramienta favorable para el desarrollo de la función del cuerpo docente. A su vez, otra de las acciones que la UAEx sostiene como forma de fortalecer la extensión del servicio, está en promover la postulación de los equipos docentes a estas convocatorias centrales, poniéndose a disposición para acompañar los procesos de postulación, en cada llamado.</w:t>
      </w:r>
    </w:p>
    <w:p>
      <w:pPr>
        <w:pStyle w:val="BodyText"/>
        <w:numPr>
          <w:ilvl w:val="0"/>
          <w:numId w:val="4"/>
        </w:numPr>
        <w:pBdr/>
        <w:tabs>
          <w:tab w:val="clear" w:pos="708"/>
          <w:tab w:val="left" w:pos="0" w:leader="none"/>
        </w:tabs>
        <w:bidi w:val="0"/>
        <w:spacing w:lineRule="auto" w:line="240" w:before="0" w:after="198"/>
        <w:ind w:hanging="283" w:left="709" w:right="614"/>
        <w:jc w:val="both"/>
        <w:rPr>
          <w:rFonts w:ascii="Times New Roman" w:hAnsi="Times New Roman"/>
          <w:b w:val="false"/>
          <w:i/>
          <w:caps w:val="false"/>
          <w:smallCaps w:val="false"/>
          <w:strike w:val="false"/>
          <w:dstrike w:val="false"/>
          <w:color w:val="000000"/>
          <w:sz w:val="24"/>
          <w:u w:val="none"/>
          <w:effect w:val="none"/>
          <w:shd w:fill="auto" w:val="clear"/>
        </w:rPr>
      </w:pPr>
      <w:r>
        <w:rPr>
          <w:rFonts w:ascii="Times New Roman" w:hAnsi="Times New Roman"/>
          <w:b w:val="false"/>
          <w:i/>
          <w:caps w:val="false"/>
          <w:smallCaps w:val="false"/>
          <w:strike w:val="false"/>
          <w:dstrike w:val="false"/>
          <w:color w:val="000000"/>
          <w:sz w:val="24"/>
          <w:u w:val="none"/>
          <w:effect w:val="none"/>
          <w:shd w:fill="auto" w:val="clear"/>
        </w:rPr>
        <w:t>Posici</w:t>
      </w:r>
      <w:r>
        <w:rPr>
          <w:rFonts w:ascii="Times New Roman" w:hAnsi="Times New Roman"/>
          <w:b w:val="false"/>
          <w:i/>
          <w:caps w:val="false"/>
          <w:smallCaps w:val="false"/>
          <w:strike w:val="false"/>
          <w:dstrike w:val="false"/>
          <w:color w:val="000000"/>
          <w:sz w:val="24"/>
          <w:u w:val="none"/>
          <w:effect w:val="none"/>
          <w:shd w:fill="auto" w:val="clear"/>
        </w:rPr>
        <w:t>onamiento de</w:t>
      </w:r>
      <w:r>
        <w:rPr>
          <w:rFonts w:ascii="Times New Roman" w:hAnsi="Times New Roman"/>
          <w:b w:val="false"/>
          <w:i/>
          <w:caps w:val="false"/>
          <w:smallCaps w:val="false"/>
          <w:strike w:val="false"/>
          <w:dstrike w:val="false"/>
          <w:color w:val="000000"/>
          <w:sz w:val="24"/>
          <w:u w:val="none"/>
          <w:effect w:val="none"/>
          <w:shd w:fill="auto" w:val="clear"/>
        </w:rPr>
        <w:t xml:space="preserve"> la Extensión en las trayectorias curriculares estudiantiles como papel clave en la formación para el campo profesional y académico.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Cómo se planteaba anteriormente se han realizado diferentes acciones que buscan fortalecer la formación de la extensión en la trayectoria curricular. En sí, la estimulación a la existencia de EFIs que brinden espacios para que los estudiantes puedan cursar como parte de su formación, es un ejercicio permanente. Más allá de eso, se han realizado acciones que buscar facilitar la instrumentación de la participación de estudiantes en los EFIs, con el fin de naturalizar durante la cursada la experiencia en Extensión como parte de su formación: en este sentido, se trabaja sobre la difusión y comunicación de los espacios disponibles en cada semestre, la articulación con bedelías para la implementación de las inscripciones mediante SGAE considerando el calendario académico, el seguimiento de la aprobación de los programas de los EFIs para su correcta acreditación.  </w:t>
      </w:r>
    </w:p>
    <w:p>
      <w:pPr>
        <w:pStyle w:val="BodyText"/>
        <w:bidi w:val="0"/>
        <w:spacing w:lineRule="auto" w:line="240" w:before="0" w:after="198"/>
        <w:ind w:hanging="0" w:left="0" w:right="0"/>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Por otra parte, una línea de trabajo se ha desempeñado con los espacios de gestión académica de ISEF.</w:t>
      </w:r>
      <w:r>
        <w:rPr>
          <w:rFonts w:ascii="Times New Roman" w:hAnsi="Times New Roman"/>
          <w:caps w:val="false"/>
          <w:smallCaps w:val="false"/>
          <w:strike w:val="false"/>
          <w:dstrike w:val="false"/>
          <w:color w:val="1F497D"/>
          <w:u w:val="none"/>
          <w:effect w:val="none"/>
          <w:shd w:fill="auto" w:val="clear"/>
        </w:rPr>
        <w:t xml:space="preserve"> </w:t>
      </w:r>
      <w:r>
        <w:rPr>
          <w:rFonts w:ascii="Times New Roman" w:hAnsi="Times New Roman"/>
          <w:b w:val="false"/>
          <w:i w:val="false"/>
          <w:caps w:val="false"/>
          <w:smallCaps w:val="false"/>
          <w:strike w:val="false"/>
          <w:dstrike w:val="false"/>
          <w:color w:val="000000"/>
          <w:sz w:val="24"/>
          <w:u w:val="none"/>
          <w:effect w:val="none"/>
          <w:shd w:fill="auto" w:val="clear"/>
        </w:rPr>
        <w:t>En este sentido, fue importante avanzar junto a la Comisión académica de grado (CAG) en la creación de un protocolo para la curricularización de los programas de los EFIs, con el fin de que toda actividad de extensión que se desarrolle en ese marco, una vez sea aprobada, brinde a los estudiantes los créditos correspondientes. Se ha trabajado junto a la Coordinación de Carreras y Bedelías, para implementar los mecanismos que permitan hacer que los EFIs se presenten en el mismo período (semestralmente) en que los estudiantes se encuentran inscribiéndose en otras unidades curriculares, a partir de la misma plataforma de inscripción (SGAE). En forma complementaria, existe un procedimiento alternativo, que permite que aquellos estudiantes que participan de un EFI o un proyecto de Extensión puedan creditizar su participación a partir de un formulario web generado por bedelías y el aval del docente que certifica la participación estudiantil. En este sentido, se han tenido experiencias disímiles en los diferentes años y semestres. Se ha logrado que haya estudiantes participando de los EFIs, en algunos casos, con un número de participantes interesantes; pero en ocasiones ha habido instancias en la que los cupos han quedado con pocas inscripciones. Esto da cuenta de que, más allá de los esfuerzos que se han realizado para facilitar la cursada en los EFIs, aún existen diferentes obstáculos que resultan difíciles de sortear; entre ellos: desconocimiento por parte del estudiantado en relación a la Extensión, una carga horaria normalmente alta demandante, EFIs que presentan horarios dispares, o territorios que dificultan la participación.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También se ha buscado desarrollar la participación en propuestas de extensión más allá del ISEF, acercando y promoviendo EFIs, charlas y cursos de extensión que se dan en otros servicios. </w:t>
      </w:r>
    </w:p>
    <w:p>
      <w:pPr>
        <w:pStyle w:val="BodyText"/>
        <w:numPr>
          <w:ilvl w:val="0"/>
          <w:numId w:val="5"/>
        </w:numPr>
        <w:pBdr/>
        <w:tabs>
          <w:tab w:val="clear" w:pos="708"/>
          <w:tab w:val="left" w:pos="0" w:leader="none"/>
        </w:tabs>
        <w:bidi w:val="0"/>
        <w:spacing w:lineRule="auto" w:line="240" w:before="0" w:after="198"/>
        <w:ind w:hanging="283" w:left="709" w:right="6"/>
        <w:jc w:val="both"/>
        <w:rPr>
          <w:rFonts w:ascii="Times New Roman" w:hAnsi="Times New Roman"/>
          <w:b w:val="false"/>
          <w:i/>
          <w:caps w:val="false"/>
          <w:smallCaps w:val="false"/>
          <w:strike w:val="false"/>
          <w:dstrike w:val="false"/>
          <w:color w:val="000000"/>
          <w:sz w:val="24"/>
          <w:u w:val="none"/>
          <w:effect w:val="none"/>
          <w:shd w:fill="auto" w:val="clear"/>
        </w:rPr>
      </w:pPr>
      <w:r>
        <w:rPr>
          <w:rFonts w:ascii="Times New Roman" w:hAnsi="Times New Roman"/>
          <w:b w:val="false"/>
          <w:i/>
          <w:caps w:val="false"/>
          <w:smallCaps w:val="false"/>
          <w:strike w:val="false"/>
          <w:dstrike w:val="false"/>
          <w:color w:val="000000"/>
          <w:sz w:val="24"/>
          <w:u w:val="none"/>
          <w:effect w:val="none"/>
          <w:shd w:fill="auto" w:val="clear"/>
        </w:rPr>
        <w:t>Vínculo con actores sociales no universitarios en  particular en los territorios en los que se encuentran enclavadas las sedes ISEF</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nivel territorial se observa una diversidad importante en el alcance y despliegue desarrollado en este período, especialmente en Montevideo. Se presenta un cuadro en el que se pueden observar los diferentes territorios en los que se expande la extensión de ISEF. El plan se proponía profundizar actividades de extensión en Malvín Norte, zona del nuevo local de ISEF. Se ha logrado acompañar y estar presente en el espacio colectivo que nuclea a las instituciones educativas del barrio. Desde ese espacio se logra estar en contacto con todas las instituciones y programas educativos que circulan en el territorio además de trabajar en una agenda conjunta sobre las problemáticas que se presentan y las iniciativas de intervención que se proponen.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Desde los proyectos se ha buscado la inserción en otro tipo de espacios colectivos que se nuclean a partir de diferentes temáticas o diferentes sectores de un barrio que se presenta de gran magnitud y densidad poblacional; en este sentido es que se han sostenido procesos de trabajo con la Mesa de Coordinación Zonal de Malvín Norte, con el Centro Cultural Malvín Norte, con el Centro de Referencia Barrial, con el colectivo de Memoria de Malvín Norte y el colectivo Idea Vilariño. En Parque Batlle, las articulaciones a nivel territorial no se vienen dando a partir de redes ya que el barrio no las presenta. El trabajo viene siendo con instituciones públicas cercanas, como la escuela que se encuentra en el Estadio Centenario. Además, se propuso el desarrollo hacia otras territorialidades sumando nuestra inclusión en nuevos espacios colectivos: la Red educativa y la Mesa de Coordinación Zonal, además de presentar vinculaciones más específicas con diferentes colectivos como: el colectivo de Memoria Malvín Norte, el Centro Cultural, el Centro de Referencia barrial y el colectivo Idea Vilariño. Se han mantenido en estos años otros trabajos en territorio como Flor de Maroñas. A partir de la inserción territorial de los equipos docentes que vienen desarrollando extensión es que el ISEF logra estar presente en muchos barrios y en múltiples diálogos con diferentes actores sociales. La Imagen 1 mapea el desarrollo de la extensión de ISEF a la fecha. </w:t>
      </w:r>
    </w:p>
    <w:p>
      <w:pPr>
        <w:pStyle w:val="BodyText"/>
        <w:bidi w:val="0"/>
        <w:spacing w:lineRule="auto" w:line="240" w:before="0" w:after="198"/>
        <w:ind w:hanging="0" w:left="283" w:right="0"/>
        <w:jc w:val="both"/>
        <w:rPr>
          <w:rFonts w:ascii="Times New Roman" w:hAnsi="Times New Roman"/>
          <w:b/>
          <w:i w:val="false"/>
          <w:caps w:val="false"/>
          <w:smallCaps w:val="false"/>
          <w:strike w:val="false"/>
          <w:dstrike w:val="false"/>
          <w:color w:val="000000"/>
          <w:sz w:val="22"/>
          <w:u w:val="none"/>
          <w:effect w:val="none"/>
          <w:shd w:fill="auto" w:val="clear"/>
        </w:rPr>
      </w:pPr>
      <w:r>
        <w:rPr>
          <w:rFonts w:ascii="Times New Roman" w:hAnsi="Times New Roman"/>
          <w:b/>
          <w:i w:val="false"/>
          <w:caps w:val="false"/>
          <w:smallCaps w:val="false"/>
          <w:strike w:val="false"/>
          <w:dstrike w:val="false"/>
          <w:color w:val="000000"/>
          <w:sz w:val="22"/>
          <w:u w:val="none"/>
          <w:effect w:val="none"/>
          <w:shd w:fill="auto" w:val="clear"/>
        </w:rPr>
        <w:t>Imagen 1. Mapeo de lugares en donde ISEF desarrolla la extensión al 2025. </w:t>
      </w:r>
    </w:p>
    <w:p>
      <w:pPr>
        <w:pStyle w:val="BodyText"/>
        <w:bidi w:val="0"/>
        <w:spacing w:lineRule="auto" w:line="240" w:before="0" w:after="198"/>
        <w:ind w:hanging="0" w:left="283" w:right="181"/>
        <w:jc w:val="both"/>
        <w:rPr>
          <w:rFonts w:ascii="Times New Roman" w:hAnsi="Times New Roman"/>
        </w:rPr>
      </w:pPr>
      <w:r>
        <w:rPr>
          <w:rFonts w:ascii="Times New Roman" w:hAnsi="Times New Roman"/>
          <w:caps w:val="false"/>
          <w:smallCaps w:val="false"/>
          <w:strike w:val="false"/>
          <w:dstrike w:val="false"/>
          <w:color w:val="000000"/>
          <w:u w:val="none"/>
          <w:effect w:val="none"/>
          <w:shd w:fill="auto" w:val="clear"/>
        </w:rPr>
        <w:drawing>
          <wp:inline distT="0" distB="0" distL="0" distR="0">
            <wp:extent cx="5943600" cy="1781175"/>
            <wp:effectExtent l="0" t="0" r="0" b="0"/>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4"/>
                    <a:stretch>
                      <a:fillRect/>
                    </a:stretch>
                  </pic:blipFill>
                  <pic:spPr bwMode="auto">
                    <a:xfrm>
                      <a:off x="0" y="0"/>
                      <a:ext cx="5943600" cy="1781175"/>
                    </a:xfrm>
                    <a:prstGeom prst="rect">
                      <a:avLst/>
                    </a:prstGeom>
                  </pic:spPr>
                </pic:pic>
              </a:graphicData>
            </a:graphic>
          </wp:inline>
        </w:drawing>
      </w:r>
      <w:r>
        <w:rPr>
          <w:rFonts w:ascii="Times New Roman" w:hAnsi="Times New Roman"/>
          <w:b w:val="false"/>
          <w:i w:val="false"/>
          <w:caps w:val="false"/>
          <w:smallCaps w:val="false"/>
          <w:strike w:val="false"/>
          <w:dstrike w:val="false"/>
          <w:color w:val="000000"/>
          <w:sz w:val="20"/>
          <w:u w:val="none"/>
          <w:effect w:val="none"/>
          <w:shd w:fill="auto" w:val="clear"/>
        </w:rPr>
        <w:t>Fuente. Datos de UAEx.</w:t>
      </w:r>
    </w:p>
    <w:p>
      <w:pPr>
        <w:pStyle w:val="BodyText"/>
        <w:bidi w:val="0"/>
        <w:spacing w:lineRule="auto" w:line="240" w:before="0" w:after="198"/>
        <w:ind w:hanging="0" w:left="0" w:right="181"/>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La siguiente tabla presenta los actores universitarios y no universitarios con los que ISEF ha trabajado en este período. Ilustra la articulación y la colaboración entre ISEF y múltiples actores sociales en Uruguay. </w:t>
      </w:r>
    </w:p>
    <w:p>
      <w:pPr>
        <w:pStyle w:val="BodyText"/>
        <w:bidi w:val="0"/>
        <w:spacing w:lineRule="auto" w:line="240" w:before="0" w:after="198"/>
        <w:ind w:firstLine="140" w:left="285" w:right="0"/>
        <w:jc w:val="both"/>
        <w:rPr>
          <w:rFonts w:ascii="Times New Roman" w:hAnsi="Times New Roman"/>
          <w:b/>
          <w:i w:val="false"/>
          <w:caps w:val="false"/>
          <w:smallCaps w:val="false"/>
          <w:strike w:val="false"/>
          <w:dstrike w:val="false"/>
          <w:color w:val="000000"/>
          <w:sz w:val="24"/>
          <w:u w:val="none"/>
          <w:effect w:val="none"/>
          <w:shd w:fill="auto" w:val="clear"/>
        </w:rPr>
      </w:pPr>
      <w:r>
        <w:rPr>
          <w:rFonts w:ascii="Times New Roman" w:hAnsi="Times New Roman"/>
          <w:b/>
          <w:i w:val="false"/>
          <w:caps w:val="false"/>
          <w:smallCaps w:val="false"/>
          <w:strike w:val="false"/>
          <w:dstrike w:val="false"/>
          <w:color w:val="000000"/>
          <w:sz w:val="24"/>
          <w:u w:val="none"/>
          <w:effect w:val="none"/>
          <w:shd w:fill="auto" w:val="clear"/>
        </w:rPr>
        <w:t>Actores sociales de ISEF 2021-2025 en el territorio a nivel nacional </w:t>
      </w:r>
    </w:p>
    <w:tbl>
      <w:tblPr>
        <w:tblW w:w="7932" w:type="dxa"/>
        <w:jc w:val="left"/>
        <w:tblInd w:w="562" w:type="dxa"/>
        <w:tblLayout w:type="fixed"/>
        <w:tblCellMar>
          <w:top w:w="100" w:type="dxa"/>
          <w:left w:w="100" w:type="dxa"/>
          <w:bottom w:w="100" w:type="dxa"/>
          <w:right w:w="100" w:type="dxa"/>
        </w:tblCellMar>
      </w:tblPr>
      <w:tblGrid>
        <w:gridCol w:w="3829"/>
        <w:gridCol w:w="4103"/>
      </w:tblGrid>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Actores sociales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i w:val="false"/>
                <w:caps w:val="false"/>
                <w:smallCaps w:val="false"/>
                <w:strike w:val="false"/>
                <w:dstrike w:val="false"/>
                <w:color w:val="000000"/>
                <w:sz w:val="20"/>
                <w:u w:val="none"/>
                <w:effect w:val="none"/>
                <w:shd w:fill="auto" w:val="clear"/>
              </w:rPr>
            </w:pPr>
            <w:r>
              <w:rPr>
                <w:rFonts w:ascii="Times New Roman" w:hAnsi="Times New Roman"/>
                <w:b/>
                <w:i w:val="false"/>
                <w:caps w:val="false"/>
                <w:smallCaps w:val="false"/>
                <w:strike w:val="false"/>
                <w:dstrike w:val="false"/>
                <w:color w:val="000000"/>
                <w:sz w:val="20"/>
                <w:u w:val="none"/>
                <w:effect w:val="none"/>
                <w:shd w:fill="auto" w:val="clear"/>
              </w:rPr>
              <w:t>Servicios Universitarios</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Colectivo Idea Vilariño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Bienestar Universitario</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Colectivo Memoria Malvín Norte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Espacio interdisciplinario</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Centro Cultural Malvín Norte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Archivo General de la Udelar</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Programa Esquinas de la Cultura (IM)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Psicología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Secretaría de Educación Física, Deporte y Recreación (IM)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Humanidades (Antropología- Educación)</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Programa Urbano Este y Oeste (MEC)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Artes (Licenciatura en Danza, Escuela de Música)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Escuelas (Parque Batlle, Malvín Norte, Flor de Maroñas, Cerro, Paso de Las Duranas, Maldonado)</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Información y Comunicación (Archivología-Biblioteco logía)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Policlínica San Lorenzo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Ciencias Sociales</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Club Alumni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Arquitectura, Diseño y Urbanismo</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INAU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EUTM (Psicomotricidad)</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Centro Cultural Florencio Sánchez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Derecho</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Club Yale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Medicina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Villa Española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Odontología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434343"/>
                <w:sz w:val="20"/>
                <w:u w:val="none"/>
                <w:effect w:val="none"/>
                <w:shd w:fill="auto" w:val="clear"/>
              </w:rPr>
            </w:pPr>
            <w:r>
              <w:rPr>
                <w:rFonts w:ascii="Times New Roman" w:hAnsi="Times New Roman"/>
                <w:b w:val="false"/>
                <w:i w:val="false"/>
                <w:caps w:val="false"/>
                <w:smallCaps w:val="false"/>
                <w:strike w:val="false"/>
                <w:dstrike w:val="false"/>
                <w:color w:val="434343"/>
                <w:sz w:val="20"/>
                <w:u w:val="none"/>
                <w:effect w:val="none"/>
                <w:shd w:fill="auto" w:val="clear"/>
              </w:rPr>
              <w:t>CRECE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Nutrición</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434343"/>
                <w:sz w:val="20"/>
                <w:u w:val="none"/>
                <w:effect w:val="none"/>
                <w:shd w:fill="auto" w:val="clear"/>
              </w:rPr>
            </w:pPr>
            <w:r>
              <w:rPr>
                <w:rFonts w:ascii="Times New Roman" w:hAnsi="Times New Roman"/>
                <w:b w:val="false"/>
                <w:i w:val="false"/>
                <w:caps w:val="false"/>
                <w:smallCaps w:val="false"/>
                <w:strike w:val="false"/>
                <w:dstrike w:val="false"/>
                <w:color w:val="434343"/>
                <w:sz w:val="20"/>
                <w:u w:val="none"/>
                <w:effect w:val="none"/>
                <w:shd w:fill="auto" w:val="clear"/>
              </w:rPr>
              <w:t>SACUDE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Agronomía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Uruguay Celeste Deporte y Diversidad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Ciencias</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Club Pontevedrés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Química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Comisión fomento del Teatro y Plaza Flor de Maroñas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Veterinaria</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Museo Nacional de Antropología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CENUR Litoral Norte</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Parque Tecnológico Industrial (PTI Cerro)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CENUR Noreste (Licenciatura en Recursos Naturales)</w:t>
            </w:r>
          </w:p>
        </w:tc>
      </w:tr>
      <w:tr>
        <w:trPr/>
        <w:tc>
          <w:tcPr>
            <w:tcW w:w="3829"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hanging="0" w:left="0"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Parque Público Punta Yeguas </w:t>
            </w:r>
          </w:p>
        </w:tc>
        <w:tc>
          <w:tcPr>
            <w:tcW w:w="4103" w:type="dxa"/>
            <w:tcBorders>
              <w:top w:val="single" w:sz="8" w:space="0" w:color="000000"/>
              <w:left w:val="single" w:sz="8" w:space="0" w:color="000000"/>
              <w:bottom w:val="single" w:sz="8" w:space="0" w:color="000000"/>
              <w:right w:val="single" w:sz="8" w:space="0" w:color="000000"/>
            </w:tcBorders>
            <w:vAlign w:val="center"/>
          </w:tcPr>
          <w:p>
            <w:pPr>
              <w:pStyle w:val="Contenidodelatabla"/>
              <w:bidi w:val="0"/>
              <w:spacing w:lineRule="auto" w:line="240" w:before="0" w:after="0"/>
              <w:ind w:firstLine="140" w:left="285"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CURE (Licenciatura en Gestión Ambiental)</w:t>
            </w:r>
          </w:p>
        </w:tc>
      </w:tr>
    </w:tbl>
    <w:p>
      <w:pPr>
        <w:pStyle w:val="BodyText"/>
        <w:bidi w:val="0"/>
        <w:spacing w:lineRule="auto" w:line="240" w:before="68" w:after="198"/>
        <w:ind w:firstLine="140" w:left="285" w:right="0"/>
        <w:jc w:val="both"/>
        <w:rPr>
          <w:rFonts w:ascii="Times New Roman" w:hAnsi="Times New Roman"/>
          <w:b w:val="false"/>
          <w:i w:val="false"/>
          <w:caps w:val="false"/>
          <w:smallCaps w:val="false"/>
          <w:strike w:val="false"/>
          <w:dstrike w:val="false"/>
          <w:color w:val="000000"/>
          <w:sz w:val="20"/>
          <w:u w:val="none"/>
          <w:effect w:val="none"/>
          <w:shd w:fill="auto" w:val="clear"/>
        </w:rPr>
      </w:pPr>
      <w:r>
        <w:rPr>
          <w:rFonts w:ascii="Times New Roman" w:hAnsi="Times New Roman"/>
          <w:b w:val="false"/>
          <w:i w:val="false"/>
          <w:caps w:val="false"/>
          <w:smallCaps w:val="false"/>
          <w:strike w:val="false"/>
          <w:dstrike w:val="false"/>
          <w:color w:val="000000"/>
          <w:sz w:val="20"/>
          <w:u w:val="none"/>
          <w:effect w:val="none"/>
          <w:shd w:fill="auto" w:val="clear"/>
        </w:rPr>
        <w:t>Fuente. Datos de UAEx.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La relación de las actividades de extensión con las diferentes unidades curriculares, grupos/ líneas de investigación, departamentos, coordinaciones, espacios y proyectos, es un desafío para sistematizar para el próximo Plan de Desarrollo Institucional (PDI) del ISEF. </w:t>
      </w:r>
    </w:p>
    <w:p>
      <w:pPr>
        <w:pStyle w:val="BodyText"/>
        <w:bidi w:val="0"/>
        <w:spacing w:lineRule="auto" w:line="240" w:before="0" w:after="198"/>
        <w:ind w:hanging="0" w:left="0" w:right="0"/>
        <w:jc w:val="both"/>
        <w:rPr>
          <w:rFonts w:ascii="Times New Roman" w:hAnsi="Times New Roman"/>
          <w:b/>
          <w:i w:val="false"/>
          <w:caps w:val="false"/>
          <w:smallCaps w:val="false"/>
          <w:strike w:val="false"/>
          <w:dstrike w:val="false"/>
          <w:color w:val="000000"/>
          <w:sz w:val="24"/>
          <w:u w:val="none"/>
          <w:effect w:val="none"/>
          <w:shd w:fill="auto" w:val="clear"/>
        </w:rPr>
      </w:pPr>
      <w:r>
        <w:rPr>
          <w:rFonts w:ascii="Times New Roman" w:hAnsi="Times New Roman"/>
          <w:b/>
          <w:i w:val="false"/>
          <w:caps w:val="false"/>
          <w:smallCaps w:val="false"/>
          <w:strike w:val="false"/>
          <w:dstrike w:val="false"/>
          <w:color w:val="000000"/>
          <w:sz w:val="24"/>
          <w:u w:val="none"/>
          <w:effect w:val="none"/>
          <w:shd w:fill="auto" w:val="clear"/>
        </w:rPr>
        <w:t>Consideraciones finales </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El artículo da cuenta del avance de la Extensión durante este primer P</w:t>
      </w:r>
      <w:r>
        <w:rPr>
          <w:rFonts w:ascii="Times New Roman" w:hAnsi="Times New Roman"/>
          <w:b w:val="false"/>
          <w:i w:val="false"/>
          <w:caps w:val="false"/>
          <w:smallCaps w:val="false"/>
          <w:strike w:val="false"/>
          <w:dstrike w:val="false"/>
          <w:color w:val="000000"/>
          <w:sz w:val="24"/>
          <w:u w:val="none"/>
          <w:effect w:val="none"/>
          <w:shd w:fill="FFFFFF" w:val="clear"/>
        </w:rPr>
        <w:t>lan de Desarrollo de la Extensión</w:t>
      </w:r>
      <w:r>
        <w:rPr>
          <w:rFonts w:ascii="Times New Roman" w:hAnsi="Times New Roman"/>
          <w:b w:val="false"/>
          <w:i w:val="false"/>
          <w:caps w:val="false"/>
          <w:smallCaps w:val="false"/>
          <w:strike w:val="false"/>
          <w:dstrike w:val="false"/>
          <w:color w:val="000000"/>
          <w:sz w:val="24"/>
          <w:u w:val="none"/>
          <w:effect w:val="none"/>
          <w:shd w:fill="auto" w:val="clear"/>
        </w:rPr>
        <w:t>, enfatizando el interés de la Unidad por sensibilizar la importancia de su integración a la formación integral en tanto servicio universitario. Se visualizan incrementos en la cantidad de proyectos de trabajo, especialmente a partir del 2021, momento en el que ISEF apuesta al desarrollo de una política asociada a estas actividades. La colaboración con diversos actores sociales y distintos servicios universitarios y organizaciones territoriales ha sido clave para abordar los desafíos en educación física y promover espacios de construcción social de saberes. Esta interconexión ha enriquecido tanto la formación académica como las intervenciones en la comunidad. </w:t>
      </w:r>
    </w:p>
    <w:p>
      <w:pPr>
        <w:pStyle w:val="BodyText"/>
        <w:bidi w:val="0"/>
        <w:spacing w:lineRule="auto" w:line="240" w:before="0" w:after="198"/>
        <w:ind w:hanging="0" w:left="0" w:right="0"/>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A partir del trabajo de sistematización y análisis de la información recabada en este período, se perciben algunos desafíos a considerar en el trabajo del nuevo Plan de Desarrollo Institucional 2026-2030.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En términos de formación y conceptualización de la Extensión aún se percibe un componente de debilidad. No se han logrado consolidar espacios de formación en Extensión sustantivos y de amplio alcance tanto en términos de docentes como de estudiantes. Continúa siendo un desafío encontrar espacios en los que problematizar el lugar de la Extensión en la formación de la Licenciatura (hoy en día es una clase en un curso de introducción a la vida universitaria y en los estudiantes que optativamente se inscriben a EFIs). A nivel docente se han generado instancias puntuales a iniciativa de la UAEx con participación de docentes que vienen vinculados a la Extensión. Resulta importante encontrar instancias de alcance mayor en los que se pueda establecer intercambios con quienes no tienen desarrollo en la función.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La distinción entre los Espacios de Formación Integral y los Proyectos de Extensión resulta un aspecto a continuar consolidando. En este sentido resulta necesario sostener el desarrollo y formalización de los EFIs en la institución tanto para docentes como para estudiantes; y establecer mecanismos claros de reconocimiento y convalidación para los Proyectos de Extensión. A partir de allí continuar desarrollando estrategias para vincular a docentes que presentan desconocimiento de la función y presentan dificultades para vincularse.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Se reconoce una p</w:t>
      </w:r>
      <w:r>
        <w:rPr>
          <w:rFonts w:ascii="Times New Roman" w:hAnsi="Times New Roman"/>
          <w:b w:val="false"/>
          <w:i w:val="false"/>
          <w:caps w:val="false"/>
          <w:smallCaps w:val="false"/>
          <w:strike w:val="false"/>
          <w:dstrike w:val="false"/>
          <w:color w:val="000000"/>
          <w:sz w:val="24"/>
          <w:u w:val="none"/>
          <w:effect w:val="none"/>
          <w:shd w:fill="auto" w:val="clear"/>
        </w:rPr>
        <w:t xml:space="preserve">articipación estudiantil </w:t>
      </w:r>
      <w:r>
        <w:rPr>
          <w:rFonts w:ascii="Times New Roman" w:hAnsi="Times New Roman"/>
          <w:b w:val="false"/>
          <w:i w:val="false"/>
          <w:caps w:val="false"/>
          <w:smallCaps w:val="false"/>
          <w:strike w:val="false"/>
          <w:dstrike w:val="false"/>
          <w:color w:val="000000"/>
          <w:sz w:val="24"/>
          <w:u w:val="none"/>
          <w:effect w:val="none"/>
          <w:shd w:fill="auto" w:val="clear"/>
        </w:rPr>
        <w:t xml:space="preserve">que aún resulta </w:t>
      </w:r>
      <w:r>
        <w:rPr>
          <w:rFonts w:ascii="Times New Roman" w:hAnsi="Times New Roman"/>
          <w:b w:val="false"/>
          <w:i w:val="false"/>
          <w:caps w:val="false"/>
          <w:smallCaps w:val="false"/>
          <w:strike w:val="false"/>
          <w:dstrike w:val="false"/>
          <w:color w:val="000000"/>
          <w:sz w:val="24"/>
          <w:u w:val="none"/>
          <w:effect w:val="none"/>
          <w:shd w:fill="auto" w:val="clear"/>
        </w:rPr>
        <w:t xml:space="preserve">débil </w:t>
      </w:r>
      <w:r>
        <w:rPr>
          <w:rFonts w:ascii="Times New Roman" w:hAnsi="Times New Roman"/>
          <w:b w:val="false"/>
          <w:i w:val="false"/>
          <w:caps w:val="false"/>
          <w:smallCaps w:val="false"/>
          <w:strike w:val="false"/>
          <w:dstrike w:val="false"/>
          <w:color w:val="000000"/>
          <w:sz w:val="24"/>
          <w:u w:val="none"/>
          <w:effect w:val="none"/>
          <w:shd w:fill="auto" w:val="clear"/>
        </w:rPr>
        <w:t>en relación a la masa estudiantil que cursa la Licenciatura en Educación Física</w:t>
      </w:r>
      <w:r>
        <w:rPr>
          <w:rFonts w:ascii="Times New Roman" w:hAnsi="Times New Roman"/>
          <w:b w:val="false"/>
          <w:i w:val="false"/>
          <w:caps w:val="false"/>
          <w:smallCaps w:val="false"/>
          <w:strike w:val="false"/>
          <w:dstrike w:val="false"/>
          <w:color w:val="000000"/>
          <w:sz w:val="24"/>
          <w:u w:val="none"/>
          <w:effect w:val="none"/>
          <w:shd w:fill="auto" w:val="clear"/>
        </w:rPr>
        <w:t>. A pesar de los avances, persisten desafíos en la participación de los estudiantes en los EFIs, lo que sugiere la necesidad de estrategias más efectivas para fomentar la vinculación con la extensión desde el inicio de sus trayectorias formativas. </w:t>
      </w:r>
    </w:p>
    <w:p>
      <w:pPr>
        <w:pStyle w:val="BodyText"/>
        <w:bidi w:val="0"/>
        <w:spacing w:lineRule="auto" w:line="240" w:before="0" w:after="198"/>
        <w:ind w:hanging="0" w:left="0" w:right="6"/>
        <w:jc w:val="both"/>
        <w:rPr>
          <w:rFonts w:ascii="Times New Roman" w:hAnsi="Times New Roman"/>
          <w:b w:val="false"/>
          <w:i w:val="false"/>
          <w:caps w:val="false"/>
          <w:smallCaps w:val="false"/>
          <w:strike w:val="false"/>
          <w:dstrike w:val="false"/>
          <w:color w:val="000000"/>
          <w:sz w:val="24"/>
          <w:u w:val="none"/>
          <w:effect w:val="none"/>
          <w:shd w:fill="auto" w:val="clear"/>
        </w:rPr>
      </w:pPr>
      <w:r>
        <w:rPr>
          <w:rFonts w:ascii="Times New Roman" w:hAnsi="Times New Roman"/>
          <w:b w:val="false"/>
          <w:i w:val="false"/>
          <w:caps w:val="false"/>
          <w:smallCaps w:val="false"/>
          <w:strike w:val="false"/>
          <w:dstrike w:val="false"/>
          <w:color w:val="000000"/>
          <w:sz w:val="24"/>
          <w:u w:val="none"/>
          <w:effect w:val="none"/>
          <w:shd w:fill="auto" w:val="clear"/>
        </w:rPr>
        <w:t>Se observa una n</w:t>
      </w:r>
      <w:r>
        <w:rPr>
          <w:rFonts w:ascii="Times New Roman" w:hAnsi="Times New Roman"/>
          <w:b w:val="false"/>
          <w:i w:val="false"/>
          <w:caps w:val="false"/>
          <w:smallCaps w:val="false"/>
          <w:strike w:val="false"/>
          <w:dstrike w:val="false"/>
          <w:color w:val="000000"/>
          <w:sz w:val="24"/>
          <w:u w:val="none"/>
          <w:effect w:val="none"/>
          <w:shd w:fill="auto" w:val="clear"/>
        </w:rPr>
        <w:t>ecesidad de mejorar la sistematización del trabajo. Se identifica la importancia de sistematizar las relaciones entre las actividades de extensión en general y con las unidades curriculares, así como realizar un mapeo que permita visualizar de manera clara los enclaves de acción en el futuro. Del mismo modo, sistematizar la relación de la extensión con el grado y el posgrado.  </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Proponemos v</w:t>
      </w:r>
      <w:r>
        <w:rPr>
          <w:rFonts w:ascii="Times New Roman" w:hAnsi="Times New Roman"/>
          <w:b w:val="false"/>
          <w:i w:val="false"/>
          <w:caps w:val="false"/>
          <w:smallCaps w:val="false"/>
          <w:strike w:val="false"/>
          <w:dstrike w:val="false"/>
          <w:color w:val="000000"/>
          <w:sz w:val="24"/>
          <w:u w:val="none"/>
          <w:effect w:val="none"/>
          <w:shd w:fill="auto" w:val="clear"/>
        </w:rPr>
        <w:t xml:space="preserve">alorar </w:t>
      </w:r>
      <w:r>
        <w:rPr>
          <w:rFonts w:ascii="Times New Roman" w:hAnsi="Times New Roman"/>
          <w:b w:val="false"/>
          <w:i w:val="false"/>
          <w:caps w:val="false"/>
          <w:smallCaps w:val="false"/>
          <w:strike w:val="false"/>
          <w:dstrike w:val="false"/>
          <w:color w:val="000000"/>
          <w:sz w:val="24"/>
          <w:u w:val="none"/>
          <w:effect w:val="none"/>
          <w:shd w:fill="auto" w:val="clear"/>
        </w:rPr>
        <w:t>la implementación</w:t>
      </w:r>
      <w:r>
        <w:rPr>
          <w:rFonts w:ascii="Times New Roman" w:hAnsi="Times New Roman"/>
          <w:b w:val="false"/>
          <w:i w:val="false"/>
          <w:caps w:val="false"/>
          <w:smallCaps w:val="false"/>
          <w:strike w:val="false"/>
          <w:dstrike w:val="false"/>
          <w:color w:val="000000"/>
          <w:sz w:val="24"/>
          <w:u w:val="none"/>
          <w:effect w:val="none"/>
          <w:shd w:fill="auto" w:val="clear"/>
        </w:rPr>
        <w:t xml:space="preserve"> de una línea presupuestaria específica para el trabajo en extensión </w:t>
      </w:r>
      <w:r>
        <w:rPr>
          <w:rFonts w:ascii="Times New Roman" w:hAnsi="Times New Roman"/>
          <w:b w:val="false"/>
          <w:i w:val="false"/>
          <w:caps w:val="false"/>
          <w:smallCaps w:val="false"/>
          <w:strike w:val="false"/>
          <w:dstrike w:val="false"/>
          <w:color w:val="000000"/>
          <w:sz w:val="24"/>
          <w:u w:val="none"/>
          <w:effect w:val="none"/>
          <w:shd w:fill="auto" w:val="clear"/>
        </w:rPr>
        <w:t>en ISEF</w:t>
      </w:r>
      <w:r>
        <w:rPr>
          <w:rFonts w:ascii="Times New Roman" w:hAnsi="Times New Roman"/>
          <w:b w:val="false"/>
          <w:i w:val="false"/>
          <w:caps w:val="false"/>
          <w:smallCaps w:val="false"/>
          <w:strike w:val="false"/>
          <w:dstrike w:val="false"/>
          <w:color w:val="000000"/>
          <w:sz w:val="24"/>
          <w:u w:val="none"/>
          <w:effect w:val="none"/>
          <w:shd w:fill="auto" w:val="clear"/>
        </w:rPr>
        <w:t>. Ante la preocupación de encontrar una función que todavía continúa relegada en su desarrollo a nivel institucional, y el reconocimiento de su contribución tanto a la formación académica como (y especialmente) a la relación de ISEF con la sociedad, se reconoce importante enfatizar en el diseño y apoyo de políticas focalizadas en el desarrollo de la extensión universitaria que otorguen posibilidades para que docentes y estudiantes interesados encuentren los mecanismos para incorporar a su quehacer, pensando en el impacto del trabajo de la Educación Física en las comunidades, promoviendo procesos de democratización del conocimiento y la atención a la formación en diálogo con los sectores vulnerados. </w:t>
      </w:r>
    </w:p>
    <w:p>
      <w:pPr>
        <w:pStyle w:val="BodyText"/>
        <w:bidi w:val="0"/>
        <w:spacing w:lineRule="auto" w:line="240" w:before="0" w:after="198"/>
        <w:ind w:hanging="0" w:left="0" w:right="6"/>
        <w:jc w:val="both"/>
        <w:rPr>
          <w:rFonts w:ascii="Times New Roman" w:hAnsi="Times New Roman"/>
          <w:b/>
          <w:i w:val="false"/>
          <w:caps w:val="false"/>
          <w:smallCaps w:val="false"/>
          <w:strike w:val="false"/>
          <w:dstrike w:val="false"/>
          <w:color w:val="000000"/>
          <w:sz w:val="24"/>
          <w:u w:val="none"/>
          <w:effect w:val="none"/>
          <w:shd w:fill="auto" w:val="clear"/>
        </w:rPr>
      </w:pPr>
      <w:r>
        <w:rPr>
          <w:rFonts w:ascii="Times New Roman" w:hAnsi="Times New Roman"/>
          <w:b/>
          <w:i w:val="false"/>
          <w:caps w:val="false"/>
          <w:smallCaps w:val="false"/>
          <w:strike w:val="false"/>
          <w:dstrike w:val="false"/>
          <w:color w:val="000000"/>
          <w:sz w:val="24"/>
          <w:u w:val="none"/>
          <w:effect w:val="none"/>
          <w:shd w:fill="auto" w:val="clear"/>
        </w:rPr>
        <w:t>Referencias Bibliográficas</w:t>
      </w:r>
    </w:p>
    <w:p>
      <w:pPr>
        <w:pStyle w:val="BodyText"/>
        <w:bidi w:val="0"/>
        <w:spacing w:lineRule="auto" w:line="240" w:before="0" w:after="198"/>
        <w:ind w:hanging="0" w:left="0" w:right="6"/>
        <w:jc w:val="both"/>
        <w:rPr>
          <w:rFonts w:ascii="Times New Roman" w:hAnsi="Times New Roman"/>
        </w:rPr>
      </w:pPr>
      <w:r>
        <w:rPr>
          <w:rFonts w:ascii="Times New Roman" w:hAnsi="Times New Roman"/>
          <w:b w:val="false"/>
          <w:i w:val="false"/>
          <w:caps w:val="false"/>
          <w:smallCaps w:val="false"/>
          <w:strike w:val="false"/>
          <w:dstrike w:val="false"/>
          <w:color w:val="000000"/>
          <w:sz w:val="24"/>
          <w:u w:val="none"/>
          <w:effect w:val="none"/>
          <w:shd w:fill="auto" w:val="clear"/>
        </w:rPr>
        <w:t xml:space="preserve">Ríos, C. (2025) </w:t>
      </w:r>
      <w:r>
        <w:rPr>
          <w:rFonts w:ascii="Times New Roman" w:hAnsi="Times New Roman"/>
          <w:b w:val="false"/>
          <w:i/>
          <w:caps w:val="false"/>
          <w:smallCaps w:val="false"/>
          <w:strike w:val="false"/>
          <w:dstrike w:val="false"/>
          <w:color w:val="000000"/>
          <w:sz w:val="24"/>
          <w:u w:val="none"/>
          <w:effect w:val="none"/>
          <w:shd w:fill="auto" w:val="clear"/>
        </w:rPr>
        <w:t xml:space="preserve">Informe sobre el Plan de Desarrollo de la Extensión 2021-2025. </w:t>
      </w:r>
      <w:r>
        <w:rPr>
          <w:rFonts w:ascii="Times New Roman" w:hAnsi="Times New Roman"/>
          <w:b w:val="false"/>
          <w:i w:val="false"/>
          <w:caps w:val="false"/>
          <w:smallCaps w:val="false"/>
          <w:strike w:val="false"/>
          <w:dstrike w:val="false"/>
          <w:color w:val="000000"/>
          <w:sz w:val="24"/>
          <w:u w:val="none"/>
          <w:effect w:val="none"/>
          <w:shd w:fill="auto" w:val="clear"/>
        </w:rPr>
        <w:t>Unidad de Apoyo a la Gestión Institucional- Área de Extensión y Programas Integrales - ISEF.</w:t>
      </w:r>
    </w:p>
    <w:p>
      <w:pPr>
        <w:pStyle w:val="BodyText"/>
        <w:bidi w:val="0"/>
        <w:spacing w:lineRule="auto" w:line="240" w:before="0" w:after="198"/>
        <w:ind w:hanging="0" w:left="0" w:right="6"/>
        <w:jc w:val="both"/>
        <w:rPr>
          <w:rFonts w:ascii="Times New Roman" w:hAnsi="Times New Roman"/>
          <w:caps w:val="false"/>
          <w:smallCaps w:val="false"/>
          <w:strike w:val="false"/>
          <w:dstrike w:val="false"/>
          <w:color w:val="000000"/>
          <w:u w:val="none"/>
          <w:effect w:val="none"/>
          <w:shd w:fill="auto" w:val="clear"/>
        </w:rPr>
      </w:pPr>
      <w:r>
        <w:rPr>
          <w:rFonts w:ascii="Times New Roman" w:hAnsi="Times New Roman"/>
          <w:caps w:val="false"/>
          <w:smallCaps w:val="false"/>
          <w:strike w:val="false"/>
          <w:dstrike w:val="false"/>
          <w:color w:val="000000"/>
          <w:u w:val="none"/>
          <w:effect w:val="none"/>
          <w:shd w:fill="auto" w:val="clear"/>
        </w:rPr>
        <w:t> </w:t>
      </w:r>
    </w:p>
    <w:p>
      <w:pPr>
        <w:pStyle w:val="Normal"/>
        <w:spacing w:before="0" w:after="198"/>
        <w:jc w:val="center"/>
        <w:rPr>
          <w:rFonts w:ascii="Times New Roman" w:hAnsi="Times New Roman"/>
        </w:rPr>
      </w:pPr>
      <w:r>
        <w:rPr>
          <w:rFonts w:ascii="Times New Roman" w:hAnsi="Times New Roman"/>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701" w:right="1701" w:gutter="0" w:header="284" w:top="2410" w:footer="0" w:bottom="1843"/>
      <w:pgBorders w:display="allPages" w:offsetFrom="page">
        <w:left w:val="single" w:sz="48" w:space="12" w:color="00B0F0"/>
        <w:right w:val="single" w:sz="48" w:space="12" w:color="00B0F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4"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5"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3"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2595880" cy="108204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2595880" cy="108204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A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Calibri" w:hAnsi="Calibri" w:eastAsia="Calibri" w:cs="" w:asciiTheme="minorHAnsi" w:cstheme="minorBidi" w:eastAsiaTheme="minorHAnsi" w:hAnsiTheme="minorHAnsi"/>
      <w:color w:val="auto"/>
      <w:kern w:val="2"/>
      <w:sz w:val="24"/>
      <w:szCs w:val="24"/>
      <w:lang w:val="es-419" w:eastAsia="en-US" w:bidi="ar-SA"/>
      <w14:ligatures w14:val="standardContextual"/>
    </w:rPr>
  </w:style>
  <w:style w:type="paragraph" w:styleId="Heading1">
    <w:name w:val="Heading 1"/>
    <w:basedOn w:val="Normal"/>
    <w:next w:val="Normal"/>
    <w:link w:val="Ttulo1Car"/>
    <w:uiPriority w:val="9"/>
    <w:qFormat/>
    <w:rsid w:val="001923d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Ttulo2Car"/>
    <w:uiPriority w:val="9"/>
    <w:semiHidden/>
    <w:unhideWhenUsed/>
    <w:qFormat/>
    <w:rsid w:val="001923dc"/>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Ttulo3Car"/>
    <w:uiPriority w:val="9"/>
    <w:semiHidden/>
    <w:unhideWhenUsed/>
    <w:qFormat/>
    <w:rsid w:val="001923dc"/>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Ttulo4Car"/>
    <w:uiPriority w:val="9"/>
    <w:semiHidden/>
    <w:unhideWhenUsed/>
    <w:qFormat/>
    <w:rsid w:val="001923dc"/>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Ttulo5Car"/>
    <w:uiPriority w:val="9"/>
    <w:semiHidden/>
    <w:unhideWhenUsed/>
    <w:qFormat/>
    <w:rsid w:val="001923dc"/>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Ttulo6Car"/>
    <w:uiPriority w:val="9"/>
    <w:semiHidden/>
    <w:unhideWhenUsed/>
    <w:qFormat/>
    <w:rsid w:val="001923d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ar"/>
    <w:uiPriority w:val="9"/>
    <w:semiHidden/>
    <w:unhideWhenUsed/>
    <w:qFormat/>
    <w:rsid w:val="001923d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ar"/>
    <w:uiPriority w:val="9"/>
    <w:semiHidden/>
    <w:unhideWhenUsed/>
    <w:qFormat/>
    <w:rsid w:val="001923dc"/>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tulo9Car"/>
    <w:uiPriority w:val="9"/>
    <w:semiHidden/>
    <w:unhideWhenUsed/>
    <w:qFormat/>
    <w:rsid w:val="001923dc"/>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1923dc"/>
    <w:rPr>
      <w:rFonts w:ascii="Calibri Light" w:hAnsi="Calibri Light" w:eastAsia="" w:cs="" w:asciiTheme="majorHAnsi" w:cstheme="majorBidi" w:eastAsiaTheme="majorEastAsia" w:hAnsiTheme="majorHAnsi"/>
      <w:color w:themeColor="accent1" w:themeShade="bf" w:val="2F5496"/>
      <w:sz w:val="40"/>
      <w:szCs w:val="40"/>
    </w:rPr>
  </w:style>
  <w:style w:type="character" w:styleId="Ttulo2Car" w:customStyle="1">
    <w:name w:val="Título 2 Car"/>
    <w:basedOn w:val="DefaultParagraphFont"/>
    <w:uiPriority w:val="9"/>
    <w:semiHidden/>
    <w:qFormat/>
    <w:rsid w:val="001923dc"/>
    <w:rPr>
      <w:rFonts w:ascii="Calibri Light" w:hAnsi="Calibri Light" w:eastAsia="" w:cs="" w:asciiTheme="majorHAnsi" w:cstheme="majorBidi" w:eastAsiaTheme="majorEastAsia" w:hAnsiTheme="majorHAnsi"/>
      <w:color w:themeColor="accent1" w:themeShade="bf" w:val="2F5496"/>
      <w:sz w:val="32"/>
      <w:szCs w:val="32"/>
    </w:rPr>
  </w:style>
  <w:style w:type="character" w:styleId="Ttulo3Car" w:customStyle="1">
    <w:name w:val="Título 3 Car"/>
    <w:basedOn w:val="DefaultParagraphFont"/>
    <w:uiPriority w:val="9"/>
    <w:semiHidden/>
    <w:qFormat/>
    <w:rsid w:val="001923dc"/>
    <w:rPr>
      <w:rFonts w:eastAsia="" w:cs="" w:cstheme="majorBidi" w:eastAsiaTheme="majorEastAsia"/>
      <w:color w:themeColor="accent1" w:themeShade="bf" w:val="2F5496"/>
      <w:sz w:val="28"/>
      <w:szCs w:val="28"/>
    </w:rPr>
  </w:style>
  <w:style w:type="character" w:styleId="Ttulo4Car" w:customStyle="1">
    <w:name w:val="Título 4 Car"/>
    <w:basedOn w:val="DefaultParagraphFont"/>
    <w:uiPriority w:val="9"/>
    <w:semiHidden/>
    <w:qFormat/>
    <w:rsid w:val="001923dc"/>
    <w:rPr>
      <w:rFonts w:eastAsia="" w:cs="" w:cstheme="majorBidi" w:eastAsiaTheme="majorEastAsia"/>
      <w:i/>
      <w:iCs/>
      <w:color w:themeColor="accent1" w:themeShade="bf" w:val="2F5496"/>
    </w:rPr>
  </w:style>
  <w:style w:type="character" w:styleId="Ttulo5Car" w:customStyle="1">
    <w:name w:val="Título 5 Car"/>
    <w:basedOn w:val="DefaultParagraphFont"/>
    <w:uiPriority w:val="9"/>
    <w:semiHidden/>
    <w:qFormat/>
    <w:rsid w:val="001923dc"/>
    <w:rPr>
      <w:rFonts w:eastAsia="" w:cs="" w:cstheme="majorBidi" w:eastAsiaTheme="majorEastAsia"/>
      <w:color w:themeColor="accent1" w:themeShade="bf" w:val="2F5496"/>
    </w:rPr>
  </w:style>
  <w:style w:type="character" w:styleId="Ttulo6Car" w:customStyle="1">
    <w:name w:val="Título 6 Car"/>
    <w:basedOn w:val="DefaultParagraphFont"/>
    <w:uiPriority w:val="9"/>
    <w:semiHidden/>
    <w:qFormat/>
    <w:rsid w:val="001923dc"/>
    <w:rPr>
      <w:rFonts w:eastAsia="" w:cs="" w:cstheme="majorBidi" w:eastAsiaTheme="majorEastAsia"/>
      <w:i/>
      <w:iCs/>
      <w:color w:themeColor="text1" w:themeTint="a6" w:val="595959"/>
    </w:rPr>
  </w:style>
  <w:style w:type="character" w:styleId="Ttulo7Car" w:customStyle="1">
    <w:name w:val="Título 7 Car"/>
    <w:basedOn w:val="DefaultParagraphFont"/>
    <w:uiPriority w:val="9"/>
    <w:semiHidden/>
    <w:qFormat/>
    <w:rsid w:val="001923dc"/>
    <w:rPr>
      <w:rFonts w:eastAsia="" w:cs="" w:cstheme="majorBidi" w:eastAsiaTheme="majorEastAsia"/>
      <w:color w:themeColor="text1" w:themeTint="a6" w:val="595959"/>
    </w:rPr>
  </w:style>
  <w:style w:type="character" w:styleId="Ttulo8Car" w:customStyle="1">
    <w:name w:val="Título 8 Car"/>
    <w:basedOn w:val="DefaultParagraphFont"/>
    <w:uiPriority w:val="9"/>
    <w:semiHidden/>
    <w:qFormat/>
    <w:rsid w:val="001923dc"/>
    <w:rPr>
      <w:rFonts w:eastAsia="" w:cs="" w:cstheme="majorBidi" w:eastAsiaTheme="majorEastAsia"/>
      <w:i/>
      <w:iCs/>
      <w:color w:themeColor="text1" w:themeTint="d8" w:val="272727"/>
    </w:rPr>
  </w:style>
  <w:style w:type="character" w:styleId="Ttulo9Car" w:customStyle="1">
    <w:name w:val="Título 9 Car"/>
    <w:basedOn w:val="DefaultParagraphFont"/>
    <w:uiPriority w:val="9"/>
    <w:semiHidden/>
    <w:qFormat/>
    <w:rsid w:val="001923dc"/>
    <w:rPr>
      <w:rFonts w:eastAsia="" w:cs="" w:cstheme="majorBidi" w:eastAsiaTheme="majorEastAsia"/>
      <w:color w:themeColor="text1" w:themeTint="d8" w:val="272727"/>
    </w:rPr>
  </w:style>
  <w:style w:type="character" w:styleId="TtuloCar" w:customStyle="1">
    <w:name w:val="Título Car"/>
    <w:basedOn w:val="DefaultParagraphFont"/>
    <w:uiPriority w:val="10"/>
    <w:qFormat/>
    <w:rsid w:val="001923dc"/>
    <w:rPr>
      <w:rFonts w:ascii="Calibri Light" w:hAnsi="Calibri Light"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1923dc"/>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1923dc"/>
    <w:rPr>
      <w:i/>
      <w:iCs/>
      <w:color w:themeColor="text1" w:themeTint="bf" w:val="404040"/>
    </w:rPr>
  </w:style>
  <w:style w:type="character" w:styleId="IntenseEmphasis">
    <w:name w:val="Intense Emphasis"/>
    <w:basedOn w:val="DefaultParagraphFont"/>
    <w:uiPriority w:val="21"/>
    <w:qFormat/>
    <w:rsid w:val="001923dc"/>
    <w:rPr>
      <w:i/>
      <w:iCs/>
      <w:color w:themeColor="accent1" w:themeShade="bf" w:val="2F5496"/>
    </w:rPr>
  </w:style>
  <w:style w:type="character" w:styleId="CitadestacadaCar" w:customStyle="1">
    <w:name w:val="Cita destacada Car"/>
    <w:basedOn w:val="DefaultParagraphFont"/>
    <w:link w:val="IntenseQuote"/>
    <w:uiPriority w:val="30"/>
    <w:qFormat/>
    <w:rsid w:val="001923dc"/>
    <w:rPr>
      <w:i/>
      <w:iCs/>
      <w:color w:themeColor="accent1" w:themeShade="bf" w:val="2F5496"/>
    </w:rPr>
  </w:style>
  <w:style w:type="character" w:styleId="IntenseReference">
    <w:name w:val="Intense Reference"/>
    <w:basedOn w:val="DefaultParagraphFont"/>
    <w:uiPriority w:val="32"/>
    <w:qFormat/>
    <w:rsid w:val="001923dc"/>
    <w:rPr>
      <w:b/>
      <w:bCs/>
      <w:smallCaps/>
      <w:color w:themeColor="accent1" w:themeShade="bf" w:val="2F5496"/>
      <w:spacing w:val="5"/>
    </w:rPr>
  </w:style>
  <w:style w:type="character" w:styleId="EncabezadoCar" w:customStyle="1">
    <w:name w:val="Encabezado Car"/>
    <w:basedOn w:val="DefaultParagraphFont"/>
    <w:uiPriority w:val="99"/>
    <w:qFormat/>
    <w:rsid w:val="00c802f5"/>
    <w:rPr/>
  </w:style>
  <w:style w:type="character" w:styleId="PiedepginaCar" w:customStyle="1">
    <w:name w:val="Pie de página Car"/>
    <w:basedOn w:val="DefaultParagraphFont"/>
    <w:uiPriority w:val="99"/>
    <w:qFormat/>
    <w:rsid w:val="00c802f5"/>
    <w:rPr/>
  </w:style>
  <w:style w:type="character" w:styleId="InternetLink">
    <w:name w:val="Internet Link"/>
    <w:basedOn w:val="DefaultParagraphFont"/>
    <w:uiPriority w:val="99"/>
    <w:unhideWhenUsed/>
    <w:qFormat/>
    <w:rsid w:val="00c802f5"/>
    <w:rPr>
      <w:color w:themeColor="hyperlink" w:val="0563C1"/>
      <w:u w:val="single"/>
    </w:rPr>
  </w:style>
  <w:style w:type="character" w:styleId="UnresolvedMention">
    <w:name w:val="Unresolved Mention"/>
    <w:basedOn w:val="DefaultParagraphFont"/>
    <w:uiPriority w:val="99"/>
    <w:semiHidden/>
    <w:unhideWhenUsed/>
    <w:qFormat/>
    <w:rsid w:val="00c802f5"/>
    <w:rPr>
      <w:color w:val="605E5C"/>
      <w:shd w:fill="E1DFDD" w:val="clear"/>
    </w:rPr>
  </w:style>
  <w:style w:type="character" w:styleId="Hyperlink">
    <w:name w:val="Hyperlink"/>
    <w:rPr>
      <w:color w:val="000080"/>
      <w:u w:val="single"/>
    </w:rPr>
  </w:style>
  <w:style w:type="character" w:styleId="Bolos">
    <w:name w:val="Bolo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Normal"/>
    <w:link w:val="TtuloCar"/>
    <w:uiPriority w:val="10"/>
    <w:qFormat/>
    <w:rsid w:val="001923dc"/>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1923dc"/>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1923dc"/>
    <w:pPr>
      <w:spacing w:before="160" w:after="160"/>
      <w:jc w:val="center"/>
    </w:pPr>
    <w:rPr>
      <w:i/>
      <w:iCs/>
      <w:color w:themeColor="text1" w:themeTint="bf" w:val="404040"/>
    </w:rPr>
  </w:style>
  <w:style w:type="paragraph" w:styleId="ListParagraph">
    <w:name w:val="List Paragraph"/>
    <w:basedOn w:val="Normal"/>
    <w:uiPriority w:val="34"/>
    <w:qFormat/>
    <w:rsid w:val="001923dc"/>
    <w:pPr>
      <w:spacing w:before="0" w:after="160"/>
      <w:ind w:left="720"/>
      <w:contextualSpacing/>
    </w:pPr>
    <w:rPr/>
  </w:style>
  <w:style w:type="paragraph" w:styleId="IntenseQuote">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HeaderandFooter">
    <w:name w:val="Header and Footer"/>
    <w:basedOn w:val="Normal"/>
    <w:qFormat/>
    <w:pPr/>
    <w:rPr/>
  </w:style>
  <w:style w:type="paragraph" w:styleId="Header">
    <w:name w:val="Header"/>
    <w:basedOn w:val="Normal"/>
    <w:link w:val="EncabezadoCar"/>
    <w:uiPriority w:val="99"/>
    <w:unhideWhenUsed/>
    <w:rsid w:val="00c802f5"/>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c802f5"/>
    <w:pPr>
      <w:tabs>
        <w:tab w:val="clear" w:pos="708"/>
        <w:tab w:val="center" w:pos="4252" w:leader="none"/>
        <w:tab w:val="right" w:pos="8504" w:leader="none"/>
      </w:tabs>
      <w:spacing w:lineRule="auto" w:line="240" w:before="0" w:after="0"/>
    </w:pPr>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amilo.rios90@gmail.com" TargetMode="External"/><Relationship Id="rId3" Type="http://schemas.openxmlformats.org/officeDocument/2006/relationships/hyperlink" Target=""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LibreOffice/24.2.5.2$Windows_X86_64 LibreOffice_project/bffef4ea93e59bebbeaf7f431bb02b1a39ee8a59</Application>
  <AppVersion>15.0000</AppVersion>
  <Pages>15</Pages>
  <Words>5813</Words>
  <Characters>32292</Characters>
  <CharactersWithSpaces>38012</CharactersWithSpaces>
  <Paragraphs>314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2026-03-14T03:50:00Z</dcterms:created>
  <dc:creator>Pablo Daniel Garcia</dc:creator>
  <dc:description/>
  <dc:language>es-UY</dc:language>
  <cp:lastModifiedBy/>
  <dcterms:modified xsi:type="dcterms:W3CDTF">2026-07-10T15:02:02Z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