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9479" w14:textId="165B2147" w:rsidR="005F3B2E" w:rsidRPr="0013652B" w:rsidRDefault="00DF75CB" w:rsidP="0013652B">
      <w:pPr>
        <w:jc w:val="center"/>
        <w:rPr>
          <w:rFonts w:ascii="Times New Roman" w:hAnsi="Times New Roman" w:cs="Times New Roman"/>
          <w:lang w:val="es-CL"/>
        </w:rPr>
      </w:pPr>
      <w:r w:rsidRPr="00DF75CB">
        <w:rPr>
          <w:rFonts w:ascii="Times New Roman" w:hAnsi="Times New Roman" w:cs="Times New Roman"/>
          <w:b/>
          <w:bCs/>
        </w:rPr>
        <w:t xml:space="preserve">¿Del compromiso público a la evidencia? </w:t>
      </w:r>
      <w:r>
        <w:rPr>
          <w:rFonts w:ascii="Times New Roman" w:hAnsi="Times New Roman" w:cs="Times New Roman"/>
          <w:b/>
          <w:bCs/>
        </w:rPr>
        <w:t>L</w:t>
      </w:r>
      <w:r w:rsidRPr="00DF75CB">
        <w:rPr>
          <w:rFonts w:ascii="Times New Roman" w:hAnsi="Times New Roman" w:cs="Times New Roman"/>
          <w:b/>
          <w:bCs/>
        </w:rPr>
        <w:t xml:space="preserve">a reconversión de la extensión universitaria </w:t>
      </w:r>
      <w:r>
        <w:rPr>
          <w:rFonts w:ascii="Times New Roman" w:hAnsi="Times New Roman" w:cs="Times New Roman"/>
          <w:b/>
          <w:bCs/>
        </w:rPr>
        <w:t>a</w:t>
      </w:r>
      <w:r w:rsidRPr="00DF75CB">
        <w:rPr>
          <w:rFonts w:ascii="Times New Roman" w:hAnsi="Times New Roman" w:cs="Times New Roman"/>
          <w:b/>
          <w:bCs/>
        </w:rPr>
        <w:t xml:space="preserve"> vinculación con el medio en Chile (1970-2006)</w:t>
      </w:r>
    </w:p>
    <w:p w14:paraId="56542A33" w14:textId="77777777" w:rsidR="0013652B" w:rsidRDefault="0013652B" w:rsidP="0013652B">
      <w:pPr>
        <w:spacing w:after="0" w:line="240" w:lineRule="auto"/>
        <w:jc w:val="right"/>
      </w:pPr>
      <w:r>
        <w:rPr>
          <w:rFonts w:ascii="Times New Roman" w:eastAsia="Times New Roman" w:hAnsi="Times New Roman" w:cs="Times New Roman"/>
        </w:rPr>
        <w:t>López Caihuan, Jocelyn</w:t>
      </w:r>
    </w:p>
    <w:p w14:paraId="75E3D15F" w14:textId="77777777" w:rsidR="0013652B" w:rsidRDefault="0013652B" w:rsidP="0013652B">
      <w:pPr>
        <w:spacing w:after="0" w:line="240" w:lineRule="auto"/>
        <w:jc w:val="right"/>
      </w:pPr>
      <w:r>
        <w:rPr>
          <w:rFonts w:ascii="Times New Roman" w:eastAsia="Times New Roman" w:hAnsi="Times New Roman" w:cs="Times New Roman"/>
        </w:rPr>
        <w:t>Universidad Diego Portales / Universiteit Leiden</w:t>
      </w:r>
    </w:p>
    <w:p w14:paraId="12DF28BA" w14:textId="4DC89E3F" w:rsidR="0013652B" w:rsidRDefault="0013652B" w:rsidP="00543BF3">
      <w:pPr>
        <w:spacing w:after="0" w:line="240" w:lineRule="auto"/>
        <w:jc w:val="right"/>
      </w:pPr>
      <w:r>
        <w:rPr>
          <w:rFonts w:ascii="Times New Roman" w:eastAsia="Times New Roman" w:hAnsi="Times New Roman" w:cs="Times New Roman"/>
        </w:rPr>
        <w:t>[</w:t>
      </w:r>
      <w:r>
        <w:rPr>
          <w:rFonts w:ascii="Times New Roman" w:eastAsia="Times New Roman" w:hAnsi="Times New Roman" w:cs="Times New Roman"/>
        </w:rPr>
        <w:t>jocelyn.lopezce@gmail.com</w:t>
      </w:r>
      <w:r>
        <w:rPr>
          <w:rFonts w:ascii="Times New Roman" w:eastAsia="Times New Roman" w:hAnsi="Times New Roman" w:cs="Times New Roman"/>
        </w:rPr>
        <w:t>]</w:t>
      </w:r>
    </w:p>
    <w:p w14:paraId="50F1F20E" w14:textId="77777777" w:rsidR="00543BF3" w:rsidRPr="00543BF3" w:rsidRDefault="00543BF3" w:rsidP="00543BF3">
      <w:pPr>
        <w:spacing w:after="0" w:line="240" w:lineRule="auto"/>
        <w:jc w:val="right"/>
      </w:pPr>
    </w:p>
    <w:p w14:paraId="5545AB6E" w14:textId="77777777" w:rsidR="0013652B" w:rsidRPr="0013652B" w:rsidRDefault="00BA642E" w:rsidP="0013652B">
      <w:pPr>
        <w:spacing w:line="240" w:lineRule="auto"/>
        <w:jc w:val="both"/>
        <w:rPr>
          <w:rFonts w:ascii="Times New Roman" w:hAnsi="Times New Roman" w:cs="Times New Roman"/>
          <w:lang w:val="es-CL"/>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13652B" w:rsidRPr="0013652B">
        <w:rPr>
          <w:rFonts w:ascii="Times New Roman" w:hAnsi="Times New Roman" w:cs="Times New Roman"/>
          <w:lang w:val="es-CL"/>
        </w:rPr>
        <w:t>Este artículo examina la institucionalización de la vinculación con el medio (VCM) en el sistema universitario chileno. Desde la perspectiva del cambio institucional gradual, analiza cómo la extensión universitaria fue progresivamente reinterpretada a medida que emergían nuevas formas de interacción con el entorno. El estudio se basa en un análisis documental de normativas, criterios de acreditación y documentos institucionales producidos entre 1970 y 2006. Los resultados muestran que la emergencia de la VCM se explica por ambigüedad normativa, superposición de prácticas y reinterpretación de funciones. El artículo muestra cómo los dispositivos evaluativos participan en la estabilización de nuevas funciones institucionales.</w:t>
      </w:r>
    </w:p>
    <w:p w14:paraId="6CCE78D8" w14:textId="57199667" w:rsidR="0013652B" w:rsidRPr="0013652B" w:rsidRDefault="0013652B" w:rsidP="0013652B">
      <w:pPr>
        <w:spacing w:line="240" w:lineRule="auto"/>
        <w:jc w:val="both"/>
        <w:rPr>
          <w:rFonts w:ascii="Times New Roman" w:hAnsi="Times New Roman" w:cs="Times New Roman"/>
          <w:lang w:val="es-CL"/>
        </w:rPr>
      </w:pPr>
      <w:r w:rsidRPr="0013652B">
        <w:rPr>
          <w:rFonts w:ascii="Times New Roman" w:hAnsi="Times New Roman" w:cs="Times New Roman"/>
          <w:b/>
          <w:bCs/>
          <w:lang w:val="es-CL"/>
        </w:rPr>
        <w:t>Palabras clave:</w:t>
      </w:r>
      <w:r w:rsidRPr="0013652B">
        <w:rPr>
          <w:rFonts w:ascii="Times New Roman" w:hAnsi="Times New Roman" w:cs="Times New Roman"/>
          <w:lang w:val="es-CL"/>
        </w:rPr>
        <w:t xml:space="preserve"> vinculación </w:t>
      </w:r>
      <w:r w:rsidR="00543BF3">
        <w:rPr>
          <w:rFonts w:ascii="Times New Roman" w:hAnsi="Times New Roman" w:cs="Times New Roman"/>
          <w:lang w:val="es-CL"/>
        </w:rPr>
        <w:t>con el medio</w:t>
      </w:r>
      <w:r w:rsidRPr="0013652B">
        <w:rPr>
          <w:rFonts w:ascii="Times New Roman" w:hAnsi="Times New Roman" w:cs="Times New Roman"/>
          <w:lang w:val="es-CL"/>
        </w:rPr>
        <w:t>; extensión universitaria; cambio institucional; educación superior.</w:t>
      </w:r>
    </w:p>
    <w:p w14:paraId="6A5547A1" w14:textId="47FEE729" w:rsidR="00BA642E" w:rsidRPr="007B5B5F" w:rsidRDefault="00BA642E" w:rsidP="0013652B">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35DC7BC2" w14:textId="77777777" w:rsidR="0013652B" w:rsidRPr="0013652B" w:rsidRDefault="0013652B" w:rsidP="0013652B">
      <w:pPr>
        <w:spacing w:line="240" w:lineRule="auto"/>
        <w:jc w:val="both"/>
        <w:rPr>
          <w:rFonts w:ascii="Times New Roman" w:hAnsi="Times New Roman" w:cs="Times New Roman"/>
          <w:lang w:val="es-CL"/>
        </w:rPr>
      </w:pPr>
      <w:r w:rsidRPr="0013652B">
        <w:rPr>
          <w:rFonts w:ascii="Times New Roman" w:hAnsi="Times New Roman" w:cs="Times New Roman"/>
          <w:lang w:val="es-CL"/>
        </w:rPr>
        <w:t xml:space="preserve">En las últimas décadas, las universidades han experimentado transformaciones profundas en sus formas de relación con el entorno, en un contexto marcado por reformas en la gobernanza de la educación superior, expansión institucional y crecientes demandas de rendición de cuentas (Brunner et al., 2022; </w:t>
      </w:r>
      <w:proofErr w:type="spellStart"/>
      <w:r w:rsidRPr="0013652B">
        <w:rPr>
          <w:rFonts w:ascii="Times New Roman" w:hAnsi="Times New Roman" w:cs="Times New Roman"/>
          <w:lang w:val="es-CL"/>
        </w:rPr>
        <w:t>Perkmann</w:t>
      </w:r>
      <w:proofErr w:type="spellEnd"/>
      <w:r w:rsidRPr="0013652B">
        <w:rPr>
          <w:rFonts w:ascii="Times New Roman" w:hAnsi="Times New Roman" w:cs="Times New Roman"/>
          <w:lang w:val="es-CL"/>
        </w:rPr>
        <w:t xml:space="preserve"> et al., 2013). En este escenario, la relación universidad-entorno ha adquirido centralidad en el debate académico, particularmente a través de la noción de Tercera Misión Universitaria (TMU), que organiza estas interacciones en torno a transferencia, contribución social y articulación con actores externos (</w:t>
      </w:r>
      <w:proofErr w:type="spellStart"/>
      <w:r w:rsidRPr="0013652B">
        <w:rPr>
          <w:rFonts w:ascii="Times New Roman" w:hAnsi="Times New Roman" w:cs="Times New Roman"/>
          <w:lang w:val="es-CL"/>
        </w:rPr>
        <w:t>Calcagnini</w:t>
      </w:r>
      <w:proofErr w:type="spellEnd"/>
      <w:r w:rsidRPr="0013652B">
        <w:rPr>
          <w:rFonts w:ascii="Times New Roman" w:hAnsi="Times New Roman" w:cs="Times New Roman"/>
          <w:lang w:val="es-CL"/>
        </w:rPr>
        <w:t xml:space="preserve"> et al., 2016; </w:t>
      </w:r>
      <w:proofErr w:type="spellStart"/>
      <w:r w:rsidRPr="0013652B">
        <w:rPr>
          <w:rFonts w:ascii="Times New Roman" w:hAnsi="Times New Roman" w:cs="Times New Roman"/>
          <w:lang w:val="es-CL"/>
        </w:rPr>
        <w:t>Etzkowitz</w:t>
      </w:r>
      <w:proofErr w:type="spellEnd"/>
      <w:r w:rsidRPr="0013652B">
        <w:rPr>
          <w:rFonts w:ascii="Times New Roman" w:hAnsi="Times New Roman" w:cs="Times New Roman"/>
          <w:lang w:val="es-CL"/>
        </w:rPr>
        <w:t xml:space="preserve"> y </w:t>
      </w:r>
      <w:proofErr w:type="spellStart"/>
      <w:r w:rsidRPr="0013652B">
        <w:rPr>
          <w:rFonts w:ascii="Times New Roman" w:hAnsi="Times New Roman" w:cs="Times New Roman"/>
          <w:lang w:val="es-CL"/>
        </w:rPr>
        <w:t>Leydesdorff</w:t>
      </w:r>
      <w:proofErr w:type="spellEnd"/>
      <w:r w:rsidRPr="0013652B">
        <w:rPr>
          <w:rFonts w:ascii="Times New Roman" w:hAnsi="Times New Roman" w:cs="Times New Roman"/>
          <w:lang w:val="es-CL"/>
        </w:rPr>
        <w:t>, 2008; Laredo, 2007).</w:t>
      </w:r>
    </w:p>
    <w:p w14:paraId="66848DAD" w14:textId="4CB8E8E9" w:rsidR="0013652B" w:rsidRPr="0013652B" w:rsidRDefault="0013652B" w:rsidP="0013652B">
      <w:pPr>
        <w:spacing w:line="240" w:lineRule="auto"/>
        <w:jc w:val="both"/>
        <w:rPr>
          <w:rFonts w:ascii="Times New Roman" w:hAnsi="Times New Roman" w:cs="Times New Roman"/>
          <w:lang w:val="es-CL"/>
        </w:rPr>
      </w:pPr>
      <w:r w:rsidRPr="0013652B">
        <w:rPr>
          <w:rFonts w:ascii="Times New Roman" w:hAnsi="Times New Roman" w:cs="Times New Roman"/>
          <w:lang w:val="es-CL"/>
        </w:rPr>
        <w:t xml:space="preserve">Sin embargo, esta literatura tiende </w:t>
      </w:r>
      <w:r w:rsidRPr="0013652B">
        <w:rPr>
          <w:rFonts w:ascii="Times New Roman" w:hAnsi="Times New Roman" w:cs="Times New Roman"/>
        </w:rPr>
        <w:t>conceptualizar la TMU como una función diferenciada de la docencia y la investigación y desligada de las categorías que históricamente la precedieron</w:t>
      </w:r>
      <w:r w:rsidRPr="0013652B">
        <w:rPr>
          <w:rFonts w:ascii="Times New Roman" w:hAnsi="Times New Roman" w:cs="Times New Roman"/>
          <w:lang w:val="es-CL"/>
        </w:rPr>
        <w:t xml:space="preserve">. En América Latina, esta limitación es particularmente relevante, dado que la relación universidad-entorno ha estado mediada por la extensión universitaria, una categoría amplia que ha articulado prácticas culturales, </w:t>
      </w:r>
      <w:r>
        <w:rPr>
          <w:rFonts w:ascii="Times New Roman" w:hAnsi="Times New Roman" w:cs="Times New Roman"/>
          <w:lang w:val="es-CL"/>
        </w:rPr>
        <w:t xml:space="preserve">sociales, </w:t>
      </w:r>
      <w:r w:rsidRPr="0013652B">
        <w:rPr>
          <w:rFonts w:ascii="Times New Roman" w:hAnsi="Times New Roman" w:cs="Times New Roman"/>
          <w:lang w:val="es-CL"/>
        </w:rPr>
        <w:t>territoriales</w:t>
      </w:r>
      <w:r>
        <w:rPr>
          <w:rFonts w:ascii="Times New Roman" w:hAnsi="Times New Roman" w:cs="Times New Roman"/>
          <w:lang w:val="es-CL"/>
        </w:rPr>
        <w:t xml:space="preserve">, orientadas a la democratización social </w:t>
      </w:r>
      <w:r w:rsidRPr="0013652B">
        <w:rPr>
          <w:rFonts w:ascii="Times New Roman" w:hAnsi="Times New Roman" w:cs="Times New Roman"/>
          <w:lang w:val="es-CL"/>
        </w:rPr>
        <w:t>(Tommasino y Cano, 2016).</w:t>
      </w:r>
    </w:p>
    <w:p w14:paraId="6FCEE499" w14:textId="012C3990" w:rsidR="006971FA" w:rsidRDefault="0013652B" w:rsidP="0013652B">
      <w:pPr>
        <w:spacing w:line="240" w:lineRule="auto"/>
        <w:jc w:val="both"/>
        <w:rPr>
          <w:rFonts w:ascii="Times New Roman" w:hAnsi="Times New Roman" w:cs="Times New Roman"/>
          <w:lang w:val="es-CL"/>
        </w:rPr>
      </w:pPr>
      <w:r w:rsidRPr="0013652B">
        <w:rPr>
          <w:rFonts w:ascii="Times New Roman" w:hAnsi="Times New Roman" w:cs="Times New Roman"/>
          <w:lang w:val="es-CL"/>
        </w:rPr>
        <w:t>Este artículo propone analizar la institucionalización de la TMU</w:t>
      </w:r>
      <w:r>
        <w:rPr>
          <w:rFonts w:ascii="Times New Roman" w:hAnsi="Times New Roman" w:cs="Times New Roman"/>
          <w:lang w:val="es-CL"/>
        </w:rPr>
        <w:t xml:space="preserve"> - </w:t>
      </w:r>
      <w:r w:rsidRPr="0013652B">
        <w:rPr>
          <w:rFonts w:ascii="Times New Roman" w:hAnsi="Times New Roman" w:cs="Times New Roman"/>
          <w:lang w:val="es-CL"/>
        </w:rPr>
        <w:t>conocida como Vinculación con el Medio (VCM)</w:t>
      </w:r>
      <w:r>
        <w:rPr>
          <w:rFonts w:ascii="Times New Roman" w:hAnsi="Times New Roman" w:cs="Times New Roman"/>
          <w:lang w:val="es-CL"/>
        </w:rPr>
        <w:t xml:space="preserve"> - </w:t>
      </w:r>
      <w:r w:rsidRPr="0013652B">
        <w:rPr>
          <w:rFonts w:ascii="Times New Roman" w:hAnsi="Times New Roman" w:cs="Times New Roman"/>
          <w:lang w:val="es-CL"/>
        </w:rPr>
        <w:t>en el sistema universitario chileno como un proceso de cambio institucional gradual, enfatizando dos dimensiones escasamente abordadas en la literatura: (i) el papel de los dispositivos de aseguramiento de la calidad como mecanismos de estabilización de nuevas funciones institucionales, y (</w:t>
      </w:r>
      <w:proofErr w:type="spellStart"/>
      <w:r w:rsidRPr="0013652B">
        <w:rPr>
          <w:rFonts w:ascii="Times New Roman" w:hAnsi="Times New Roman" w:cs="Times New Roman"/>
          <w:lang w:val="es-CL"/>
        </w:rPr>
        <w:t>ii</w:t>
      </w:r>
      <w:proofErr w:type="spellEnd"/>
      <w:r w:rsidRPr="0013652B">
        <w:rPr>
          <w:rFonts w:ascii="Times New Roman" w:hAnsi="Times New Roman" w:cs="Times New Roman"/>
          <w:lang w:val="es-CL"/>
        </w:rPr>
        <w:t xml:space="preserve">) el reposicionamiento de categorías culturales que organizan la relación universidad-entorno. A partir de un análisis documental de normativas, criterios de acreditación y documentos institucionales producidos entre 1970 y 2006, se argumenta que la VCM no emerge como </w:t>
      </w:r>
      <w:r w:rsidRPr="0013652B">
        <w:rPr>
          <w:rFonts w:ascii="Times New Roman" w:hAnsi="Times New Roman" w:cs="Times New Roman"/>
          <w:lang w:val="es-CL"/>
        </w:rPr>
        <w:lastRenderedPageBreak/>
        <w:t>una función exógena o linealmente diferenciada, sino como el resultado acumulativo de procesos de superposición y conversión que reconfiguran progresivamente el sentido y la organización de la extensión universitaria.</w:t>
      </w:r>
    </w:p>
    <w:p w14:paraId="13E691AA" w14:textId="18A90D0D" w:rsidR="0013652B"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rPr>
        <w:t>Con ello, el artículo ofrece una lectura alternativa a la literatura sobre la tercera misión</w:t>
      </w:r>
      <w:r>
        <w:rPr>
          <w:rFonts w:ascii="Times New Roman" w:hAnsi="Times New Roman" w:cs="Times New Roman"/>
        </w:rPr>
        <w:t xml:space="preserve">, dando cuenta </w:t>
      </w:r>
      <w:r w:rsidRPr="006971FA">
        <w:rPr>
          <w:rFonts w:ascii="Times New Roman" w:hAnsi="Times New Roman" w:cs="Times New Roman"/>
        </w:rPr>
        <w:t>que su institucionalización resulta de la reconversión gradual de la extensión universitaria, y que los dispositivos de aseguramiento de la calidad no operan solo como instrumentos de gestión, sino como mecanismos activos de estabilización de nuevas formas de relación universidad-entorno.</w:t>
      </w:r>
    </w:p>
    <w:p w14:paraId="2FD138AD" w14:textId="509F8CBA"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7E6F36E5" w14:textId="3D5C63C4"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desarrollo se organiza en cinco apartados: el marco conceptual del cambio institucional gradual y su aplicación a la relación universidad-entorno</w:t>
      </w:r>
      <w:r>
        <w:rPr>
          <w:rFonts w:ascii="Times New Roman" w:hAnsi="Times New Roman" w:cs="Times New Roman"/>
          <w:lang w:val="es-CL"/>
        </w:rPr>
        <w:t xml:space="preserve">, </w:t>
      </w:r>
      <w:r w:rsidRPr="006971FA">
        <w:rPr>
          <w:rFonts w:ascii="Times New Roman" w:hAnsi="Times New Roman" w:cs="Times New Roman"/>
          <w:lang w:val="es-CL"/>
        </w:rPr>
        <w:t>el contexto institucional chileno</w:t>
      </w:r>
      <w:r>
        <w:rPr>
          <w:rFonts w:ascii="Times New Roman" w:hAnsi="Times New Roman" w:cs="Times New Roman"/>
          <w:lang w:val="es-CL"/>
        </w:rPr>
        <w:t xml:space="preserve">, </w:t>
      </w:r>
      <w:r w:rsidRPr="006971FA">
        <w:rPr>
          <w:rFonts w:ascii="Times New Roman" w:hAnsi="Times New Roman" w:cs="Times New Roman"/>
          <w:lang w:val="es-CL"/>
        </w:rPr>
        <w:t>la estrategia metodológica</w:t>
      </w:r>
      <w:r>
        <w:rPr>
          <w:rFonts w:ascii="Times New Roman" w:hAnsi="Times New Roman" w:cs="Times New Roman"/>
          <w:lang w:val="es-CL"/>
        </w:rPr>
        <w:t>,</w:t>
      </w:r>
      <w:r w:rsidRPr="006971FA">
        <w:rPr>
          <w:rFonts w:ascii="Times New Roman" w:hAnsi="Times New Roman" w:cs="Times New Roman"/>
          <w:lang w:val="es-CL"/>
        </w:rPr>
        <w:t xml:space="preserve"> los resultados del análisis documental</w:t>
      </w:r>
      <w:r>
        <w:rPr>
          <w:rFonts w:ascii="Times New Roman" w:hAnsi="Times New Roman" w:cs="Times New Roman"/>
          <w:lang w:val="es-CL"/>
        </w:rPr>
        <w:t xml:space="preserve"> </w:t>
      </w:r>
      <w:r w:rsidRPr="006971FA">
        <w:rPr>
          <w:rFonts w:ascii="Times New Roman" w:hAnsi="Times New Roman" w:cs="Times New Roman"/>
          <w:lang w:val="es-CL"/>
        </w:rPr>
        <w:t>y su discusión a la luz del marco propuesto.</w:t>
      </w:r>
    </w:p>
    <w:p w14:paraId="0B99DD7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lang w:val="es-CL"/>
        </w:rPr>
        <w:t>Cambio institucional gradual y reconfiguración de la relación universidad-entorno</w:t>
      </w:r>
    </w:p>
    <w:p w14:paraId="28D2C646"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cambio institucional se entiende como la transformación de reglas formales e informales que estructuran la acción colectiva, a través de procesos de interacción, conflicto y negociación entre actores con posiciones desiguales de poder (North, 1990; Mahoney y Thelen, 2010). En el caso de las universidades, este análisis requiere considerar tanto condicionantes estructurales como dinámicas internas que reconfiguran sus orientaciones y prácticas (Traversa, 2021).</w:t>
      </w:r>
    </w:p>
    <w:p w14:paraId="390D384F"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A diferencia de enfoques que explican el cambio mediante rupturas abruptas o </w:t>
      </w:r>
      <w:r w:rsidRPr="006971FA">
        <w:rPr>
          <w:rFonts w:ascii="Times New Roman" w:hAnsi="Times New Roman" w:cs="Times New Roman"/>
          <w:i/>
          <w:iCs/>
          <w:lang w:val="es-CL"/>
        </w:rPr>
        <w:t>shocks</w:t>
      </w:r>
      <w:r w:rsidRPr="006971FA">
        <w:rPr>
          <w:rFonts w:ascii="Times New Roman" w:hAnsi="Times New Roman" w:cs="Times New Roman"/>
          <w:lang w:val="es-CL"/>
        </w:rPr>
        <w:t xml:space="preserve"> exógenos, la literatura sobre cambio institucional gradual ha mostrado que las instituciones pueden transformarse a través de procesos endógenos, incrementales y acumulativos, incluso bajo condiciones de estabilidad normativa (</w:t>
      </w:r>
      <w:proofErr w:type="spellStart"/>
      <w:r w:rsidRPr="006971FA">
        <w:rPr>
          <w:rFonts w:ascii="Times New Roman" w:hAnsi="Times New Roman" w:cs="Times New Roman"/>
          <w:lang w:val="es-CL"/>
        </w:rPr>
        <w:t>Streeck</w:t>
      </w:r>
      <w:proofErr w:type="spellEnd"/>
      <w:r w:rsidRPr="006971FA">
        <w:rPr>
          <w:rFonts w:ascii="Times New Roman" w:hAnsi="Times New Roman" w:cs="Times New Roman"/>
          <w:lang w:val="es-CL"/>
        </w:rPr>
        <w:t xml:space="preserve"> y Thelen, 2005a; Capoccia, 2016). En este marco, las reglas no se conciben como estructuras fijas, sino como arreglos distributivos sujetos a interpretación y disputa.</w:t>
      </w:r>
    </w:p>
    <w:p w14:paraId="4B35F01C"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Un supuesto central de este enfoque es la existencia de ambigüedad normativa, entendida como la indeterminación inherente a las reglas que genera una brecha entre su formulación y su implementación (Mahoney y Thelen, 2010). Es en esa brecha donde se inscriben los procesos de cambio gradual, a través de reinterpretaciones y ajustes impulsados por actores situados.</w:t>
      </w:r>
    </w:p>
    <w:p w14:paraId="6F4951F6"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Sobre esta base, la literatura ha identificado distintos mecanismos de cambio gradual en contextos de estabilidad formal, entre los que destacan la superposición y la conversión (</w:t>
      </w:r>
      <w:proofErr w:type="spellStart"/>
      <w:r w:rsidRPr="006971FA">
        <w:rPr>
          <w:rFonts w:ascii="Times New Roman" w:hAnsi="Times New Roman" w:cs="Times New Roman"/>
          <w:lang w:val="es-CL"/>
        </w:rPr>
        <w:t>Streeck</w:t>
      </w:r>
      <w:proofErr w:type="spellEnd"/>
      <w:r w:rsidRPr="006971FA">
        <w:rPr>
          <w:rFonts w:ascii="Times New Roman" w:hAnsi="Times New Roman" w:cs="Times New Roman"/>
          <w:lang w:val="es-CL"/>
        </w:rPr>
        <w:t xml:space="preserve"> y Thelen, 2005b; Wehner, 2025). La superposición refiere a la incorporación de nuevas reglas sobre las existentes sin eliminarlas, generando una coexistencia normativa que puede modificar progresivamente la lógica institucional. La conversión, en tanto, implica la reinterpretación estratégica de reglas vigentes para cumplir funciones distintas a las originalmente previstas.</w:t>
      </w:r>
    </w:p>
    <w:p w14:paraId="6ADA4ADE"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Ahora bien, el cambio institucional no se explica únicamente por disputas en torno a las reglas, sino también por la persistencia de marcos culturales que orientan su </w:t>
      </w:r>
      <w:r w:rsidRPr="006971FA">
        <w:rPr>
          <w:rFonts w:ascii="Times New Roman" w:hAnsi="Times New Roman" w:cs="Times New Roman"/>
          <w:lang w:val="es-CL"/>
        </w:rPr>
        <w:lastRenderedPageBreak/>
        <w:t>interpretación. Las instituciones producen categorías culturales dominantes que delimitan lo legítimo y lo pensable en un campo determinado, operando como filtros que canalizan los procesos de cambio (Capoccia, 2016; Hall, 2010). En la medida en que estas categorías se sedimentan en prácticas, discursos y dispositivos organizacionales, pueden generar resistencias que atenúan o encauzan las dinámicas de reinterpretación.</w:t>
      </w:r>
    </w:p>
    <w:p w14:paraId="5377144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Este marco permite analizar la relación universidad-entorno como un proceso de reconfiguración gradual, en el que nuevas formas de vinculación con el entorno no reemplazan necesariamente a las existentes, sino que se superponen y reinterpretan a través de ajustes acumulativos en prácticas, formas de organización y criterios de evaluación.</w:t>
      </w:r>
    </w:p>
    <w:p w14:paraId="1A516B0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lang w:val="es-CL"/>
        </w:rPr>
        <w:t>El contexto institucional chileno</w:t>
      </w:r>
    </w:p>
    <w:p w14:paraId="40834B06"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Chile ofrece un contexto particularmente ilustrativo para examinar dinámicas de cambio institucional gradual en la relación universidad-entorno por al menos tres factores interrelacionados: (1) la existencia de una tradición histórica de extensión universitaria con fuerte contenido político y cultural; (2) la reforma al sistema de educación superior iniciada en 1981; y (3) la consolidación de un régimen de aseguramiento de la calidad que formalizó progresivamente la relación con el entorno como dimensión evaluable.</w:t>
      </w:r>
    </w:p>
    <w:p w14:paraId="07E20577"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primer lugar, la extensión universitaria en Chile se consolidó durante el siglo XX como expresión del compromiso público de la universidad, influida por el ideario reformista latinoamericano y por el proceso de reforma universitaria de la década de 1960 (Brunner, 1986; Donoso, 2001; Tünnermann, 2003). En ese período, la extensión adquirió un carácter explícitamente político, asociándose a proyectos de democratización institucional, participación estudiantil y transformación social. Estas dinámicas configuraron marcos culturales duraderos sobre el rol social de la universidad y consolidaron repertorios de acción territorial que pasaron a formar parte de la identidad institucional de las universidades de la época.</w:t>
      </w:r>
    </w:p>
    <w:p w14:paraId="04F8695F"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segundo lugar, la reorganización del sistema de educación superior a partir de la reforma normativa de 1981 redefinió el modelo de coordinación del sector, introduciendo expansión privada, financiamiento competitivo y diferenciación institucional (Bernasconi, 2008; Brunner, 2014). La masificación posterior de la matrícula y la creciente complejidad organizacional intensificaron la necesidad de mecanismos formales de coordinación, regulación y evaluación. Este nuevo entorno no eliminó las funciones históricas de proyección social, pero modificó las condiciones bajo las cuales estas eran reconocidas, organizadas y financiadas.</w:t>
      </w:r>
    </w:p>
    <w:p w14:paraId="48EF0B6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En tercer lugar, la institucionalización del aseguramiento de la calidad a partir de la Ley N.º 20.129, que establece un Sistema Nacional de Aseguramiento de la Calidad de la Educación Superior (2006), y su profundización mediante las leyes 21.091 sobre Educación Superior y 21.094 sobre Universidades Estatales (2018) integraron progresivamente la relación universidad-entorno dentro de marcos regulatorios y de acreditación institucional (Adán et al., 2016; Fleet et al., 2023; Torres y Zenteno, 2011). En este contexto, la VCM se consolidó como categoría formalmente evaluable, asociada a planificación estratégica, estructuras organizacionales específicas y mecanismos de </w:t>
      </w:r>
      <w:r w:rsidRPr="006971FA">
        <w:rPr>
          <w:rFonts w:ascii="Times New Roman" w:hAnsi="Times New Roman" w:cs="Times New Roman"/>
          <w:lang w:val="es-CL"/>
        </w:rPr>
        <w:lastRenderedPageBreak/>
        <w:t xml:space="preserve">evidencia (Brunner et al., 2022; </w:t>
      </w:r>
      <w:proofErr w:type="spellStart"/>
      <w:r w:rsidRPr="006971FA">
        <w:rPr>
          <w:rFonts w:ascii="Times New Roman" w:hAnsi="Times New Roman" w:cs="Times New Roman"/>
          <w:lang w:val="es-CL"/>
        </w:rPr>
        <w:t>Cancino</w:t>
      </w:r>
      <w:proofErr w:type="spellEnd"/>
      <w:r w:rsidRPr="006971FA">
        <w:rPr>
          <w:rFonts w:ascii="Times New Roman" w:hAnsi="Times New Roman" w:cs="Times New Roman"/>
          <w:lang w:val="es-CL"/>
        </w:rPr>
        <w:t xml:space="preserve"> y Schmal, 2014; Zapata, 2004). En términos institucionales, estos marcos normativos contribuyeron a desplazar gradualmente una lógica predominantemente declarativa hacia una lógica demostrativa, en la que las instituciones deben evidenciar, documentar y evaluar sistemáticamente sus formas de relación con el entorno.</w:t>
      </w:r>
    </w:p>
    <w:p w14:paraId="15951023"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Estos tres factores configuran un escenario en el que una función históricamente arraigada interactúa con nuevas reglas de regulación y evaluación. La trayectoria chilena ofrece, por tanto, un contexto empírico pertinente para examinar cómo la relación universidad-entorno se reorganiza en el tiempo bajo condiciones de expansión, regulación y formalización progresiva, mediante procesos de cambio endógeno.</w:t>
      </w:r>
    </w:p>
    <w:p w14:paraId="1298DE84" w14:textId="2AFA8061" w:rsidR="006971FA" w:rsidRPr="006971FA" w:rsidRDefault="00543BF3" w:rsidP="006971FA">
      <w:pPr>
        <w:spacing w:line="240" w:lineRule="auto"/>
        <w:jc w:val="both"/>
        <w:rPr>
          <w:rFonts w:ascii="Times New Roman" w:hAnsi="Times New Roman" w:cs="Times New Roman"/>
          <w:lang w:val="es-CL"/>
        </w:rPr>
      </w:pPr>
      <w:r>
        <w:rPr>
          <w:rFonts w:ascii="Times New Roman" w:hAnsi="Times New Roman" w:cs="Times New Roman"/>
          <w:b/>
          <w:bCs/>
          <w:lang w:val="es-CL"/>
        </w:rPr>
        <w:t>Metodología</w:t>
      </w:r>
    </w:p>
    <w:p w14:paraId="0D9D3297"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Este estudio adopta un enfoque cualitativo (</w:t>
      </w:r>
      <w:proofErr w:type="spellStart"/>
      <w:r w:rsidRPr="006971FA">
        <w:rPr>
          <w:rFonts w:ascii="Times New Roman" w:hAnsi="Times New Roman" w:cs="Times New Roman"/>
          <w:lang w:val="es-CL"/>
        </w:rPr>
        <w:t>Lune</w:t>
      </w:r>
      <w:proofErr w:type="spellEnd"/>
      <w:r w:rsidRPr="006971FA">
        <w:rPr>
          <w:rFonts w:ascii="Times New Roman" w:hAnsi="Times New Roman" w:cs="Times New Roman"/>
          <w:lang w:val="es-CL"/>
        </w:rPr>
        <w:t xml:space="preserve"> y Berg, 2017) y emplea el análisis documental como estrategia metodológica, orientada al examen histórico-institucional de la relación universidad-entorno en Chile. El análisis documental es pertinente cuando el objeto de estudio se sitúa en la configuración normativa, conceptual y organizacional de una función institucional, permitiendo reconstruir cómo las categorías son definidas y formalizadas a través de textos regulatorios y documentos institucionales (Bowen, 2009).</w:t>
      </w:r>
    </w:p>
    <w:p w14:paraId="62AA8D0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incluyó 37 documentos producidos entre 1970 y 2006. La selección documental identificó los principales dispositivos normativos, evaluativos e institucionales que estructuraron la relación universidad-entorno en el sistema chileno durante el periodo: documentos sobre extensión universitaria, documentos institucionales universitarios, normativas del sistema de educación superior, criterios de acreditación de programas y acuerdos de acreditación institucional. En estos últimos, se revisaron resoluciones de los primeros procesos evaluativos de la Comisión Nacional de Acreditación de Pregrado (CNAP) en nueve universidades que consideraron la VCM como aspecto a evaluar.</w:t>
      </w:r>
    </w:p>
    <w:p w14:paraId="43F0BB3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Para efectos analíticos, se distinguieron tres períodos: (1) fines de la década de 1970 y década de 1980; (2) desde 1990 hasta comienzos de los años 2000; y (3) desde mediados de los años 2000 en adelante. Esta periodización constituye un marco que permitió examinar variaciones en el uso de categorías, marcos regulatorios y cambios institucionales.</w:t>
      </w:r>
    </w:p>
    <w:p w14:paraId="054A9130" w14:textId="77777777" w:rsid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Los documentos fueron sistematizados y codificados mediante </w:t>
      </w:r>
      <w:proofErr w:type="spellStart"/>
      <w:r w:rsidRPr="006971FA">
        <w:rPr>
          <w:rFonts w:ascii="Times New Roman" w:hAnsi="Times New Roman" w:cs="Times New Roman"/>
          <w:lang w:val="es-CL"/>
        </w:rPr>
        <w:t>Atlas.ti</w:t>
      </w:r>
      <w:proofErr w:type="spellEnd"/>
      <w:r w:rsidRPr="006971FA">
        <w:rPr>
          <w:rFonts w:ascii="Times New Roman" w:hAnsi="Times New Roman" w:cs="Times New Roman"/>
          <w:lang w:val="es-CL"/>
        </w:rPr>
        <w:t>. Se empleó un proceso de codificación temática orientado a identificar patrones de continuidad, superposición y desplazamiento en el uso de las categorías “extensión universitaria” y “vinculación con el medio”. La codificación permitió comparar definiciones, dispositivos evaluativos y marcos organizacionales entre períodos, reconstruyendo la trayectoria conceptual e institucional del fenómeno estudiado. La Tabla 1 presenta la tipología de documentos y su distribución temporal.</w:t>
      </w:r>
    </w:p>
    <w:p w14:paraId="59D10C16" w14:textId="77777777" w:rsidR="00543BF3" w:rsidRDefault="00543BF3" w:rsidP="006971FA">
      <w:pPr>
        <w:spacing w:line="240" w:lineRule="auto"/>
        <w:jc w:val="both"/>
        <w:rPr>
          <w:rFonts w:ascii="Times New Roman" w:hAnsi="Times New Roman" w:cs="Times New Roman"/>
          <w:lang w:val="es-CL"/>
        </w:rPr>
      </w:pPr>
    </w:p>
    <w:p w14:paraId="23FF8022" w14:textId="77777777" w:rsidR="00543BF3" w:rsidRDefault="00543BF3" w:rsidP="006971FA">
      <w:pPr>
        <w:spacing w:line="240" w:lineRule="auto"/>
        <w:jc w:val="both"/>
        <w:rPr>
          <w:rFonts w:ascii="Times New Roman" w:hAnsi="Times New Roman" w:cs="Times New Roman"/>
          <w:lang w:val="es-CL"/>
        </w:rPr>
      </w:pPr>
    </w:p>
    <w:p w14:paraId="0864A656" w14:textId="19E7DA57" w:rsidR="006971FA" w:rsidRPr="006971FA" w:rsidRDefault="006971FA" w:rsidP="006971FA">
      <w:pPr>
        <w:spacing w:before="120" w:after="60"/>
      </w:pPr>
      <w:r>
        <w:rPr>
          <w:rFonts w:ascii="Times New Roman" w:eastAsia="Times New Roman" w:hAnsi="Times New Roman" w:cs="Times New Roman"/>
          <w:b/>
          <w:bCs/>
        </w:rPr>
        <w:lastRenderedPageBreak/>
        <w:t>Tabla 1. Caracterización de documentos analizados</w:t>
      </w:r>
    </w:p>
    <w:tbl>
      <w:tblPr>
        <w:tblStyle w:val="Tablaconcuadrculaclara"/>
        <w:tblW w:w="8504" w:type="dxa"/>
        <w:tblLook w:val="04A0" w:firstRow="1" w:lastRow="0" w:firstColumn="1" w:lastColumn="0" w:noHBand="0" w:noVBand="1"/>
      </w:tblPr>
      <w:tblGrid>
        <w:gridCol w:w="1900"/>
        <w:gridCol w:w="1250"/>
        <w:gridCol w:w="3854"/>
        <w:gridCol w:w="1500"/>
      </w:tblGrid>
      <w:tr w:rsidR="006971FA" w:rsidRPr="006971FA" w14:paraId="62737C32" w14:textId="77777777" w:rsidTr="006971FA">
        <w:tc>
          <w:tcPr>
            <w:tcW w:w="1900" w:type="dxa"/>
          </w:tcPr>
          <w:p w14:paraId="10D7C853"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b/>
                <w:bCs/>
                <w:sz w:val="18"/>
                <w:szCs w:val="18"/>
                <w:lang w:val="es-CL"/>
              </w:rPr>
              <w:t>Tipo de documento</w:t>
            </w:r>
          </w:p>
        </w:tc>
        <w:tc>
          <w:tcPr>
            <w:tcW w:w="1250" w:type="dxa"/>
          </w:tcPr>
          <w:p w14:paraId="412CCB07"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b/>
                <w:bCs/>
                <w:sz w:val="18"/>
                <w:szCs w:val="18"/>
                <w:lang w:val="es-CL"/>
              </w:rPr>
              <w:t>Total documentos</w:t>
            </w:r>
          </w:p>
        </w:tc>
        <w:tc>
          <w:tcPr>
            <w:tcW w:w="3854" w:type="dxa"/>
          </w:tcPr>
          <w:p w14:paraId="6E75B231"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b/>
                <w:bCs/>
                <w:sz w:val="18"/>
                <w:szCs w:val="18"/>
                <w:lang w:val="es-CL"/>
              </w:rPr>
              <w:t>Documentos analizados</w:t>
            </w:r>
          </w:p>
        </w:tc>
        <w:tc>
          <w:tcPr>
            <w:tcW w:w="1500" w:type="dxa"/>
          </w:tcPr>
          <w:p w14:paraId="3441FC29"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b/>
                <w:bCs/>
                <w:sz w:val="18"/>
                <w:szCs w:val="18"/>
                <w:lang w:val="es-CL"/>
              </w:rPr>
              <w:t>Periodo analizado</w:t>
            </w:r>
          </w:p>
        </w:tc>
      </w:tr>
      <w:tr w:rsidR="006971FA" w:rsidRPr="006971FA" w14:paraId="067EC135" w14:textId="77777777" w:rsidTr="006971FA">
        <w:tc>
          <w:tcPr>
            <w:tcW w:w="1900" w:type="dxa"/>
          </w:tcPr>
          <w:p w14:paraId="03707910"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Documentos sobre extensión universitaria</w:t>
            </w:r>
          </w:p>
        </w:tc>
        <w:tc>
          <w:tcPr>
            <w:tcW w:w="1250" w:type="dxa"/>
          </w:tcPr>
          <w:p w14:paraId="0CE107B3"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sz w:val="18"/>
                <w:szCs w:val="18"/>
                <w:lang w:val="es-CL"/>
              </w:rPr>
              <w:t>2</w:t>
            </w:r>
          </w:p>
        </w:tc>
        <w:tc>
          <w:tcPr>
            <w:tcW w:w="3854" w:type="dxa"/>
          </w:tcPr>
          <w:p w14:paraId="2FF109F0"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Universidad de Chile, Aspectos doctrinarios y políticas de extensión universitaria (1970); Memoria II Conferencia Latinoamericana de Difusión Cultural y Extensión Universitaria (1972).</w:t>
            </w:r>
          </w:p>
        </w:tc>
        <w:tc>
          <w:tcPr>
            <w:tcW w:w="1500" w:type="dxa"/>
          </w:tcPr>
          <w:p w14:paraId="4D170099"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1970-1972</w:t>
            </w:r>
          </w:p>
        </w:tc>
      </w:tr>
      <w:tr w:rsidR="006971FA" w:rsidRPr="006971FA" w14:paraId="796E32C0" w14:textId="77777777" w:rsidTr="006971FA">
        <w:tc>
          <w:tcPr>
            <w:tcW w:w="1900" w:type="dxa"/>
          </w:tcPr>
          <w:p w14:paraId="47C6B6A4"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Documentos institucionales universitarios</w:t>
            </w:r>
          </w:p>
        </w:tc>
        <w:tc>
          <w:tcPr>
            <w:tcW w:w="1250" w:type="dxa"/>
          </w:tcPr>
          <w:p w14:paraId="2D5987BF"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sz w:val="18"/>
                <w:szCs w:val="18"/>
                <w:lang w:val="es-CL"/>
              </w:rPr>
              <w:t>4</w:t>
            </w:r>
          </w:p>
        </w:tc>
        <w:tc>
          <w:tcPr>
            <w:tcW w:w="3854" w:type="dxa"/>
          </w:tcPr>
          <w:p w14:paraId="5EB97FE1"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Cuentas anuales de rectoría de la Universidad de Chile y de la Pontificia Universidad Católica de Chile.</w:t>
            </w:r>
          </w:p>
        </w:tc>
        <w:tc>
          <w:tcPr>
            <w:tcW w:w="1500" w:type="dxa"/>
          </w:tcPr>
          <w:p w14:paraId="0D6BBE3F"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1990-1999</w:t>
            </w:r>
          </w:p>
        </w:tc>
      </w:tr>
      <w:tr w:rsidR="006971FA" w:rsidRPr="006971FA" w14:paraId="4468BEB3" w14:textId="77777777" w:rsidTr="006971FA">
        <w:tc>
          <w:tcPr>
            <w:tcW w:w="1900" w:type="dxa"/>
          </w:tcPr>
          <w:p w14:paraId="139DF4FA"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Normativa del sistema de educación superior</w:t>
            </w:r>
          </w:p>
        </w:tc>
        <w:tc>
          <w:tcPr>
            <w:tcW w:w="1250" w:type="dxa"/>
          </w:tcPr>
          <w:p w14:paraId="2DCBCCA6"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sz w:val="18"/>
                <w:szCs w:val="18"/>
                <w:lang w:val="es-CL"/>
              </w:rPr>
              <w:t>3</w:t>
            </w:r>
          </w:p>
        </w:tc>
        <w:tc>
          <w:tcPr>
            <w:tcW w:w="3854" w:type="dxa"/>
          </w:tcPr>
          <w:p w14:paraId="7E76CE1F"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DFL N.º 1 sobre universidades (1981); Ley N.º 18.962, Orgánica Constitucional de Enseñanza (1990); Ley N.º 20.129 (2006).</w:t>
            </w:r>
          </w:p>
        </w:tc>
        <w:tc>
          <w:tcPr>
            <w:tcW w:w="1500" w:type="dxa"/>
          </w:tcPr>
          <w:p w14:paraId="2ECE88F4"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1981-2006</w:t>
            </w:r>
          </w:p>
        </w:tc>
      </w:tr>
      <w:tr w:rsidR="006971FA" w:rsidRPr="006971FA" w14:paraId="4FD761C3" w14:textId="77777777" w:rsidTr="006971FA">
        <w:tc>
          <w:tcPr>
            <w:tcW w:w="1900" w:type="dxa"/>
          </w:tcPr>
          <w:p w14:paraId="0168AC80"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Criterios de acreditación de programas (CNAP)</w:t>
            </w:r>
          </w:p>
        </w:tc>
        <w:tc>
          <w:tcPr>
            <w:tcW w:w="1250" w:type="dxa"/>
          </w:tcPr>
          <w:p w14:paraId="27AE6B51"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sz w:val="18"/>
                <w:szCs w:val="18"/>
                <w:lang w:val="es-CL"/>
              </w:rPr>
              <w:t>19</w:t>
            </w:r>
          </w:p>
        </w:tc>
        <w:tc>
          <w:tcPr>
            <w:tcW w:w="3854" w:type="dxa"/>
          </w:tcPr>
          <w:p w14:paraId="6957BA79"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Criterios de evaluación de 19 programas de pregrado elaborados por la CNAP.</w:t>
            </w:r>
          </w:p>
        </w:tc>
        <w:tc>
          <w:tcPr>
            <w:tcW w:w="1500" w:type="dxa"/>
          </w:tcPr>
          <w:p w14:paraId="65999433"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2003</w:t>
            </w:r>
          </w:p>
        </w:tc>
      </w:tr>
      <w:tr w:rsidR="006971FA" w:rsidRPr="006971FA" w14:paraId="55A4EFD3" w14:textId="77777777" w:rsidTr="006971FA">
        <w:tc>
          <w:tcPr>
            <w:tcW w:w="1900" w:type="dxa"/>
          </w:tcPr>
          <w:p w14:paraId="14CE4BA3"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Acuerdos de acreditación institucional (CNAP)</w:t>
            </w:r>
          </w:p>
        </w:tc>
        <w:tc>
          <w:tcPr>
            <w:tcW w:w="1250" w:type="dxa"/>
          </w:tcPr>
          <w:p w14:paraId="49385EDE" w14:textId="77777777" w:rsidR="006971FA" w:rsidRPr="006971FA" w:rsidRDefault="006971FA" w:rsidP="006971FA">
            <w:pPr>
              <w:jc w:val="center"/>
              <w:rPr>
                <w:rFonts w:ascii="Times New Roman" w:hAnsi="Times New Roman" w:cs="Times New Roman"/>
                <w:sz w:val="18"/>
                <w:szCs w:val="18"/>
                <w:lang w:val="es-CL"/>
              </w:rPr>
            </w:pPr>
            <w:r w:rsidRPr="006971FA">
              <w:rPr>
                <w:rFonts w:ascii="Times New Roman" w:hAnsi="Times New Roman" w:cs="Times New Roman"/>
                <w:sz w:val="18"/>
                <w:szCs w:val="18"/>
                <w:lang w:val="es-CL"/>
              </w:rPr>
              <w:t>9</w:t>
            </w:r>
          </w:p>
        </w:tc>
        <w:tc>
          <w:tcPr>
            <w:tcW w:w="3854" w:type="dxa"/>
          </w:tcPr>
          <w:p w14:paraId="129C3C66"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Acuerdos de acreditación institucional emitidos en los primeros procesos de evaluación institucional.</w:t>
            </w:r>
          </w:p>
        </w:tc>
        <w:tc>
          <w:tcPr>
            <w:tcW w:w="1500" w:type="dxa"/>
          </w:tcPr>
          <w:p w14:paraId="0EC5CF0D" w14:textId="77777777" w:rsidR="006971FA" w:rsidRPr="006971FA" w:rsidRDefault="006971FA" w:rsidP="006971FA">
            <w:pPr>
              <w:jc w:val="both"/>
              <w:rPr>
                <w:rFonts w:ascii="Times New Roman" w:hAnsi="Times New Roman" w:cs="Times New Roman"/>
                <w:sz w:val="18"/>
                <w:szCs w:val="18"/>
                <w:lang w:val="es-CL"/>
              </w:rPr>
            </w:pPr>
            <w:r w:rsidRPr="006971FA">
              <w:rPr>
                <w:rFonts w:ascii="Times New Roman" w:hAnsi="Times New Roman" w:cs="Times New Roman"/>
                <w:sz w:val="18"/>
                <w:szCs w:val="18"/>
                <w:lang w:val="es-CL"/>
              </w:rPr>
              <w:t>2004-2006</w:t>
            </w:r>
          </w:p>
        </w:tc>
      </w:tr>
    </w:tbl>
    <w:p w14:paraId="7067F3CC" w14:textId="77777777" w:rsidR="006971FA" w:rsidRPr="006971FA" w:rsidRDefault="006971FA" w:rsidP="006971FA">
      <w:pPr>
        <w:spacing w:before="40" w:after="120"/>
        <w:rPr>
          <w:sz w:val="18"/>
          <w:szCs w:val="18"/>
        </w:rPr>
      </w:pPr>
      <w:r w:rsidRPr="006971FA">
        <w:rPr>
          <w:rFonts w:ascii="Times New Roman" w:eastAsia="Times New Roman" w:hAnsi="Times New Roman" w:cs="Times New Roman"/>
          <w:i/>
          <w:iCs/>
          <w:sz w:val="18"/>
          <w:szCs w:val="18"/>
        </w:rPr>
        <w:t>Fuente: elaboración propia.</w:t>
      </w:r>
    </w:p>
    <w:p w14:paraId="01775B9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Cabe señalar que el corpus documental presenta una distribución desigual entre períodos. Los documentos correspondientes al período 1973-1989 son escasos, lo que responde a las condiciones institucionales propias de la dictadura militar en Chile: la intervención directa sobre las universidades, la disolución de sus estructuras de gobierno y la represión académica limitaron la producción y circulación de documentos normativos formales sobre extensión universitaria. Por ello, este período se reconstruye principalmente a partir de la normativa legal disponible, en particular el DFL N.º 1 de 1981, y de literatura secundaria especializada (Brunner, 1986; Donoso, 1993; Flores y Biotti, 2025; Merino, 2004). Esta escasez documental no constituye únicamente un límite metodológico, sino que refleja, en sí misma, una dimensión del proceso analizado: el vaciamiento institucional de la extensión como función pública durante ese período.</w:t>
      </w:r>
    </w:p>
    <w:p w14:paraId="5B024D7B"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lang w:val="es-CL"/>
        </w:rPr>
        <w:t>Resultados</w:t>
      </w:r>
    </w:p>
    <w:p w14:paraId="0263516A"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Ambigüedad normativa de la extensión universitaria y dificultades de operacionalización (1970-1980)</w:t>
      </w:r>
    </w:p>
    <w:p w14:paraId="3736F366"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documental muestra que, desde fines de la década de 1960, la extensión universitaria en Chile presenta una ambigüedad normativa persistente, caracterizada por la coexistencia entre intentos de planificación y evaluación, y dificultades para su operacionalización.</w:t>
      </w:r>
    </w:p>
    <w:p w14:paraId="52246A1F"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el caso de la Universidad de Chile, a comienzos de la década de 1970 se establece la expectativa de que las actividades de extensión debían ser susceptibles de planificación y evaluación, asociada a la necesidad de evitar desvíos entre los fines declarados y los resultados obtenidos, introduciendo un lenguaje de racionalidad organizacional que busca dotar a la extensión de mayor consistencia interna:</w:t>
      </w:r>
    </w:p>
    <w:p w14:paraId="5A07FE7A" w14:textId="6C904C8F" w:rsidR="006971FA" w:rsidRPr="006971FA" w:rsidRDefault="00E242E3" w:rsidP="00E242E3">
      <w:pPr>
        <w:spacing w:line="240" w:lineRule="auto"/>
        <w:ind w:left="708"/>
        <w:jc w:val="both"/>
        <w:rPr>
          <w:rFonts w:ascii="Times New Roman" w:hAnsi="Times New Roman" w:cs="Times New Roman"/>
          <w:lang w:val="es-CL"/>
        </w:rPr>
      </w:pPr>
      <w:r>
        <w:rPr>
          <w:rFonts w:ascii="Times New Roman" w:hAnsi="Times New Roman" w:cs="Times New Roman"/>
          <w:lang w:val="es-CL"/>
        </w:rPr>
        <w:t>“</w:t>
      </w:r>
      <w:r w:rsidR="006971FA" w:rsidRPr="006971FA">
        <w:rPr>
          <w:rFonts w:ascii="Times New Roman" w:hAnsi="Times New Roman" w:cs="Times New Roman"/>
          <w:lang w:val="es-CL"/>
        </w:rPr>
        <w:t xml:space="preserve">Con el objeto de evitar que el trabajo produzca resultados distintos de los esperados, se pide anotar con claridad la forma como se evaluarán las acciones </w:t>
      </w:r>
      <w:r w:rsidR="006971FA" w:rsidRPr="006971FA">
        <w:rPr>
          <w:rFonts w:ascii="Times New Roman" w:hAnsi="Times New Roman" w:cs="Times New Roman"/>
          <w:lang w:val="es-CL"/>
        </w:rPr>
        <w:lastRenderedPageBreak/>
        <w:t>durante la ejecución del proyecto. Esto es, se deben señalar los mecanismos e instrumentos que adoptará la evaluación, así como los ejecutivos que se responsabilizarán de tal labor. El proyecto debe sugerir una forma de evaluación de los resultados</w:t>
      </w:r>
      <w:r>
        <w:rPr>
          <w:rFonts w:ascii="Times New Roman" w:hAnsi="Times New Roman" w:cs="Times New Roman"/>
          <w:lang w:val="es-CL"/>
        </w:rPr>
        <w:t>”</w:t>
      </w:r>
      <w:r w:rsidR="006971FA" w:rsidRPr="006971FA">
        <w:rPr>
          <w:rFonts w:ascii="Times New Roman" w:hAnsi="Times New Roman" w:cs="Times New Roman"/>
          <w:lang w:val="es-CL"/>
        </w:rPr>
        <w:t xml:space="preserve"> (Comisión Nacional de Extensión y Departamento de Extensión, 1970, p. 38).</w:t>
      </w:r>
    </w:p>
    <w:p w14:paraId="7FBA78A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No obstante, el propio diseño de estos dispositivos revela las dificultades estructurales para operacionalizar la evaluación de esta función. Las actas de la II Conferencia Latinoamericana de Extensión Universitaria de 1972 permiten observar que esta tensión atravesaba el debate universitario regional:</w:t>
      </w:r>
    </w:p>
    <w:p w14:paraId="2FB3221E" w14:textId="0AA5E491" w:rsidR="006971FA" w:rsidRPr="006971FA" w:rsidRDefault="00E242E3" w:rsidP="00E242E3">
      <w:pPr>
        <w:spacing w:line="240" w:lineRule="auto"/>
        <w:ind w:left="708"/>
        <w:jc w:val="both"/>
        <w:rPr>
          <w:rFonts w:ascii="Times New Roman" w:hAnsi="Times New Roman" w:cs="Times New Roman"/>
          <w:lang w:val="es-CL"/>
        </w:rPr>
      </w:pPr>
      <w:r>
        <w:rPr>
          <w:rFonts w:ascii="Times New Roman" w:hAnsi="Times New Roman" w:cs="Times New Roman"/>
          <w:lang w:val="es-CL"/>
        </w:rPr>
        <w:t>“</w:t>
      </w:r>
      <w:r w:rsidR="006971FA" w:rsidRPr="006971FA">
        <w:rPr>
          <w:rFonts w:ascii="Times New Roman" w:hAnsi="Times New Roman" w:cs="Times New Roman"/>
          <w:lang w:val="es-CL"/>
        </w:rPr>
        <w:t>El tema de la evaluación de la difusión cultural y extensión universitaria es absolutamente imposible hacerlo (…) Es una materia extraordinariamente difícil y compleja, y en este asunto profundo de metodología de la evaluación van a tener que intervenir otras personas especialistas que no somos precisamente los que hemos realizado más difusión ni extensión en las universidades latinoamericanas: serán planificadores, sociólogos, en los casos que tienen una especialización distinta</w:t>
      </w:r>
      <w:r>
        <w:rPr>
          <w:rFonts w:ascii="Times New Roman" w:hAnsi="Times New Roman" w:cs="Times New Roman"/>
          <w:lang w:val="es-CL"/>
        </w:rPr>
        <w:t>”</w:t>
      </w:r>
      <w:r w:rsidR="006971FA" w:rsidRPr="006971FA">
        <w:rPr>
          <w:rFonts w:ascii="Times New Roman" w:hAnsi="Times New Roman" w:cs="Times New Roman"/>
          <w:lang w:val="es-CL"/>
        </w:rPr>
        <w:t xml:space="preserve"> (II Conferencia Latinoamericana de Extensión Universitaria, 1972, p. 139).</w:t>
      </w:r>
    </w:p>
    <w:p w14:paraId="06309A0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golpe de Estado de 1973 interrumpió abruptamente los procesos de reforma universitaria en curso, instalando un régimen de intervención directa sobre las instituciones que reorganizó profundamente la función de extensión. Las universidades fueron sometidas a control militar, sus estructuras triestamentales disueltas y sus académicos depurados (Brunner, 1986; Donoso, 1993).</w:t>
      </w:r>
    </w:p>
    <w:p w14:paraId="11913903"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este contexto, la extensión perdió su carácter político y de proyección social declarado explícitamente, para adquirir un perfil crecientemente técnico y profesionalizante, orientado a actividades de capacitación laboral y perfeccionamiento, acordes con las nuevas demandas del modelo económico en instalación (Flores y Biotti, 2025; Merino, 2004). Sin embargo, esta reorientación no implicó la desaparición formal de la extensión como función: el DFL N.º 1 de 1981 la reconoció junto con la docencia y la investigación como funciones propias de la universidad, pero sin otorgarle criterios operativos ni evaluativos específicos. La ambigüedad normativa, lejos de resolverse, se amplió bajo nuevas condiciones institucionales: sin contenido político explícito y sin mecanismos claros de evaluación, la extensión operó durante la dictadura como una función declarativa, cuya implementación quedó sujeta a las lógicas particulares de cada institución y a las restricciones del nuevo modelo de financiamiento competitivo (Music y Venegas, 2020). Este período configuró, así, una tensión estructural entre el reconocimiento formal de la función y su vaciamiento político-institucional, que condicionaría las transformaciones de la década siguiente.</w:t>
      </w:r>
    </w:p>
    <w:p w14:paraId="0B44EC5A"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Superposición de prácticas y diversificación de la relación universidad-entorno durante la década de 1990</w:t>
      </w:r>
    </w:p>
    <w:p w14:paraId="6E2BFE60"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La década de 1990 muestra una superposición de prácticas y dispositivos institucionales entre la universidad y su entorno, donde nuevas formas de vinculación coexisten con significados y estructuras heredadas de la extensión universitaria. Este patrón se </w:t>
      </w:r>
      <w:r w:rsidRPr="006971FA">
        <w:rPr>
          <w:rFonts w:ascii="Times New Roman" w:hAnsi="Times New Roman" w:cs="Times New Roman"/>
          <w:lang w:val="es-CL"/>
        </w:rPr>
        <w:lastRenderedPageBreak/>
        <w:t>desarrolla en un contexto de expansión del sistema de educación superior chileno, caracterizado por el aumento de matrícula y la proliferación de instituciones. Mientras que en 1980 el sistema tenía ocho universidades, a principios de 1990 registra más de doscientas instituciones de educación superior, incluyendo universidades, institutos profesionales y centros de formación técnica (CNAP, 2007).</w:t>
      </w:r>
    </w:p>
    <w:p w14:paraId="28CAA63B"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Esta transformación conlleva una reorganización del financiamiento público y presiones sobre la sostenibilidad institucional, configurando un escenario donde las universidades amplían su relación con el entorno sin abandonar los marcos previos. La Ley N.º 18.962, Orgánica Constitucional de Enseñanza (LOCE), promulgada en marzo de 1990, reafirma la autonomía académica, administrativa y económica de las instituciones de educación superior y mantiene el reconocimiento de la extensión como función propia de la universidad, junto con la docencia y la investigación (Ley N.º 18.962, 1990, art. 75).</w:t>
      </w:r>
    </w:p>
    <w:p w14:paraId="0157FAEE"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En la literatura de la época, la extensión continúa siendo la referencia principal para describir la relación universidad-entorno (Donoso, 1993; Muga, 1994; Riveros, 1998; </w:t>
      </w:r>
      <w:proofErr w:type="spellStart"/>
      <w:r w:rsidRPr="006971FA">
        <w:rPr>
          <w:rFonts w:ascii="Times New Roman" w:hAnsi="Times New Roman" w:cs="Times New Roman"/>
          <w:lang w:val="es-CL"/>
        </w:rPr>
        <w:t>Solleiro</w:t>
      </w:r>
      <w:proofErr w:type="spellEnd"/>
      <w:r w:rsidRPr="006971FA">
        <w:rPr>
          <w:rFonts w:ascii="Times New Roman" w:hAnsi="Times New Roman" w:cs="Times New Roman"/>
          <w:lang w:val="es-CL"/>
        </w:rPr>
        <w:t>, 1994). Sin embargo, adquieren mayor relevancia prácticas que no se inscriben completamente en esta lógica, como la prestación de servicios, la asistencia técnica y la colaboración mediante convenios. Estas actividades emergen en un contexto de restricciones financieras, donde las universidades asumen nuevas funciones sin financiamiento adicional. Como señala Muga, Director de Convenios de la Pontificia Universidad Católica de Chile (PUC): “La universidad asume roles en los ámbitos artístico-cultural, recreacional y social. Sin que por esto reciba aportes financieros especiales para cumplir tales requerimientos” (Muga, 1994, p. 163).</w:t>
      </w:r>
    </w:p>
    <w:p w14:paraId="2742399B"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Este reordenamiento comienza a tensionar el concepto clásico de extensión universitaria. Donoso recoge esta discusión al señalar que la noción de vinculación “es más amplia que el de extensión, pues incorpora otras interacciones, como por ejemplo la docencia de pre y postgrado, la elaboración de proyectos científicos y tecnológicos, y los proyectos de investigación para el desarrollo” (Donoso, 1993, p. 97).</w:t>
      </w:r>
    </w:p>
    <w:p w14:paraId="32A8AB2E"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Evidencia institucional de este proceso puede observarse en las cuentas de rectoría de la PUC. En 1990 se registra la creación del Centro de Extensión y el desarrollo de convenios con actores nacionales e internacionales, orientados a educación continua, actividades culturales y proyectos aplicados. En los años siguientes, se consolida una red de programas y unidades especializadas, como el Centro de Educación a Distancia (Teleduc) y la Dirección de Extensión en Construcción (DECON), junto con la suscripción de convenios con organismos públicos, empresas y universidades extranjeras.</w:t>
      </w:r>
    </w:p>
    <w:p w14:paraId="0BBBC7B6"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Una preocupación complementaria aparece en la Universidad de Chile hacia fines de la década, donde la relación con el entorno se vincula explícitamente con las condiciones de financiamiento del sistema. En este contexto, se advierte la necesidad de fortalecer el apoyo estatal para sostener funciones como la extensión cultural, señalando que:</w:t>
      </w:r>
    </w:p>
    <w:p w14:paraId="3DE95198" w14:textId="340CD408" w:rsidR="006971FA" w:rsidRPr="006971FA" w:rsidRDefault="00E242E3" w:rsidP="00E242E3">
      <w:pPr>
        <w:spacing w:line="240" w:lineRule="auto"/>
        <w:ind w:left="708"/>
        <w:jc w:val="both"/>
        <w:rPr>
          <w:rFonts w:ascii="Times New Roman" w:hAnsi="Times New Roman" w:cs="Times New Roman"/>
          <w:lang w:val="es-CL"/>
        </w:rPr>
      </w:pPr>
      <w:r>
        <w:rPr>
          <w:rFonts w:ascii="Times New Roman" w:hAnsi="Times New Roman" w:cs="Times New Roman"/>
          <w:lang w:val="es-CL"/>
        </w:rPr>
        <w:t>“</w:t>
      </w:r>
      <w:r w:rsidR="006971FA" w:rsidRPr="006971FA">
        <w:rPr>
          <w:rFonts w:ascii="Times New Roman" w:hAnsi="Times New Roman" w:cs="Times New Roman"/>
          <w:lang w:val="es-CL"/>
        </w:rPr>
        <w:t xml:space="preserve">Se requiere proteger la extensión artística y cultural (…) las universidades públicas precisan de más Estado para el desempeño de las tareas a que están llamadas. No podemos depender en forma predominante del financiamiento </w:t>
      </w:r>
      <w:r w:rsidR="006971FA" w:rsidRPr="006971FA">
        <w:rPr>
          <w:rFonts w:ascii="Times New Roman" w:hAnsi="Times New Roman" w:cs="Times New Roman"/>
          <w:lang w:val="es-CL"/>
        </w:rPr>
        <w:lastRenderedPageBreak/>
        <w:t>privado, ya que ello distorsiona el cumplimiento de nuestro papel en la sociedad chilena de hoy</w:t>
      </w:r>
      <w:r>
        <w:rPr>
          <w:rFonts w:ascii="Times New Roman" w:hAnsi="Times New Roman" w:cs="Times New Roman"/>
          <w:lang w:val="es-CL"/>
        </w:rPr>
        <w:t>”</w:t>
      </w:r>
      <w:r w:rsidR="006971FA" w:rsidRPr="006971FA">
        <w:rPr>
          <w:rFonts w:ascii="Times New Roman" w:hAnsi="Times New Roman" w:cs="Times New Roman"/>
          <w:lang w:val="es-CL"/>
        </w:rPr>
        <w:t xml:space="preserve"> (Cuenta de Rectoría, Universidad de Chile, 1998, p. 2).</w:t>
      </w:r>
    </w:p>
    <w:p w14:paraId="3AEC0674" w14:textId="46070084"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Estos antecedentes muestran que la ampliación de las relaciones con actores externos durante la década de 1990 se desarrolla mediante múltiples mecanismos</w:t>
      </w:r>
      <w:r w:rsidR="00E242E3">
        <w:rPr>
          <w:rFonts w:ascii="Times New Roman" w:hAnsi="Times New Roman" w:cs="Times New Roman"/>
          <w:lang w:val="es-CL"/>
        </w:rPr>
        <w:t xml:space="preserve">: </w:t>
      </w:r>
      <w:r w:rsidRPr="006971FA">
        <w:rPr>
          <w:rFonts w:ascii="Times New Roman" w:hAnsi="Times New Roman" w:cs="Times New Roman"/>
          <w:lang w:val="es-CL"/>
        </w:rPr>
        <w:t>convenios, servicios, educación continua</w:t>
      </w:r>
      <w:r w:rsidR="00E242E3">
        <w:rPr>
          <w:rFonts w:ascii="Times New Roman" w:hAnsi="Times New Roman" w:cs="Times New Roman"/>
          <w:lang w:val="es-CL"/>
        </w:rPr>
        <w:t>,</w:t>
      </w:r>
      <w:r w:rsidRPr="006971FA">
        <w:rPr>
          <w:rFonts w:ascii="Times New Roman" w:hAnsi="Times New Roman" w:cs="Times New Roman"/>
          <w:lang w:val="es-CL"/>
        </w:rPr>
        <w:t xml:space="preserve"> sin implicar un abandono inmediato del lenguaje de la extensión universitaria. Este patrón evidencia una superposición de prácticas, en la que nuevas formas de vinculación se integran progresivamente sobre estructuras y significados preexistentes.</w:t>
      </w:r>
    </w:p>
    <w:p w14:paraId="0BC0644A"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Introducción de la vinculación con el medio como criterio evaluativo en la acreditación experimental de la CNAP (1999-2006)</w:t>
      </w:r>
    </w:p>
    <w:p w14:paraId="6ED41DAF"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de documentos sobre la acreditación experimental de programas de la CNAP entre 1999 y 2006 muestra la incorporación de la VCM como criterio evaluativo, configurando un proceso de regulación de la relación universidad-entorno. La creación de la CNAP en 1999 formaliza esta racionalidad mediante criterios experimentales, procesos voluntarios de autoevaluación y mecanismos de comparación interinstitucional (CNAP, 2007).</w:t>
      </w:r>
    </w:p>
    <w:p w14:paraId="5A83A242"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los criterios de acreditación de programas de pregrado se define una dimensión específica de VCM que reorganiza prácticas previamente asociadas a la extensión, la relación con actores externos y la prestación de servicios, incorporándolas como componentes evaluables de los propósitos formativos. Estos criterios distinguen entre formulaciones obligatorias (“debe”) y orientaciones sugeridas (“debiera”), estableciendo distintos niveles de exigibilidad normativa.</w:t>
      </w:r>
    </w:p>
    <w:p w14:paraId="06F4962C"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Un elemento central es la exigencia de vínculos formales con actores externos. Los criterios establecen la necesidad de contar con relaciones estables con sectores sociales, productivos y de servicio, así como con mecanismos de planificación, seguimiento y evaluación de estas actividades. En este marco, se señala que el programa debe disponer de una política explícita de vinculación y de mecanismos eficaces para su desarrollo, junto con la formalización de acuerdos con instituciones externas. Asimismo, se incorporan exigencias orientadas a la retroalimentación del entorno en los procesos formativos, mediante la consideración de la opinión de egresados y actores externos en la revisión de planes de estudio y procesos de enseñanza. En este sentido, se establece que las carreras deben implementar sistemas de retroalimentación basados en requerimientos del medio e incorporar sus resultados en la formación profesional (CNAP, 2003).</w:t>
      </w:r>
    </w:p>
    <w:p w14:paraId="7031C171"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Los criterios también diferencian entre extensión, prestación de servicios y asistencia técnica, exigiendo que estas actividades se desarrollen bajo marcos organizativos claros y sin interferir con las funciones principales de la carrera. Esta distinción evidencia la coexistencia de múltiples registros semánticos que son ordenados operativamente dentro del marco evaluativo.</w:t>
      </w:r>
    </w:p>
    <w:p w14:paraId="3FD6F361" w14:textId="7561EF4B"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Los antecedentes provenientes de los procesos institucionales de acreditación de programas de la CNAP permiten situar el alcance efectivo de estas orientaciones. Entre 2003 y comienzos de 2007, 62 instituciones de educación superior se presentaron </w:t>
      </w:r>
      <w:r w:rsidRPr="006971FA">
        <w:rPr>
          <w:rFonts w:ascii="Times New Roman" w:hAnsi="Times New Roman" w:cs="Times New Roman"/>
          <w:lang w:val="es-CL"/>
        </w:rPr>
        <w:lastRenderedPageBreak/>
        <w:t xml:space="preserve">voluntariamente al proceso de acreditación, de las cuales solo </w:t>
      </w:r>
      <w:r w:rsidR="00E242E3">
        <w:rPr>
          <w:rFonts w:ascii="Times New Roman" w:hAnsi="Times New Roman" w:cs="Times New Roman"/>
          <w:lang w:val="es-CL"/>
        </w:rPr>
        <w:t>9</w:t>
      </w:r>
      <w:r w:rsidRPr="006971FA">
        <w:rPr>
          <w:rFonts w:ascii="Times New Roman" w:hAnsi="Times New Roman" w:cs="Times New Roman"/>
          <w:lang w:val="es-CL"/>
        </w:rPr>
        <w:t xml:space="preserve"> universidades incorporaron explícitamente el área de VCM en sus evaluaciones iniciales (CNAP, 2007).</w:t>
      </w:r>
    </w:p>
    <w:p w14:paraId="3443964C"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de las resoluciones de acreditación indica que estas universidades presentan fortalezas asociadas a la existencia de políticas institucionales, vínculos con actores externos y desarrollo de programas con presencia territorial. Sin embargo, se identifican debilidades recurrentes, entre ellas la ausencia de mecanismos sistemáticos de evaluación de impacto, una débil articulación con docencia e investigación y una alta heterogeneidad entre unidades académicas. En este contexto, los dictámenes recomiendan avanzar en la formalización organizacional y en el desarrollo de sistemas de seguimiento y evaluación.</w:t>
      </w:r>
    </w:p>
    <w:p w14:paraId="1FE9B51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Estos antecedentes sugieren que, en este primer ciclo de acreditación, la VCM comienza a institucionalizarse como criterio evaluativo, pero aún carece de dispositivos estables que permitan su sistematización y evaluación.</w:t>
      </w:r>
    </w:p>
    <w:p w14:paraId="63D4A771"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Fijación normativa de la vinculación con el medio en los criterios de la Comisión Nacional de Acreditación (2006)</w:t>
      </w:r>
    </w:p>
    <w:p w14:paraId="7028787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de los criterios de acreditación desde 2006 muestra la formalización normativa de la VCM mediante su incorporación al marco legal del sistema de aseguramiento de la calidad. La Ley N.º 20.129 consolida el proceso iniciado con la acreditación experimental de la CNAP al establecer el Sistema Nacional de Aseguramiento de la Calidad y crear la Comisión Nacional de Acreditación (CNA). En este marco, se establece que las instituciones deben contar con políticas de vinculación bidireccional, mecanismos de evaluación de pertinencia e impacto, e indicadores de contribución al desarrollo regional y nacional (Ley N.º 20.129, 2006, art. 18), transformando la relación universidad-entorno en un objeto regulado y sujeto a evaluación.</w:t>
      </w:r>
    </w:p>
    <w:p w14:paraId="5BA21B9C" w14:textId="01CEE410"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Esta definición normativa se vincula con debates desarrollados durante la tramitación legislativa entre 2003 y 2006, donde la distinción entre extensión y VCM adquiere mayor visibilidad. En este contexto, se plantea que la acreditación institucional debía considerar funciones obligatorias </w:t>
      </w:r>
      <w:r w:rsidR="00543BF3">
        <w:rPr>
          <w:rFonts w:ascii="Times New Roman" w:hAnsi="Times New Roman" w:cs="Times New Roman"/>
          <w:lang w:val="es-CL"/>
        </w:rPr>
        <w:t xml:space="preserve">- </w:t>
      </w:r>
      <w:r w:rsidRPr="006971FA">
        <w:rPr>
          <w:rFonts w:ascii="Times New Roman" w:hAnsi="Times New Roman" w:cs="Times New Roman"/>
          <w:lang w:val="es-CL"/>
        </w:rPr>
        <w:t>docencia de pregrado y gestión institucional</w:t>
      </w:r>
      <w:r w:rsidR="00543BF3">
        <w:rPr>
          <w:rFonts w:ascii="Times New Roman" w:hAnsi="Times New Roman" w:cs="Times New Roman"/>
          <w:lang w:val="es-CL"/>
        </w:rPr>
        <w:t xml:space="preserve">- </w:t>
      </w:r>
      <w:r w:rsidRPr="006971FA">
        <w:rPr>
          <w:rFonts w:ascii="Times New Roman" w:hAnsi="Times New Roman" w:cs="Times New Roman"/>
          <w:lang w:val="es-CL"/>
        </w:rPr>
        <w:t>y otras de carácter voluntario, entre ellas la vinculación con el medio, “antes llamada extensión” (Biblioteca del Congreso Nacional de Chile, 2006, p. 48). Esta formulación evidencia que la extensión continúa operando como referencia conceptual, al mismo tiempo que la VCM se introduce como categoría evaluativa emergente.</w:t>
      </w:r>
    </w:p>
    <w:p w14:paraId="750A1A4B"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Asimismo, en la discusión legislativa se asocia esta redefinición conceptual con la incorporación de mecanismos de evaluación del desempeño institucional. En este sentido, se señala que “en materia de extensión, hoy denominada conexión con el medio, existen formas objetivas de medición de la calidad que permiten su evaluación” (Biblioteca del Congreso Nacional de Chile, 2006, p. 248). Esta intervención refuerza el vínculo entre el cambio terminológico y la introducción de criterios estandarizados de evaluación.</w:t>
      </w:r>
    </w:p>
    <w:p w14:paraId="1F9F9B4C"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En esta línea, la discusión legislativa permite observar que la incorporación de la VCM no implica una sustitución inmediata del lenguaje histórico de la extensión universitaria. Más bien, se configura como un proceso de reordenamiento conceptual en el que prácticas tradicionalmente asociadas a la extensión comienzan a reorganizarse bajo una nueva </w:t>
      </w:r>
      <w:r w:rsidRPr="006971FA">
        <w:rPr>
          <w:rFonts w:ascii="Times New Roman" w:hAnsi="Times New Roman" w:cs="Times New Roman"/>
          <w:lang w:val="es-CL"/>
        </w:rPr>
        <w:lastRenderedPageBreak/>
        <w:t>categoría vinculada al aseguramiento de la calidad, la diferenciación institucional y la evaluación del desempeño universitario. De este modo, la Ley N.º 20.129 introduce un marco normativo que habilita la evaluación sistemática de estas actividades, estableciendo las bases para su posterior consolidación dentro de los criterios de acreditación institucional.</w:t>
      </w:r>
    </w:p>
    <w:p w14:paraId="4915633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lang w:val="es-CL"/>
        </w:rPr>
        <w:t>Discusión</w:t>
      </w:r>
    </w:p>
    <w:p w14:paraId="548CF09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Ambigüedad institucional, agencia y poder en la reconfiguración de la relación universidad-entorno</w:t>
      </w:r>
    </w:p>
    <w:p w14:paraId="3DF63A4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primer lugar, los resultados permiten interpretar la transformación de la relación universidad-entorno en Chile a partir de un supuesto central del cambio institucional gradual: la ambigüedad irreductible de las normas. Las reglas formales no especifican completamente sus formas de aplicación, generando márgenes de interpretación entre formulación e implementación. Esta brecha constituye una condición para el cambio gradual, al habilitar la reinterpretación estratégica de funciones preexistentes (Bell, 2011).</w:t>
      </w:r>
    </w:p>
    <w:p w14:paraId="2A278254"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Entre finales de la década de 1970 y mediados de los 2000, la extensión universitaria operó como una función institucional ambigua: reconocida normativamente, pero con escasa definición operativa y evaluativa. Desde finales de los setenta se observan esfuerzos por dotarla de mayor racionalidad organizacional, como los intentos de planificación y evaluación impulsados por la Universidad de Chile. Sin embargo, estos esfuerzos no lograron estabilizar una definición operativa clara, en parte debido a las dificultades metodológicas de evaluación discutidas en las conferencias latinoamericanas de la época.</w:t>
      </w:r>
    </w:p>
    <w:p w14:paraId="48BF88A3"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Durante la dictadura militar, esta ambigüedad se reorganiza sin resolverse. El reconocimiento formal de la extensión en el DFL N.º 1 de 1981, sin criterios operativos ni evaluativos específicos, amplía los márgenes de interpretación institucional, favoreciendo implementaciones diferenciadas según contextos de poder, recursos y necesidades organizacionales (</w:t>
      </w:r>
      <w:proofErr w:type="spellStart"/>
      <w:r w:rsidRPr="006971FA">
        <w:rPr>
          <w:rFonts w:ascii="Times New Roman" w:hAnsi="Times New Roman" w:cs="Times New Roman"/>
          <w:lang w:val="es-CL"/>
        </w:rPr>
        <w:t>Gerschewski</w:t>
      </w:r>
      <w:proofErr w:type="spellEnd"/>
      <w:r w:rsidRPr="006971FA">
        <w:rPr>
          <w:rFonts w:ascii="Times New Roman" w:hAnsi="Times New Roman" w:cs="Times New Roman"/>
          <w:lang w:val="es-CL"/>
        </w:rPr>
        <w:t xml:space="preserve">, 2021; Kivistö y </w:t>
      </w:r>
      <w:proofErr w:type="spellStart"/>
      <w:r w:rsidRPr="006971FA">
        <w:rPr>
          <w:rFonts w:ascii="Times New Roman" w:hAnsi="Times New Roman" w:cs="Times New Roman"/>
          <w:lang w:val="es-CL"/>
        </w:rPr>
        <w:t>Zalyevska</w:t>
      </w:r>
      <w:proofErr w:type="spellEnd"/>
      <w:r w:rsidRPr="006971FA">
        <w:rPr>
          <w:rFonts w:ascii="Times New Roman" w:hAnsi="Times New Roman" w:cs="Times New Roman"/>
          <w:lang w:val="es-CL"/>
        </w:rPr>
        <w:t>, 2015).</w:t>
      </w:r>
    </w:p>
    <w:p w14:paraId="76E9B0E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la década de 1990, estos márgenes son activados en un contexto de expansión y restricciones financieras, dando lugar a la diversificación de prácticas de relación con el entorno. Este proceso ilustra cómo el cambio institucional puede producirse sin reformas formales, mediante la reinterpretación de funciones existentes frente a nuevas condiciones materiales (Gómez, 2015).</w:t>
      </w:r>
    </w:p>
    <w:p w14:paraId="7E355A85" w14:textId="77777777" w:rsid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Desde esta perspectiva, la emergencia de la VCM se entiende como el resultado acumulativo de prácticas que aprovecharon la ambigüedad funcional de la extensión. Más que una sustitución, se trata de un proceso de reconfiguración en el que nuevas formas de vinculación se desarrollan sobre estructuras preexistentes, preparando el terreno para su posterior formalización como criterio evaluativo.</w:t>
      </w:r>
    </w:p>
    <w:p w14:paraId="312027C1" w14:textId="77777777" w:rsidR="00543BF3" w:rsidRDefault="00543BF3" w:rsidP="006971FA">
      <w:pPr>
        <w:spacing w:line="240" w:lineRule="auto"/>
        <w:jc w:val="both"/>
        <w:rPr>
          <w:rFonts w:ascii="Times New Roman" w:hAnsi="Times New Roman" w:cs="Times New Roman"/>
          <w:lang w:val="es-CL"/>
        </w:rPr>
      </w:pPr>
    </w:p>
    <w:p w14:paraId="1147391D" w14:textId="77777777" w:rsidR="00543BF3" w:rsidRPr="006971FA" w:rsidRDefault="00543BF3" w:rsidP="006971FA">
      <w:pPr>
        <w:spacing w:line="240" w:lineRule="auto"/>
        <w:jc w:val="both"/>
        <w:rPr>
          <w:rFonts w:ascii="Times New Roman" w:hAnsi="Times New Roman" w:cs="Times New Roman"/>
          <w:lang w:val="es-CL"/>
        </w:rPr>
      </w:pPr>
    </w:p>
    <w:p w14:paraId="5FDEAC3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lastRenderedPageBreak/>
        <w:t>Cambio gradual por superposición y conversión: extensión, servicios y vinculación como capas coexistentes</w:t>
      </w:r>
    </w:p>
    <w:p w14:paraId="7C814BE3"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En segundo lugar, la evidencia sugiere que la institucionalización de la VCM se desarrolla como un proceso de cambio institucional gradual, iniciado mediante dinámicas de superposición. En una fase inicial, nuevas actividades y criterios orientados a la relación con el entorno se incorporan sobre las funciones de extensión universitaria, sin alterar su definición formal, generando la coexistencia de prácticas que reconfiguran progresivamente sus sentidos (Pinheiro et al., 2015).</w:t>
      </w:r>
    </w:p>
    <w:p w14:paraId="07492D1E"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Este patrón se observa en la década de 1990. En las cuentas de rectoría de la época se evidencia que se mantiene el reconocimiento de la extensión como función universitaria, mientras se incorporan nuevas modalidades de vinculación con el entorno, como consultorías y prestación de servicios. Estas prácticas se agregan sobre las actividades tradicionales, configurando un entramado en el que múltiples formas de relación universidad-entorno operan simultáneamente.</w:t>
      </w:r>
    </w:p>
    <w:p w14:paraId="1D548FB9"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La acumulación de estas capas facilita procesos de conversión, entendidos como la reinterpretación de normas existentes para cumplir funciones distintas a las originalmente previstas (Capoccia, 2016; Mahoney y Thelen, 2010). En este caso, la extensión funciona como un marco flexible bajo el cual se inscriben prácticas orientadas a la sostenibilidad financiera, la prestación de servicios y la respuesta a demandas del entorno, aprovechando su ambigüedad normativa.</w:t>
      </w:r>
    </w:p>
    <w:p w14:paraId="501A6C0C" w14:textId="20C68676"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Esta dinámica se refuerza en los criterios de acreditación de la CNAP, donde la VCM reorganiza prácticas preexistentes mediante exigencias evaluativas diferenciadas. En particular, los vínculos con actores externos y los mecanismos de retroalimentación se formulan bajo criterios obligatorios (“debe”), mientras que las actividades de extensión</w:t>
      </w:r>
      <w:r w:rsidR="00543BF3">
        <w:rPr>
          <w:rFonts w:ascii="Times New Roman" w:hAnsi="Times New Roman" w:cs="Times New Roman"/>
          <w:lang w:val="es-CL"/>
        </w:rPr>
        <w:t xml:space="preserve">, </w:t>
      </w:r>
      <w:r w:rsidRPr="006971FA">
        <w:rPr>
          <w:rFonts w:ascii="Times New Roman" w:hAnsi="Times New Roman" w:cs="Times New Roman"/>
          <w:lang w:val="es-CL"/>
        </w:rPr>
        <w:t>entendidas desde una dimensión más social, cultural y de difusión</w:t>
      </w:r>
      <w:r w:rsidR="00543BF3">
        <w:rPr>
          <w:rFonts w:ascii="Times New Roman" w:hAnsi="Times New Roman" w:cs="Times New Roman"/>
          <w:lang w:val="es-CL"/>
        </w:rPr>
        <w:t>,</w:t>
      </w:r>
      <w:r w:rsidRPr="006971FA">
        <w:rPr>
          <w:rFonts w:ascii="Times New Roman" w:hAnsi="Times New Roman" w:cs="Times New Roman"/>
          <w:lang w:val="es-CL"/>
        </w:rPr>
        <w:t xml:space="preserve"> se asocian a orientaciones sugeridas (“debiera”), estableciendo distintos niveles de exigibilidad normativa dentro del dispositivo evaluativo.</w:t>
      </w:r>
    </w:p>
    <w:p w14:paraId="20AFD8E9"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Desde esta perspectiva, la transformación se configura como un proceso de cambio institucional gradual, donde la superposición de exigencias evaluativas y la reinterpretación de funciones permiten a las universidades responder a restricciones financieras y demandas de rendición de cuentas, en un contexto en el que los dispositivos de aseguramiento de la calidad operan como mecanismos de formalización y evaluación de estas prácticas (Williams y Harvey, 2015). La coexistencia de extensión, servicios y vinculación expresa una modalidad de cambio gradual, donde la ambigüedad funcional opera como recurso para la adaptación organizacional (</w:t>
      </w:r>
      <w:proofErr w:type="spellStart"/>
      <w:r w:rsidRPr="006971FA">
        <w:rPr>
          <w:rFonts w:ascii="Times New Roman" w:hAnsi="Times New Roman" w:cs="Times New Roman"/>
          <w:lang w:val="es-CL"/>
        </w:rPr>
        <w:t>Bleiklie</w:t>
      </w:r>
      <w:proofErr w:type="spellEnd"/>
      <w:r w:rsidRPr="006971FA">
        <w:rPr>
          <w:rFonts w:ascii="Times New Roman" w:hAnsi="Times New Roman" w:cs="Times New Roman"/>
          <w:lang w:val="es-CL"/>
        </w:rPr>
        <w:t xml:space="preserve"> y Kogan, 2007).</w:t>
      </w:r>
    </w:p>
    <w:p w14:paraId="1521203D"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b/>
          <w:bCs/>
          <w:i/>
          <w:iCs/>
          <w:lang w:val="es-CL"/>
        </w:rPr>
        <w:t>Reposicionamiento de categorías culturales y racionalidad evaluativa en la institucionalización de la VCM</w:t>
      </w:r>
    </w:p>
    <w:p w14:paraId="32DE837A"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En tercer lugar, los resultados permiten interpretar la institucionalización de la VCM como un proceso de reposicionamiento de categorías culturales que estructuran la relación universidad-entorno. Las instituciones generan categorías culturales que delimitan los marcos mediante los cuales los actores comprenden sus funciones y </w:t>
      </w:r>
      <w:r w:rsidRPr="006971FA">
        <w:rPr>
          <w:rFonts w:ascii="Times New Roman" w:hAnsi="Times New Roman" w:cs="Times New Roman"/>
          <w:lang w:val="es-CL"/>
        </w:rPr>
        <w:lastRenderedPageBreak/>
        <w:t>acciones aceptables (Diogo et al., 2015; Hall, 2010). Estas categorías se estabilizan mediante su uso en discursos, prácticas y dispositivos organizacionales.</w:t>
      </w:r>
    </w:p>
    <w:p w14:paraId="1D66A57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La extensión universitaria ha operado como categoría cultural predominante, con carga histórica y simbólica. Como muestran los antecedentes previos a los noventa, la extensión concentró disputas sobre su significado social y académico, coexistiendo con prácticas heterogéneas que incluían difusión cultural, educación continua y prestación de servicios. La literatura sugiere que cuanto más consistente y prolongado es el uso de una categoría cultural en grupos de políticas, mayor es el esfuerzo para reformularla o desplazarla (</w:t>
      </w:r>
      <w:proofErr w:type="spellStart"/>
      <w:r w:rsidRPr="006971FA">
        <w:rPr>
          <w:rFonts w:ascii="Times New Roman" w:hAnsi="Times New Roman" w:cs="Times New Roman"/>
          <w:lang w:val="es-CL"/>
        </w:rPr>
        <w:t>Pedriana</w:t>
      </w:r>
      <w:proofErr w:type="spellEnd"/>
      <w:r w:rsidRPr="006971FA">
        <w:rPr>
          <w:rFonts w:ascii="Times New Roman" w:hAnsi="Times New Roman" w:cs="Times New Roman"/>
          <w:lang w:val="es-CL"/>
        </w:rPr>
        <w:t xml:space="preserve"> y Stryker, 1997; Steensland, 2006, 2008). Los procesos de cambio dependen de un trabajo de redefinición semántica que permita reorganizar los significados asociados a la categoría dominante (Schön y Rein, 1994; Weyland, 2008). Los hallazgos indican que esta redefinición se realizó gradualmente, mediante un proceso acumulativo donde nuevas denominaciones adquirieron visibilidad y estabilidad en paralelo a la extensión.</w:t>
      </w:r>
    </w:p>
    <w:p w14:paraId="05E62D95"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El análisis de los criterios experimentales de la CNAP es fundamental en este proceso, ya que introduce explícitamente un repertorio categorial diferenciado para nombrar y evaluar la relación entre la universidad y su entorno. En este contexto, la extensión experimenta un proceso de reposicionamiento cultural en el que nuevas categorías comienzan a consolidarse mediante su incorporación en dispositivos evaluativos (</w:t>
      </w:r>
      <w:proofErr w:type="spellStart"/>
      <w:r w:rsidRPr="006971FA">
        <w:rPr>
          <w:rFonts w:ascii="Times New Roman" w:hAnsi="Times New Roman" w:cs="Times New Roman"/>
          <w:lang w:val="es-CL"/>
        </w:rPr>
        <w:t>Pedriana</w:t>
      </w:r>
      <w:proofErr w:type="spellEnd"/>
      <w:r w:rsidRPr="006971FA">
        <w:rPr>
          <w:rFonts w:ascii="Times New Roman" w:hAnsi="Times New Roman" w:cs="Times New Roman"/>
          <w:lang w:val="es-CL"/>
        </w:rPr>
        <w:t xml:space="preserve"> y Stryker, 1997; Steensland, 2008). La coexistencia de términos como extensión, VCM y prestación de servicios, observable en los criterios experimentales de la CNAP y en la discusión legislativa posterior, puede interpretarse como una transición en las categorías que organizan esta relación, permitiendo que prácticas emergentes adquirieran legitimidad y continuidad bajo nuevas denominaciones.</w:t>
      </w:r>
    </w:p>
    <w:p w14:paraId="6A6F69D2"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Los hallazgos indican que la institucionalización de la VCM no se debe a una redefinición normativa abrupta de la misión universitaria, sino a un proceso endógeno de cambio institucional gradual basado en la reinterpretación de funciones preexistentes. La ambigüedad normativa que caracterizó a la extensión universitaria generó márgenes interpretativos que permitieron adaptarla a nuevas presiones organizacionales, especialmente restricciones financieras y demandas de rendición de cuentas. Prácticas como la prestación de servicios, la asistencia técnica y la educación continua se integraron al quehacer universitario mediante dinámicas de superposición sobre estructuras institucionales existentes.</w:t>
      </w:r>
    </w:p>
    <w:p w14:paraId="4F3B7C13" w14:textId="77777777" w:rsidR="006971FA" w:rsidRPr="006971FA" w:rsidRDefault="006971FA" w:rsidP="006971FA">
      <w:pPr>
        <w:spacing w:line="240" w:lineRule="auto"/>
        <w:jc w:val="both"/>
        <w:rPr>
          <w:rFonts w:ascii="Times New Roman" w:hAnsi="Times New Roman" w:cs="Times New Roman"/>
          <w:lang w:val="es-CL"/>
        </w:rPr>
      </w:pPr>
      <w:r w:rsidRPr="006971FA">
        <w:rPr>
          <w:rFonts w:ascii="Times New Roman" w:hAnsi="Times New Roman" w:cs="Times New Roman"/>
          <w:lang w:val="es-CL"/>
        </w:rPr>
        <w:t>Esta acumulación de prácticas facilitó procesos de conversión, en los que la extensión fue reinterpretada dentro de marcos evaluativos emergentes. Al mismo tiempo, su fuerte arraigo como categoría cultural permitió que estas nuevas prácticas se legitimaran inicialmente bajo su denominación, mientras comenzaban a diferenciarse progresivamente en el lenguaje institucional. En este proceso, los dispositivos experimentales de acreditación contribuyeron a intensificar el uso de nuevas categorías para nombrar y evaluar la relación universidad-entorno, otorgando mayor visibilidad a la VCM antes de su posterior fijación normativa.</w:t>
      </w:r>
    </w:p>
    <w:p w14:paraId="18890242" w14:textId="7B212DB6" w:rsidR="006971FA" w:rsidRPr="00543BF3" w:rsidRDefault="006971FA" w:rsidP="00543BF3">
      <w:pPr>
        <w:spacing w:line="240" w:lineRule="auto"/>
        <w:jc w:val="both"/>
        <w:rPr>
          <w:rFonts w:ascii="Times New Roman" w:hAnsi="Times New Roman" w:cs="Times New Roman"/>
          <w:lang w:val="es-CL"/>
        </w:rPr>
      </w:pPr>
      <w:r w:rsidRPr="006971FA">
        <w:rPr>
          <w:rFonts w:ascii="Times New Roman" w:hAnsi="Times New Roman" w:cs="Times New Roman"/>
          <w:lang w:val="es-CL"/>
        </w:rPr>
        <w:t xml:space="preserve">El caso chileno ofrece una contribución relevante al debate comparado sobre la institucionalización de la tercera misión universitaria. En contraste con trayectorias como </w:t>
      </w:r>
      <w:r w:rsidRPr="006971FA">
        <w:rPr>
          <w:rFonts w:ascii="Times New Roman" w:hAnsi="Times New Roman" w:cs="Times New Roman"/>
          <w:lang w:val="es-CL"/>
        </w:rPr>
        <w:lastRenderedPageBreak/>
        <w:t>la de Uruguay, donde la extensión mantuvo un carácter político explícito y continuó siendo conceptualmente central en la relación universidad-sociedad (Tommasino y Cano, 2016), o con la de universidades colombianas que tendieron a subsumir estas funciones bajo el paradigma de la transferencia y el emprendimiento (Brunner, 2014), el caso chileno muestra una modalidad específica de cambio: la reconversión de una función históricamente cargada de contenido político en una dimensión evaluable del desempeño institucional, sin ruptura formal explícita. Este proceso evidencia que los mecanismos de aseguramiento de la calidad no son solo herramientas de gestión, sino dispositivos activos de reconfiguración institucional que participan en la estabilización de nuevas formas de relación universidad-entorno.</w:t>
      </w:r>
    </w:p>
    <w:p w14:paraId="12CE0BCB" w14:textId="379CE1A3"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1ED992CB" w14:textId="77777777" w:rsidR="00543BF3" w:rsidRPr="00543BF3" w:rsidRDefault="00543BF3" w:rsidP="00543BF3">
      <w:pPr>
        <w:spacing w:line="240" w:lineRule="auto"/>
        <w:jc w:val="both"/>
        <w:rPr>
          <w:rFonts w:ascii="Times New Roman" w:hAnsi="Times New Roman" w:cs="Times New Roman"/>
          <w:lang w:val="es-CL"/>
        </w:rPr>
      </w:pPr>
      <w:r w:rsidRPr="00543BF3">
        <w:rPr>
          <w:rFonts w:ascii="Times New Roman" w:hAnsi="Times New Roman" w:cs="Times New Roman"/>
          <w:lang w:val="es-CL"/>
        </w:rPr>
        <w:t>Este estudio analizó la institucionalización de la VCM en el sistema universitario chileno desde la perspectiva del cambio institucional gradual. Los resultados muestran que esta no se configura como una función que emerge mediante una redefinición normativa abrupta, sino como el resultado de un proceso acumulativo de reinterpretación de funciones preexistentes, particularmente de la extensión universitaria. A lo largo del periodo analizado, distintas formas de interacción con el entorno coexistieron y se superpusieron, adquiriendo progresivamente nuevos significados organizacionales.</w:t>
      </w:r>
    </w:p>
    <w:p w14:paraId="1BE1319E" w14:textId="77777777" w:rsidR="00543BF3" w:rsidRPr="00543BF3" w:rsidRDefault="00543BF3" w:rsidP="00543BF3">
      <w:pPr>
        <w:spacing w:line="240" w:lineRule="auto"/>
        <w:jc w:val="both"/>
        <w:rPr>
          <w:rFonts w:ascii="Times New Roman" w:hAnsi="Times New Roman" w:cs="Times New Roman"/>
          <w:lang w:val="es-CL"/>
        </w:rPr>
      </w:pPr>
      <w:r w:rsidRPr="00543BF3">
        <w:rPr>
          <w:rFonts w:ascii="Times New Roman" w:hAnsi="Times New Roman" w:cs="Times New Roman"/>
          <w:lang w:val="es-CL"/>
        </w:rPr>
        <w:t>Desde esta perspectiva, el caso chileno permite observar cómo la ambigüedad normativa de una función institucional puede operar como condición habilitante del cambio, al abrir márgenes para la reinterpretación y adaptación frente a nuevas presiones organizacionales. La extensión universitaria, en tanto categoría culturalmente arraigada pero escasamente especificada en términos operativos, permitió integrar prácticas heterogéneas y facilitó su progresiva reorganización bajo nuevas lógicas institucionales.</w:t>
      </w:r>
    </w:p>
    <w:p w14:paraId="293932E5" w14:textId="77777777" w:rsidR="00543BF3" w:rsidRPr="00543BF3" w:rsidRDefault="00543BF3" w:rsidP="00543BF3">
      <w:pPr>
        <w:spacing w:line="240" w:lineRule="auto"/>
        <w:jc w:val="both"/>
        <w:rPr>
          <w:rFonts w:ascii="Times New Roman" w:hAnsi="Times New Roman" w:cs="Times New Roman"/>
          <w:lang w:val="es-CL"/>
        </w:rPr>
      </w:pPr>
      <w:r w:rsidRPr="00543BF3">
        <w:rPr>
          <w:rFonts w:ascii="Times New Roman" w:hAnsi="Times New Roman" w:cs="Times New Roman"/>
          <w:lang w:val="es-CL"/>
        </w:rPr>
        <w:t>Este estudio presenta limitaciones derivadas de su enfoque documental, centrado en normativas y dispositivos evaluativos, lo que restringe la posibilidad de observar cómo estos procesos son interpretados, negociados y apropiados por actores universitarios en su práctica cotidiana. En esta línea, futuras investigaciones podrían complementar este análisis mediante enfoques cualitativos basados en entrevistas o estudios de caso, así como desarrollar comparaciones internacionales que permitan evaluar el alcance de los mecanismos identificados.</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4542EC9E" w14:textId="77777777" w:rsidR="00543BF3" w:rsidRDefault="00543BF3" w:rsidP="00543BF3">
      <w:pPr>
        <w:spacing w:after="80"/>
        <w:ind w:left="720" w:hanging="720"/>
        <w:jc w:val="both"/>
      </w:pPr>
      <w:r>
        <w:rPr>
          <w:rFonts w:ascii="Times New Roman" w:eastAsia="Times New Roman" w:hAnsi="Times New Roman" w:cs="Times New Roman"/>
        </w:rPr>
        <w:t xml:space="preserve">Adán, L., Poblete, F., Angulo, C., Loncomilla, L., y Muñoz, Z. (2016). </w:t>
      </w:r>
      <w:r>
        <w:rPr>
          <w:rFonts w:ascii="Times New Roman" w:eastAsia="Times New Roman" w:hAnsi="Times New Roman" w:cs="Times New Roman"/>
          <w:i/>
          <w:iCs/>
        </w:rPr>
        <w:t>La función de vinculación o tercera misión en el contexto de la educación superior chilena</w:t>
      </w:r>
      <w:r>
        <w:rPr>
          <w:rFonts w:ascii="Times New Roman" w:eastAsia="Times New Roman" w:hAnsi="Times New Roman" w:cs="Times New Roman"/>
        </w:rPr>
        <w:t xml:space="preserve"> (Cuadernos de Investigación N.º 1). Comisión Nacional de Acreditación.</w:t>
      </w:r>
    </w:p>
    <w:p w14:paraId="337C3D65" w14:textId="77777777" w:rsidR="00543BF3" w:rsidRDefault="00543BF3" w:rsidP="00543BF3">
      <w:pPr>
        <w:spacing w:after="80"/>
        <w:ind w:left="720" w:hanging="720"/>
        <w:jc w:val="both"/>
      </w:pPr>
      <w:r>
        <w:rPr>
          <w:rFonts w:ascii="Times New Roman" w:eastAsia="Times New Roman" w:hAnsi="Times New Roman" w:cs="Times New Roman"/>
        </w:rPr>
        <w:t>Alarcón, M., y Brunner, J. J. (2024). The Third Mission in Chilean universities: An analysis from the perspective of its academics [Ponencia]. International Conference on Higher Education Advances (HEAd'24), Valencia, España. https://doi.org/10.4995/HEAd24.2024.17163</w:t>
      </w:r>
    </w:p>
    <w:p w14:paraId="404C16EB" w14:textId="77777777" w:rsidR="00543BF3" w:rsidRDefault="00543BF3" w:rsidP="00543BF3">
      <w:pPr>
        <w:spacing w:after="80"/>
        <w:ind w:left="720" w:hanging="720"/>
        <w:jc w:val="both"/>
      </w:pPr>
      <w:r>
        <w:rPr>
          <w:rFonts w:ascii="Times New Roman" w:eastAsia="Times New Roman" w:hAnsi="Times New Roman" w:cs="Times New Roman"/>
        </w:rPr>
        <w:lastRenderedPageBreak/>
        <w:t xml:space="preserve">Alonso, C., Cuschnir, M., y Napoli, M. (2021). La tercera misión de la universidad y sus múltiples sentidos en debate. </w:t>
      </w:r>
      <w:r>
        <w:rPr>
          <w:rFonts w:ascii="Times New Roman" w:eastAsia="Times New Roman" w:hAnsi="Times New Roman" w:cs="Times New Roman"/>
          <w:i/>
          <w:iCs/>
        </w:rPr>
        <w:t>Revista del Instituto de Investigaciones en Ciencias de la Educación (IICE)</w:t>
      </w:r>
      <w:r>
        <w:rPr>
          <w:rFonts w:ascii="Times New Roman" w:eastAsia="Times New Roman" w:hAnsi="Times New Roman" w:cs="Times New Roman"/>
        </w:rPr>
        <w:t>, (49), 91-130.</w:t>
      </w:r>
    </w:p>
    <w:p w14:paraId="42181D4C" w14:textId="77777777" w:rsidR="00543BF3" w:rsidRDefault="00543BF3" w:rsidP="00543BF3">
      <w:pPr>
        <w:spacing w:after="80"/>
        <w:ind w:left="720" w:hanging="720"/>
        <w:jc w:val="both"/>
      </w:pPr>
      <w:r>
        <w:rPr>
          <w:rFonts w:ascii="Times New Roman" w:eastAsia="Times New Roman" w:hAnsi="Times New Roman" w:cs="Times New Roman"/>
        </w:rPr>
        <w:t xml:space="preserve">Bell, S. (2011). Do we really need a new constructivist institutionalism to explain institutional change? </w:t>
      </w:r>
      <w:r>
        <w:rPr>
          <w:rFonts w:ascii="Times New Roman" w:eastAsia="Times New Roman" w:hAnsi="Times New Roman" w:cs="Times New Roman"/>
          <w:i/>
          <w:iCs/>
        </w:rPr>
        <w:t>British Journal of Political Science</w:t>
      </w:r>
      <w:r>
        <w:rPr>
          <w:rFonts w:ascii="Times New Roman" w:eastAsia="Times New Roman" w:hAnsi="Times New Roman" w:cs="Times New Roman"/>
        </w:rPr>
        <w:t xml:space="preserve">, </w:t>
      </w:r>
      <w:r>
        <w:rPr>
          <w:rFonts w:ascii="Times New Roman" w:eastAsia="Times New Roman" w:hAnsi="Times New Roman" w:cs="Times New Roman"/>
          <w:i/>
          <w:iCs/>
        </w:rPr>
        <w:t>41</w:t>
      </w:r>
      <w:r>
        <w:rPr>
          <w:rFonts w:ascii="Times New Roman" w:eastAsia="Times New Roman" w:hAnsi="Times New Roman" w:cs="Times New Roman"/>
        </w:rPr>
        <w:t>(4), 883-906. https://doi.org/10.1017/S0007123411000147</w:t>
      </w:r>
    </w:p>
    <w:p w14:paraId="3228C3FA" w14:textId="77777777" w:rsidR="00543BF3" w:rsidRDefault="00543BF3" w:rsidP="00543BF3">
      <w:pPr>
        <w:spacing w:after="80"/>
        <w:ind w:left="720" w:hanging="720"/>
        <w:jc w:val="both"/>
      </w:pPr>
      <w:r>
        <w:rPr>
          <w:rFonts w:ascii="Times New Roman" w:eastAsia="Times New Roman" w:hAnsi="Times New Roman" w:cs="Times New Roman"/>
        </w:rPr>
        <w:t xml:space="preserve">Bernasconi, A. (2008). Is there a Latin American model of the university? </w:t>
      </w:r>
      <w:r>
        <w:rPr>
          <w:rFonts w:ascii="Times New Roman" w:eastAsia="Times New Roman" w:hAnsi="Times New Roman" w:cs="Times New Roman"/>
          <w:i/>
          <w:iCs/>
        </w:rPr>
        <w:t>Comparative Education Review</w:t>
      </w:r>
      <w:r>
        <w:rPr>
          <w:rFonts w:ascii="Times New Roman" w:eastAsia="Times New Roman" w:hAnsi="Times New Roman" w:cs="Times New Roman"/>
        </w:rPr>
        <w:t xml:space="preserve">, </w:t>
      </w:r>
      <w:r>
        <w:rPr>
          <w:rFonts w:ascii="Times New Roman" w:eastAsia="Times New Roman" w:hAnsi="Times New Roman" w:cs="Times New Roman"/>
          <w:i/>
          <w:iCs/>
        </w:rPr>
        <w:t>52</w:t>
      </w:r>
      <w:r>
        <w:rPr>
          <w:rFonts w:ascii="Times New Roman" w:eastAsia="Times New Roman" w:hAnsi="Times New Roman" w:cs="Times New Roman"/>
        </w:rPr>
        <w:t>(1), 27-52.</w:t>
      </w:r>
    </w:p>
    <w:p w14:paraId="60F31FB7" w14:textId="77777777" w:rsidR="00543BF3" w:rsidRDefault="00543BF3" w:rsidP="00543BF3">
      <w:pPr>
        <w:spacing w:after="80"/>
        <w:ind w:left="720" w:hanging="720"/>
        <w:jc w:val="both"/>
      </w:pPr>
      <w:r>
        <w:rPr>
          <w:rFonts w:ascii="Times New Roman" w:eastAsia="Times New Roman" w:hAnsi="Times New Roman" w:cs="Times New Roman"/>
        </w:rPr>
        <w:t xml:space="preserve">Biblioteca del Congreso Nacional de Chile. (2006). </w:t>
      </w:r>
      <w:r>
        <w:rPr>
          <w:rFonts w:ascii="Times New Roman" w:eastAsia="Times New Roman" w:hAnsi="Times New Roman" w:cs="Times New Roman"/>
          <w:i/>
          <w:iCs/>
        </w:rPr>
        <w:t>Historia de la Ley N.º 20.129: Establece un sistema nacional de aseguramiento de la calidad de la educación superior</w:t>
      </w:r>
      <w:r>
        <w:rPr>
          <w:rFonts w:ascii="Times New Roman" w:eastAsia="Times New Roman" w:hAnsi="Times New Roman" w:cs="Times New Roman"/>
        </w:rPr>
        <w:t>. https://www.bcn.cl</w:t>
      </w:r>
    </w:p>
    <w:p w14:paraId="6A149DC6" w14:textId="77777777" w:rsidR="00543BF3" w:rsidRDefault="00543BF3" w:rsidP="00543BF3">
      <w:pPr>
        <w:spacing w:after="80"/>
        <w:ind w:left="720" w:hanging="720"/>
        <w:jc w:val="both"/>
      </w:pPr>
      <w:r>
        <w:rPr>
          <w:rFonts w:ascii="Times New Roman" w:eastAsia="Times New Roman" w:hAnsi="Times New Roman" w:cs="Times New Roman"/>
        </w:rPr>
        <w:t xml:space="preserve">Bleiklie, I., y Kogan, M. (2007). Organization and governance of universities. </w:t>
      </w:r>
      <w:r>
        <w:rPr>
          <w:rFonts w:ascii="Times New Roman" w:eastAsia="Times New Roman" w:hAnsi="Times New Roman" w:cs="Times New Roman"/>
          <w:i/>
          <w:iCs/>
        </w:rPr>
        <w:t>Higher Education Policy</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 477-493. https://doi.org/10.1057/palgrave.hep.8300167</w:t>
      </w:r>
    </w:p>
    <w:p w14:paraId="33F59D28" w14:textId="77777777" w:rsidR="00543BF3" w:rsidRDefault="00543BF3" w:rsidP="00543BF3">
      <w:pPr>
        <w:spacing w:after="80"/>
        <w:ind w:left="720" w:hanging="720"/>
        <w:jc w:val="both"/>
      </w:pPr>
      <w:r>
        <w:rPr>
          <w:rFonts w:ascii="Times New Roman" w:eastAsia="Times New Roman" w:hAnsi="Times New Roman" w:cs="Times New Roman"/>
        </w:rPr>
        <w:t xml:space="preserve">Bowen, G. A. (2009). Document analysis as a qualitative research method. </w:t>
      </w:r>
      <w:r>
        <w:rPr>
          <w:rFonts w:ascii="Times New Roman" w:eastAsia="Times New Roman" w:hAnsi="Times New Roman" w:cs="Times New Roman"/>
          <w:i/>
          <w:iCs/>
        </w:rPr>
        <w:t>Qualitative Research Journal</w:t>
      </w:r>
      <w:r>
        <w:rPr>
          <w:rFonts w:ascii="Times New Roman" w:eastAsia="Times New Roman" w:hAnsi="Times New Roman" w:cs="Times New Roman"/>
        </w:rPr>
        <w:t xml:space="preserve">, </w:t>
      </w:r>
      <w:r>
        <w:rPr>
          <w:rFonts w:ascii="Times New Roman" w:eastAsia="Times New Roman" w:hAnsi="Times New Roman" w:cs="Times New Roman"/>
          <w:i/>
          <w:iCs/>
        </w:rPr>
        <w:t>9</w:t>
      </w:r>
      <w:r>
        <w:rPr>
          <w:rFonts w:ascii="Times New Roman" w:eastAsia="Times New Roman" w:hAnsi="Times New Roman" w:cs="Times New Roman"/>
        </w:rPr>
        <w:t>(2), 27-40. https://doi.org/10.3316/QRJ0902027</w:t>
      </w:r>
    </w:p>
    <w:p w14:paraId="709AD468" w14:textId="77777777" w:rsidR="00543BF3" w:rsidRDefault="00543BF3" w:rsidP="00543BF3">
      <w:pPr>
        <w:spacing w:after="80"/>
        <w:ind w:left="720" w:hanging="720"/>
        <w:jc w:val="both"/>
      </w:pPr>
      <w:r>
        <w:rPr>
          <w:rFonts w:ascii="Times New Roman" w:eastAsia="Times New Roman" w:hAnsi="Times New Roman" w:cs="Times New Roman"/>
        </w:rPr>
        <w:t xml:space="preserve">Brunner, J. J. (1986). </w:t>
      </w:r>
      <w:r>
        <w:rPr>
          <w:rFonts w:ascii="Times New Roman" w:eastAsia="Times New Roman" w:hAnsi="Times New Roman" w:cs="Times New Roman"/>
          <w:i/>
          <w:iCs/>
        </w:rPr>
        <w:t>Los problemas de la educación superior en Chile y su futuro</w:t>
      </w:r>
      <w:r>
        <w:rPr>
          <w:rFonts w:ascii="Times New Roman" w:eastAsia="Times New Roman" w:hAnsi="Times New Roman" w:cs="Times New Roman"/>
        </w:rPr>
        <w:t xml:space="preserve"> (Material de discusión N.º 86). FLACSO.</w:t>
      </w:r>
    </w:p>
    <w:p w14:paraId="7ED3818E" w14:textId="77777777" w:rsidR="00543BF3" w:rsidRDefault="00543BF3" w:rsidP="00543BF3">
      <w:pPr>
        <w:spacing w:after="80"/>
        <w:ind w:left="720" w:hanging="720"/>
        <w:jc w:val="both"/>
      </w:pPr>
      <w:r>
        <w:rPr>
          <w:rFonts w:ascii="Times New Roman" w:eastAsia="Times New Roman" w:hAnsi="Times New Roman" w:cs="Times New Roman"/>
        </w:rPr>
        <w:t xml:space="preserve">Brunner, J. J. (2014). La idea de la universidad pública en América Latina: Narraciones en escenarios divergentes. </w:t>
      </w:r>
      <w:r>
        <w:rPr>
          <w:rFonts w:ascii="Times New Roman" w:eastAsia="Times New Roman" w:hAnsi="Times New Roman" w:cs="Times New Roman"/>
          <w:i/>
          <w:iCs/>
        </w:rPr>
        <w:t>Educación XX1</w:t>
      </w:r>
      <w:r>
        <w:rPr>
          <w:rFonts w:ascii="Times New Roman" w:eastAsia="Times New Roman" w:hAnsi="Times New Roman" w:cs="Times New Roman"/>
        </w:rPr>
        <w:t xml:space="preserve">, </w:t>
      </w:r>
      <w:r>
        <w:rPr>
          <w:rFonts w:ascii="Times New Roman" w:eastAsia="Times New Roman" w:hAnsi="Times New Roman" w:cs="Times New Roman"/>
          <w:i/>
          <w:iCs/>
        </w:rPr>
        <w:t>17</w:t>
      </w:r>
      <w:r>
        <w:rPr>
          <w:rFonts w:ascii="Times New Roman" w:eastAsia="Times New Roman" w:hAnsi="Times New Roman" w:cs="Times New Roman"/>
        </w:rPr>
        <w:t>(2), 17-34.</w:t>
      </w:r>
    </w:p>
    <w:p w14:paraId="131E1475" w14:textId="77777777" w:rsidR="00543BF3" w:rsidRDefault="00543BF3" w:rsidP="00543BF3">
      <w:pPr>
        <w:spacing w:after="80"/>
        <w:ind w:left="720" w:hanging="720"/>
        <w:jc w:val="both"/>
      </w:pPr>
      <w:r>
        <w:rPr>
          <w:rFonts w:ascii="Times New Roman" w:eastAsia="Times New Roman" w:hAnsi="Times New Roman" w:cs="Times New Roman"/>
        </w:rPr>
        <w:t xml:space="preserve">Brunner, J. J., Rodríguez-Ponce, E., Pedraja-Rejas, L., y Labraña, J. (2022). Relationship between academic capitalism and quality in Chilean universities. </w:t>
      </w:r>
      <w:r>
        <w:rPr>
          <w:rFonts w:ascii="Times New Roman" w:eastAsia="Times New Roman" w:hAnsi="Times New Roman" w:cs="Times New Roman"/>
          <w:i/>
          <w:iCs/>
        </w:rPr>
        <w:t>Ingeniare. Revista Chilena de Ingeniería</w:t>
      </w:r>
      <w:r>
        <w:rPr>
          <w:rFonts w:ascii="Times New Roman" w:eastAsia="Times New Roman" w:hAnsi="Times New Roman" w:cs="Times New Roman"/>
        </w:rPr>
        <w:t xml:space="preserve">, </w:t>
      </w:r>
      <w:r>
        <w:rPr>
          <w:rFonts w:ascii="Times New Roman" w:eastAsia="Times New Roman" w:hAnsi="Times New Roman" w:cs="Times New Roman"/>
          <w:i/>
          <w:iCs/>
        </w:rPr>
        <w:t>30</w:t>
      </w:r>
      <w:r>
        <w:rPr>
          <w:rFonts w:ascii="Times New Roman" w:eastAsia="Times New Roman" w:hAnsi="Times New Roman" w:cs="Times New Roman"/>
        </w:rPr>
        <w:t>(4), 635-649.</w:t>
      </w:r>
    </w:p>
    <w:p w14:paraId="04038754" w14:textId="77777777" w:rsidR="00543BF3" w:rsidRDefault="00543BF3" w:rsidP="00543BF3">
      <w:pPr>
        <w:spacing w:after="80"/>
        <w:ind w:left="720" w:hanging="720"/>
        <w:jc w:val="both"/>
      </w:pPr>
      <w:r>
        <w:rPr>
          <w:rFonts w:ascii="Times New Roman" w:eastAsia="Times New Roman" w:hAnsi="Times New Roman" w:cs="Times New Roman"/>
        </w:rPr>
        <w:t xml:space="preserve">Calcagnini, G., Favaretto, I., Giombini, G., Perugini, F., y Rombaldoni, R. (2016). The role of universities in the location of innovative start-ups. </w:t>
      </w:r>
      <w:r>
        <w:rPr>
          <w:rFonts w:ascii="Times New Roman" w:eastAsia="Times New Roman" w:hAnsi="Times New Roman" w:cs="Times New Roman"/>
          <w:i/>
          <w:iCs/>
        </w:rPr>
        <w:t>Journal of Technology Transfer</w:t>
      </w:r>
      <w:r>
        <w:rPr>
          <w:rFonts w:ascii="Times New Roman" w:eastAsia="Times New Roman" w:hAnsi="Times New Roman" w:cs="Times New Roman"/>
        </w:rPr>
        <w:t xml:space="preserve">, </w:t>
      </w:r>
      <w:r>
        <w:rPr>
          <w:rFonts w:ascii="Times New Roman" w:eastAsia="Times New Roman" w:hAnsi="Times New Roman" w:cs="Times New Roman"/>
          <w:i/>
          <w:iCs/>
        </w:rPr>
        <w:t>41</w:t>
      </w:r>
      <w:r>
        <w:rPr>
          <w:rFonts w:ascii="Times New Roman" w:eastAsia="Times New Roman" w:hAnsi="Times New Roman" w:cs="Times New Roman"/>
        </w:rPr>
        <w:t>(4), 670-693.</w:t>
      </w:r>
    </w:p>
    <w:p w14:paraId="166B452F" w14:textId="77777777" w:rsidR="00543BF3" w:rsidRDefault="00543BF3" w:rsidP="00543BF3">
      <w:pPr>
        <w:spacing w:after="80"/>
        <w:ind w:left="720" w:hanging="720"/>
        <w:jc w:val="both"/>
      </w:pPr>
      <w:r>
        <w:rPr>
          <w:rFonts w:ascii="Times New Roman" w:eastAsia="Times New Roman" w:hAnsi="Times New Roman" w:cs="Times New Roman"/>
        </w:rPr>
        <w:t xml:space="preserve">Cancino, V., y Schmal, R. (2014). Sistema de acreditación universitaria en Chile: ¿Cuánto hemos avanzado? </w:t>
      </w:r>
      <w:r>
        <w:rPr>
          <w:rFonts w:ascii="Times New Roman" w:eastAsia="Times New Roman" w:hAnsi="Times New Roman" w:cs="Times New Roman"/>
          <w:i/>
          <w:iCs/>
        </w:rPr>
        <w:t>Estudios Pedagógicos</w:t>
      </w:r>
      <w:r>
        <w:rPr>
          <w:rFonts w:ascii="Times New Roman" w:eastAsia="Times New Roman" w:hAnsi="Times New Roman" w:cs="Times New Roman"/>
        </w:rPr>
        <w:t xml:space="preserve">, </w:t>
      </w:r>
      <w:r>
        <w:rPr>
          <w:rFonts w:ascii="Times New Roman" w:eastAsia="Times New Roman" w:hAnsi="Times New Roman" w:cs="Times New Roman"/>
          <w:i/>
          <w:iCs/>
        </w:rPr>
        <w:t>40</w:t>
      </w:r>
      <w:r>
        <w:rPr>
          <w:rFonts w:ascii="Times New Roman" w:eastAsia="Times New Roman" w:hAnsi="Times New Roman" w:cs="Times New Roman"/>
        </w:rPr>
        <w:t>(1), 41-60. https://doi.org/10.4067/S0718-07052014000100003</w:t>
      </w:r>
    </w:p>
    <w:p w14:paraId="2C49E13C" w14:textId="77777777" w:rsidR="00543BF3" w:rsidRDefault="00543BF3" w:rsidP="00543BF3">
      <w:pPr>
        <w:spacing w:after="80"/>
        <w:ind w:left="720" w:hanging="720"/>
        <w:jc w:val="both"/>
      </w:pPr>
      <w:r>
        <w:rPr>
          <w:rFonts w:ascii="Times New Roman" w:eastAsia="Times New Roman" w:hAnsi="Times New Roman" w:cs="Times New Roman"/>
        </w:rPr>
        <w:t xml:space="preserve">Capoccia, G. (2016). When do institutions bite? Historical institutionalism and the politics of institutional change. </w:t>
      </w:r>
      <w:r>
        <w:rPr>
          <w:rFonts w:ascii="Times New Roman" w:eastAsia="Times New Roman" w:hAnsi="Times New Roman" w:cs="Times New Roman"/>
          <w:i/>
          <w:iCs/>
        </w:rPr>
        <w:t>Comparative Political Studies</w:t>
      </w:r>
      <w:r>
        <w:rPr>
          <w:rFonts w:ascii="Times New Roman" w:eastAsia="Times New Roman" w:hAnsi="Times New Roman" w:cs="Times New Roman"/>
        </w:rPr>
        <w:t xml:space="preserve">, </w:t>
      </w:r>
      <w:r>
        <w:rPr>
          <w:rFonts w:ascii="Times New Roman" w:eastAsia="Times New Roman" w:hAnsi="Times New Roman" w:cs="Times New Roman"/>
          <w:i/>
          <w:iCs/>
        </w:rPr>
        <w:t>49</w:t>
      </w:r>
      <w:r>
        <w:rPr>
          <w:rFonts w:ascii="Times New Roman" w:eastAsia="Times New Roman" w:hAnsi="Times New Roman" w:cs="Times New Roman"/>
        </w:rPr>
        <w:t>(8), 1095-1127. https://doi.org/10.1177/0010414015626449</w:t>
      </w:r>
    </w:p>
    <w:p w14:paraId="29528760" w14:textId="77777777" w:rsidR="00543BF3" w:rsidRDefault="00543BF3" w:rsidP="00543BF3">
      <w:pPr>
        <w:spacing w:after="80"/>
        <w:ind w:left="720" w:hanging="720"/>
        <w:jc w:val="both"/>
      </w:pPr>
      <w:r>
        <w:rPr>
          <w:rFonts w:ascii="Times New Roman" w:eastAsia="Times New Roman" w:hAnsi="Times New Roman" w:cs="Times New Roman"/>
        </w:rPr>
        <w:t xml:space="preserve">Comisión Nacional de Acreditación de Pregrado. (2003). </w:t>
      </w:r>
      <w:r>
        <w:rPr>
          <w:rFonts w:ascii="Times New Roman" w:eastAsia="Times New Roman" w:hAnsi="Times New Roman" w:cs="Times New Roman"/>
          <w:i/>
          <w:iCs/>
        </w:rPr>
        <w:t>Criterios de evaluación de programas</w:t>
      </w:r>
      <w:r>
        <w:rPr>
          <w:rFonts w:ascii="Times New Roman" w:eastAsia="Times New Roman" w:hAnsi="Times New Roman" w:cs="Times New Roman"/>
        </w:rPr>
        <w:t xml:space="preserve"> [19 carreras] [Documentos internos obtenidos mediante Ley N.º 20.285]. CNAP.</w:t>
      </w:r>
    </w:p>
    <w:p w14:paraId="5E2039C7" w14:textId="77777777" w:rsidR="00543BF3" w:rsidRDefault="00543BF3" w:rsidP="00543BF3">
      <w:pPr>
        <w:spacing w:after="80"/>
        <w:ind w:left="720" w:hanging="720"/>
        <w:jc w:val="both"/>
      </w:pPr>
      <w:r>
        <w:rPr>
          <w:rFonts w:ascii="Times New Roman" w:eastAsia="Times New Roman" w:hAnsi="Times New Roman" w:cs="Times New Roman"/>
        </w:rPr>
        <w:t xml:space="preserve">Comisión Nacional de Acreditación de Pregrado. (2004-2006). </w:t>
      </w:r>
      <w:r>
        <w:rPr>
          <w:rFonts w:ascii="Times New Roman" w:eastAsia="Times New Roman" w:hAnsi="Times New Roman" w:cs="Times New Roman"/>
          <w:i/>
          <w:iCs/>
        </w:rPr>
        <w:t>Acuerdos de acreditación institucional N.º 01-82</w:t>
      </w:r>
      <w:r>
        <w:rPr>
          <w:rFonts w:ascii="Times New Roman" w:eastAsia="Times New Roman" w:hAnsi="Times New Roman" w:cs="Times New Roman"/>
        </w:rPr>
        <w:t xml:space="preserve"> [9 universidades]. CNAP.</w:t>
      </w:r>
    </w:p>
    <w:p w14:paraId="15556136" w14:textId="77777777" w:rsidR="00543BF3" w:rsidRDefault="00543BF3" w:rsidP="00543BF3">
      <w:pPr>
        <w:spacing w:after="80"/>
        <w:ind w:left="720" w:hanging="720"/>
        <w:jc w:val="both"/>
      </w:pPr>
      <w:r>
        <w:rPr>
          <w:rFonts w:ascii="Times New Roman" w:eastAsia="Times New Roman" w:hAnsi="Times New Roman" w:cs="Times New Roman"/>
        </w:rPr>
        <w:lastRenderedPageBreak/>
        <w:t xml:space="preserve">Comisión Nacional de Acreditación de Pregrado. (2007). </w:t>
      </w:r>
      <w:r>
        <w:rPr>
          <w:rFonts w:ascii="Times New Roman" w:eastAsia="Times New Roman" w:hAnsi="Times New Roman" w:cs="Times New Roman"/>
          <w:i/>
          <w:iCs/>
        </w:rPr>
        <w:t>El modelo chileno de acreditación de la educación superior: CNAP 1999-2007</w:t>
      </w:r>
      <w:r>
        <w:rPr>
          <w:rFonts w:ascii="Times New Roman" w:eastAsia="Times New Roman" w:hAnsi="Times New Roman" w:cs="Times New Roman"/>
        </w:rPr>
        <w:t>. Ministerio de Educación.</w:t>
      </w:r>
    </w:p>
    <w:p w14:paraId="077F06E6" w14:textId="77777777" w:rsidR="00543BF3" w:rsidRDefault="00543BF3" w:rsidP="00543BF3">
      <w:pPr>
        <w:spacing w:after="80"/>
        <w:ind w:left="720" w:hanging="720"/>
        <w:jc w:val="both"/>
      </w:pPr>
      <w:r>
        <w:rPr>
          <w:rFonts w:ascii="Times New Roman" w:eastAsia="Times New Roman" w:hAnsi="Times New Roman" w:cs="Times New Roman"/>
        </w:rPr>
        <w:t xml:space="preserve">Comisión Nacional de Extensión y Departamento de Extensión, Universidad de Chile. (1970). </w:t>
      </w:r>
      <w:r>
        <w:rPr>
          <w:rFonts w:ascii="Times New Roman" w:eastAsia="Times New Roman" w:hAnsi="Times New Roman" w:cs="Times New Roman"/>
          <w:i/>
          <w:iCs/>
        </w:rPr>
        <w:t>Aspectos doctrinarios y políticas de extensión universitaria</w:t>
      </w:r>
      <w:r>
        <w:rPr>
          <w:rFonts w:ascii="Times New Roman" w:eastAsia="Times New Roman" w:hAnsi="Times New Roman" w:cs="Times New Roman"/>
        </w:rPr>
        <w:t>. Universidad de Chile.</w:t>
      </w:r>
    </w:p>
    <w:p w14:paraId="2F385476" w14:textId="77777777" w:rsidR="00543BF3" w:rsidRDefault="00543BF3" w:rsidP="00543BF3">
      <w:pPr>
        <w:spacing w:after="80"/>
        <w:ind w:left="720" w:hanging="720"/>
        <w:jc w:val="both"/>
      </w:pPr>
      <w:r>
        <w:rPr>
          <w:rFonts w:ascii="Times New Roman" w:eastAsia="Times New Roman" w:hAnsi="Times New Roman" w:cs="Times New Roman"/>
        </w:rPr>
        <w:t xml:space="preserve">II Conferencia Latinoamericana de Extensión Universitaria. (1972). </w:t>
      </w:r>
      <w:r>
        <w:rPr>
          <w:rFonts w:ascii="Times New Roman" w:eastAsia="Times New Roman" w:hAnsi="Times New Roman" w:cs="Times New Roman"/>
          <w:i/>
          <w:iCs/>
        </w:rPr>
        <w:t>Memoria de la II Conferencia Latinoamericana de Difusión Cultural y Extensión Universitaria</w:t>
      </w:r>
      <w:r>
        <w:rPr>
          <w:rFonts w:ascii="Times New Roman" w:eastAsia="Times New Roman" w:hAnsi="Times New Roman" w:cs="Times New Roman"/>
        </w:rPr>
        <w:t>.</w:t>
      </w:r>
    </w:p>
    <w:p w14:paraId="1F0D0178" w14:textId="77777777" w:rsidR="00543BF3" w:rsidRDefault="00543BF3" w:rsidP="00543BF3">
      <w:pPr>
        <w:spacing w:after="80"/>
        <w:ind w:left="720" w:hanging="720"/>
        <w:jc w:val="both"/>
      </w:pPr>
      <w:r>
        <w:rPr>
          <w:rFonts w:ascii="Times New Roman" w:eastAsia="Times New Roman" w:hAnsi="Times New Roman" w:cs="Times New Roman"/>
        </w:rPr>
        <w:t xml:space="preserve">Conran, J., y Thelen, K. A. (2016). Institutional change. En O. Fioretos, T. G. Falleti, y A. Sheingate (Eds.), </w:t>
      </w:r>
      <w:r>
        <w:rPr>
          <w:rFonts w:ascii="Times New Roman" w:eastAsia="Times New Roman" w:hAnsi="Times New Roman" w:cs="Times New Roman"/>
          <w:i/>
          <w:iCs/>
        </w:rPr>
        <w:t>The Oxford handbook of historical institutionalism</w:t>
      </w:r>
      <w:r>
        <w:rPr>
          <w:rFonts w:ascii="Times New Roman" w:eastAsia="Times New Roman" w:hAnsi="Times New Roman" w:cs="Times New Roman"/>
        </w:rPr>
        <w:t xml:space="preserve"> (pp. 51-70). Oxford University Press.</w:t>
      </w:r>
    </w:p>
    <w:p w14:paraId="50FE20D3" w14:textId="77777777" w:rsidR="00543BF3" w:rsidRDefault="00543BF3" w:rsidP="00543BF3">
      <w:pPr>
        <w:spacing w:after="80"/>
        <w:ind w:left="720" w:hanging="720"/>
        <w:jc w:val="both"/>
      </w:pPr>
      <w:r>
        <w:rPr>
          <w:rFonts w:ascii="Times New Roman" w:eastAsia="Times New Roman" w:hAnsi="Times New Roman" w:cs="Times New Roman"/>
        </w:rPr>
        <w:t>Decreto con Fuerza de Ley N.º 1 de 1980. Fija normas sobre universidades. Diario Oficial de la República de Chile.</w:t>
      </w:r>
    </w:p>
    <w:p w14:paraId="403E1C63" w14:textId="77777777" w:rsidR="00543BF3" w:rsidRDefault="00543BF3" w:rsidP="00543BF3">
      <w:pPr>
        <w:spacing w:after="80"/>
        <w:ind w:left="720" w:hanging="720"/>
        <w:jc w:val="both"/>
      </w:pPr>
      <w:r>
        <w:rPr>
          <w:rFonts w:ascii="Times New Roman" w:eastAsia="Times New Roman" w:hAnsi="Times New Roman" w:cs="Times New Roman"/>
        </w:rPr>
        <w:t xml:space="preserve">Diogo, S., Carvalho, T., y Amaral, A. (2015). Institutionalism and organizational change. En J. Huisman et al. (Eds.), </w:t>
      </w:r>
      <w:r>
        <w:rPr>
          <w:rFonts w:ascii="Times New Roman" w:eastAsia="Times New Roman" w:hAnsi="Times New Roman" w:cs="Times New Roman"/>
          <w:i/>
          <w:iCs/>
        </w:rPr>
        <w:t>The Palgrave international handbook of higher education policy and governance</w:t>
      </w:r>
      <w:r>
        <w:rPr>
          <w:rFonts w:ascii="Times New Roman" w:eastAsia="Times New Roman" w:hAnsi="Times New Roman" w:cs="Times New Roman"/>
        </w:rPr>
        <w:t xml:space="preserve"> (pp. 114-131). Palgrave Macmillan.</w:t>
      </w:r>
    </w:p>
    <w:p w14:paraId="29D3E4B9" w14:textId="77777777" w:rsidR="00543BF3" w:rsidRDefault="00543BF3" w:rsidP="00543BF3">
      <w:pPr>
        <w:spacing w:after="80"/>
        <w:ind w:left="720" w:hanging="720"/>
        <w:jc w:val="both"/>
      </w:pPr>
      <w:r>
        <w:rPr>
          <w:rFonts w:ascii="Times New Roman" w:eastAsia="Times New Roman" w:hAnsi="Times New Roman" w:cs="Times New Roman"/>
        </w:rPr>
        <w:t xml:space="preserve">Donoso, P. (1993). </w:t>
      </w:r>
      <w:r>
        <w:rPr>
          <w:rFonts w:ascii="Times New Roman" w:eastAsia="Times New Roman" w:hAnsi="Times New Roman" w:cs="Times New Roman"/>
          <w:i/>
          <w:iCs/>
        </w:rPr>
        <w:t>Extensión universitaria en Chile: Una aproximación para su análisis</w:t>
      </w:r>
      <w:r>
        <w:rPr>
          <w:rFonts w:ascii="Times New Roman" w:eastAsia="Times New Roman" w:hAnsi="Times New Roman" w:cs="Times New Roman"/>
        </w:rPr>
        <w:t>. Corporación de Promoción Universitaria.</w:t>
      </w:r>
    </w:p>
    <w:p w14:paraId="40FA501E" w14:textId="77777777" w:rsidR="00543BF3" w:rsidRDefault="00543BF3" w:rsidP="00543BF3">
      <w:pPr>
        <w:spacing w:after="80"/>
        <w:ind w:left="720" w:hanging="720"/>
        <w:jc w:val="both"/>
      </w:pPr>
      <w:r>
        <w:rPr>
          <w:rFonts w:ascii="Times New Roman" w:eastAsia="Times New Roman" w:hAnsi="Times New Roman" w:cs="Times New Roman"/>
        </w:rPr>
        <w:t xml:space="preserve">Donoso, P. (2001). Breve historia y sentido de la extensión universitaria. </w:t>
      </w:r>
      <w:r>
        <w:rPr>
          <w:rFonts w:ascii="Times New Roman" w:eastAsia="Times New Roman" w:hAnsi="Times New Roman" w:cs="Times New Roman"/>
          <w:i/>
          <w:iCs/>
        </w:rPr>
        <w:t>Calidad en la Educación</w:t>
      </w:r>
      <w:r>
        <w:rPr>
          <w:rFonts w:ascii="Times New Roman" w:eastAsia="Times New Roman" w:hAnsi="Times New Roman" w:cs="Times New Roman"/>
        </w:rPr>
        <w:t>, (15), 177-188.</w:t>
      </w:r>
    </w:p>
    <w:p w14:paraId="5DE0709A" w14:textId="77777777" w:rsidR="00543BF3" w:rsidRDefault="00543BF3" w:rsidP="00543BF3">
      <w:pPr>
        <w:spacing w:after="80"/>
        <w:ind w:left="720" w:hanging="720"/>
        <w:jc w:val="both"/>
      </w:pPr>
      <w:r>
        <w:rPr>
          <w:rFonts w:ascii="Times New Roman" w:eastAsia="Times New Roman" w:hAnsi="Times New Roman" w:cs="Times New Roman"/>
        </w:rPr>
        <w:t xml:space="preserve">Etzkowitz, H., y Leydesdorff, L. (2008). Pathways to the entrepreneurial university. </w:t>
      </w:r>
      <w:r>
        <w:rPr>
          <w:rFonts w:ascii="Times New Roman" w:eastAsia="Times New Roman" w:hAnsi="Times New Roman" w:cs="Times New Roman"/>
          <w:i/>
          <w:iCs/>
        </w:rPr>
        <w:t>Science and Public Policy</w:t>
      </w:r>
      <w:r>
        <w:rPr>
          <w:rFonts w:ascii="Times New Roman" w:eastAsia="Times New Roman" w:hAnsi="Times New Roman" w:cs="Times New Roman"/>
        </w:rPr>
        <w:t xml:space="preserve">, </w:t>
      </w:r>
      <w:r>
        <w:rPr>
          <w:rFonts w:ascii="Times New Roman" w:eastAsia="Times New Roman" w:hAnsi="Times New Roman" w:cs="Times New Roman"/>
          <w:i/>
          <w:iCs/>
        </w:rPr>
        <w:t>35</w:t>
      </w:r>
      <w:r>
        <w:rPr>
          <w:rFonts w:ascii="Times New Roman" w:eastAsia="Times New Roman" w:hAnsi="Times New Roman" w:cs="Times New Roman"/>
        </w:rPr>
        <w:t>(9), 681-695.</w:t>
      </w:r>
    </w:p>
    <w:p w14:paraId="064CBEC2" w14:textId="77777777" w:rsidR="00543BF3" w:rsidRDefault="00543BF3" w:rsidP="00543BF3">
      <w:pPr>
        <w:spacing w:after="80"/>
        <w:ind w:left="720" w:hanging="720"/>
        <w:jc w:val="both"/>
      </w:pPr>
      <w:r>
        <w:rPr>
          <w:rFonts w:ascii="Times New Roman" w:eastAsia="Times New Roman" w:hAnsi="Times New Roman" w:cs="Times New Roman"/>
        </w:rPr>
        <w:t xml:space="preserve">Fleet, N., Pozo, P., y Lagos-Rojas, F. A. (2023). Vinculación con el medio en las universidades chilenas. En C. Muñoz Tobar y R. Herrera Ojeda (Eds.), </w:t>
      </w:r>
      <w:r>
        <w:rPr>
          <w:rFonts w:ascii="Times New Roman" w:eastAsia="Times New Roman" w:hAnsi="Times New Roman" w:cs="Times New Roman"/>
          <w:i/>
          <w:iCs/>
        </w:rPr>
        <w:t>Vinculación con el medio universitaria: Estado del arte y reflexiones en contexto</w:t>
      </w:r>
      <w:r>
        <w:rPr>
          <w:rFonts w:ascii="Times New Roman" w:eastAsia="Times New Roman" w:hAnsi="Times New Roman" w:cs="Times New Roman"/>
        </w:rPr>
        <w:t xml:space="preserve"> (pp. 21-58). Universidad de Concepción.</w:t>
      </w:r>
    </w:p>
    <w:p w14:paraId="493EC0CA" w14:textId="77777777" w:rsidR="00543BF3" w:rsidRDefault="00543BF3" w:rsidP="00543BF3">
      <w:pPr>
        <w:spacing w:after="80"/>
        <w:ind w:left="720" w:hanging="720"/>
        <w:jc w:val="both"/>
      </w:pPr>
      <w:r>
        <w:rPr>
          <w:rFonts w:ascii="Times New Roman" w:eastAsia="Times New Roman" w:hAnsi="Times New Roman" w:cs="Times New Roman"/>
        </w:rPr>
        <w:t xml:space="preserve">Flores, M., y Biotti Silva, A. (2025). </w:t>
      </w:r>
      <w:r>
        <w:rPr>
          <w:rFonts w:ascii="Times New Roman" w:eastAsia="Times New Roman" w:hAnsi="Times New Roman" w:cs="Times New Roman"/>
          <w:i/>
          <w:iCs/>
        </w:rPr>
        <w:t>Historia de extensión en la Universidad de Chile</w:t>
      </w:r>
      <w:r>
        <w:rPr>
          <w:rFonts w:ascii="Times New Roman" w:eastAsia="Times New Roman" w:hAnsi="Times New Roman" w:cs="Times New Roman"/>
        </w:rPr>
        <w:t>. Archivo Central Andrés Bello, Universidad de Chile. https://doi.org/10.34720/7shq-6962</w:t>
      </w:r>
    </w:p>
    <w:p w14:paraId="0776D496" w14:textId="77777777" w:rsidR="00543BF3" w:rsidRDefault="00543BF3" w:rsidP="00543BF3">
      <w:pPr>
        <w:spacing w:after="80"/>
        <w:ind w:left="720" w:hanging="720"/>
        <w:jc w:val="both"/>
      </w:pPr>
      <w:r>
        <w:rPr>
          <w:rFonts w:ascii="Times New Roman" w:eastAsia="Times New Roman" w:hAnsi="Times New Roman" w:cs="Times New Roman"/>
        </w:rPr>
        <w:t xml:space="preserve">Gerschewski, J. (2021). Explanations of institutional change: Reflecting on a missing diagonal. </w:t>
      </w:r>
      <w:r>
        <w:rPr>
          <w:rFonts w:ascii="Times New Roman" w:eastAsia="Times New Roman" w:hAnsi="Times New Roman" w:cs="Times New Roman"/>
          <w:i/>
          <w:iCs/>
        </w:rPr>
        <w:t>American Political Science Review</w:t>
      </w:r>
      <w:r>
        <w:rPr>
          <w:rFonts w:ascii="Times New Roman" w:eastAsia="Times New Roman" w:hAnsi="Times New Roman" w:cs="Times New Roman"/>
        </w:rPr>
        <w:t xml:space="preserve">, </w:t>
      </w:r>
      <w:r>
        <w:rPr>
          <w:rFonts w:ascii="Times New Roman" w:eastAsia="Times New Roman" w:hAnsi="Times New Roman" w:cs="Times New Roman"/>
          <w:i/>
          <w:iCs/>
        </w:rPr>
        <w:t>115</w:t>
      </w:r>
      <w:r>
        <w:rPr>
          <w:rFonts w:ascii="Times New Roman" w:eastAsia="Times New Roman" w:hAnsi="Times New Roman" w:cs="Times New Roman"/>
        </w:rPr>
        <w:t>(1), 218-233. https://doi.org/10.1017/S0003055420000751</w:t>
      </w:r>
    </w:p>
    <w:p w14:paraId="74C631BE" w14:textId="77777777" w:rsidR="00543BF3" w:rsidRDefault="00543BF3" w:rsidP="00543BF3">
      <w:pPr>
        <w:spacing w:after="80"/>
        <w:ind w:left="720" w:hanging="720"/>
        <w:jc w:val="both"/>
      </w:pPr>
      <w:r>
        <w:rPr>
          <w:rFonts w:ascii="Times New Roman" w:eastAsia="Times New Roman" w:hAnsi="Times New Roman" w:cs="Times New Roman"/>
        </w:rPr>
        <w:t xml:space="preserve">Gómez, A. (2015). Enfoques recientes para el análisis del cambio institucional: La teoría distribucional del cambio gradual. </w:t>
      </w:r>
      <w:r>
        <w:rPr>
          <w:rFonts w:ascii="Times New Roman" w:eastAsia="Times New Roman" w:hAnsi="Times New Roman" w:cs="Times New Roman"/>
          <w:i/>
          <w:iCs/>
        </w:rPr>
        <w:t>Política y Gobierno</w:t>
      </w:r>
      <w:r>
        <w:rPr>
          <w:rFonts w:ascii="Times New Roman" w:eastAsia="Times New Roman" w:hAnsi="Times New Roman" w:cs="Times New Roman"/>
        </w:rPr>
        <w:t xml:space="preserve">, </w:t>
      </w:r>
      <w:r>
        <w:rPr>
          <w:rFonts w:ascii="Times New Roman" w:eastAsia="Times New Roman" w:hAnsi="Times New Roman" w:cs="Times New Roman"/>
          <w:i/>
          <w:iCs/>
        </w:rPr>
        <w:t>22</w:t>
      </w:r>
      <w:r>
        <w:rPr>
          <w:rFonts w:ascii="Times New Roman" w:eastAsia="Times New Roman" w:hAnsi="Times New Roman" w:cs="Times New Roman"/>
        </w:rPr>
        <w:t>(2), 391-415.</w:t>
      </w:r>
    </w:p>
    <w:p w14:paraId="726F2927" w14:textId="77777777" w:rsidR="00543BF3" w:rsidRDefault="00543BF3" w:rsidP="00543BF3">
      <w:pPr>
        <w:spacing w:after="80"/>
        <w:ind w:left="720" w:hanging="720"/>
        <w:jc w:val="both"/>
      </w:pPr>
      <w:r>
        <w:rPr>
          <w:rFonts w:ascii="Times New Roman" w:eastAsia="Times New Roman" w:hAnsi="Times New Roman" w:cs="Times New Roman"/>
        </w:rPr>
        <w:lastRenderedPageBreak/>
        <w:t xml:space="preserve">Hall, P. A. (2010). Historical institutionalism in rationalist and sociological perspective. En J. Mahoney y K. Thelen (Eds.), </w:t>
      </w:r>
      <w:r>
        <w:rPr>
          <w:rFonts w:ascii="Times New Roman" w:eastAsia="Times New Roman" w:hAnsi="Times New Roman" w:cs="Times New Roman"/>
          <w:i/>
          <w:iCs/>
        </w:rPr>
        <w:t>Explaining institutional change</w:t>
      </w:r>
      <w:r>
        <w:rPr>
          <w:rFonts w:ascii="Times New Roman" w:eastAsia="Times New Roman" w:hAnsi="Times New Roman" w:cs="Times New Roman"/>
        </w:rPr>
        <w:t xml:space="preserve"> (pp. 204-224). Cambridge University Press.</w:t>
      </w:r>
    </w:p>
    <w:p w14:paraId="2D8AA2FF" w14:textId="77777777" w:rsidR="00543BF3" w:rsidRDefault="00543BF3" w:rsidP="00543BF3">
      <w:pPr>
        <w:spacing w:after="80"/>
        <w:ind w:left="720" w:hanging="720"/>
        <w:jc w:val="both"/>
      </w:pPr>
      <w:r>
        <w:rPr>
          <w:rFonts w:ascii="Times New Roman" w:eastAsia="Times New Roman" w:hAnsi="Times New Roman" w:cs="Times New Roman"/>
        </w:rPr>
        <w:t xml:space="preserve">Kivistö, J., y Zalyevska, I. (2015). Agency theory as a framework for higher education governance. En J. Huisman et al. (Eds.), </w:t>
      </w:r>
      <w:r>
        <w:rPr>
          <w:rFonts w:ascii="Times New Roman" w:eastAsia="Times New Roman" w:hAnsi="Times New Roman" w:cs="Times New Roman"/>
          <w:i/>
          <w:iCs/>
        </w:rPr>
        <w:t>The Palgrave international handbook of higher education policy and governance</w:t>
      </w:r>
      <w:r>
        <w:rPr>
          <w:rFonts w:ascii="Times New Roman" w:eastAsia="Times New Roman" w:hAnsi="Times New Roman" w:cs="Times New Roman"/>
        </w:rPr>
        <w:t xml:space="preserve"> (pp. 132-151). Palgrave Macmillan.</w:t>
      </w:r>
    </w:p>
    <w:p w14:paraId="3A9BE4C8" w14:textId="77777777" w:rsidR="00543BF3" w:rsidRDefault="00543BF3" w:rsidP="00543BF3">
      <w:pPr>
        <w:spacing w:after="80"/>
        <w:ind w:left="720" w:hanging="720"/>
        <w:jc w:val="both"/>
      </w:pPr>
      <w:r>
        <w:rPr>
          <w:rFonts w:ascii="Times New Roman" w:eastAsia="Times New Roman" w:hAnsi="Times New Roman" w:cs="Times New Roman"/>
        </w:rPr>
        <w:t xml:space="preserve">Laredo, P. (2007). Revisiting the third mission of universities: Toward a renewed categorization of university activities? </w:t>
      </w:r>
      <w:r>
        <w:rPr>
          <w:rFonts w:ascii="Times New Roman" w:eastAsia="Times New Roman" w:hAnsi="Times New Roman" w:cs="Times New Roman"/>
          <w:i/>
          <w:iCs/>
        </w:rPr>
        <w:t>Higher Education Policy</w:t>
      </w:r>
      <w:r>
        <w:rPr>
          <w:rFonts w:ascii="Times New Roman" w:eastAsia="Times New Roman" w:hAnsi="Times New Roman" w:cs="Times New Roman"/>
        </w:rPr>
        <w:t xml:space="preserve">, </w:t>
      </w:r>
      <w:r>
        <w:rPr>
          <w:rFonts w:ascii="Times New Roman" w:eastAsia="Times New Roman" w:hAnsi="Times New Roman" w:cs="Times New Roman"/>
          <w:i/>
          <w:iCs/>
        </w:rPr>
        <w:t>20</w:t>
      </w:r>
      <w:r>
        <w:rPr>
          <w:rFonts w:ascii="Times New Roman" w:eastAsia="Times New Roman" w:hAnsi="Times New Roman" w:cs="Times New Roman"/>
        </w:rPr>
        <w:t>, 441-456.</w:t>
      </w:r>
    </w:p>
    <w:p w14:paraId="09A4A5D3" w14:textId="77777777" w:rsidR="00543BF3" w:rsidRDefault="00543BF3" w:rsidP="00543BF3">
      <w:pPr>
        <w:spacing w:after="80"/>
        <w:ind w:left="720" w:hanging="720"/>
        <w:jc w:val="both"/>
      </w:pPr>
      <w:r>
        <w:rPr>
          <w:rFonts w:ascii="Times New Roman" w:eastAsia="Times New Roman" w:hAnsi="Times New Roman" w:cs="Times New Roman"/>
        </w:rPr>
        <w:t>Ley N.º 18.962 de 1990. Ley Orgánica Constitucional de Enseñanza. Diario Oficial de la República de Chile.</w:t>
      </w:r>
    </w:p>
    <w:p w14:paraId="0C7A48FA" w14:textId="77777777" w:rsidR="00543BF3" w:rsidRDefault="00543BF3" w:rsidP="00543BF3">
      <w:pPr>
        <w:spacing w:after="80"/>
        <w:ind w:left="720" w:hanging="720"/>
        <w:jc w:val="both"/>
      </w:pPr>
      <w:r>
        <w:rPr>
          <w:rFonts w:ascii="Times New Roman" w:eastAsia="Times New Roman" w:hAnsi="Times New Roman" w:cs="Times New Roman"/>
        </w:rPr>
        <w:t>Ley N.º 20.129 de 2006. Establece un sistema nacional de aseguramiento de la calidad de la educación superior. Diario Oficial de la República de Chile.</w:t>
      </w:r>
    </w:p>
    <w:p w14:paraId="4A4E5093" w14:textId="77777777" w:rsidR="00543BF3" w:rsidRDefault="00543BF3" w:rsidP="00543BF3">
      <w:pPr>
        <w:spacing w:after="80"/>
        <w:ind w:left="720" w:hanging="720"/>
        <w:jc w:val="both"/>
      </w:pPr>
      <w:r>
        <w:rPr>
          <w:rFonts w:ascii="Times New Roman" w:eastAsia="Times New Roman" w:hAnsi="Times New Roman" w:cs="Times New Roman"/>
        </w:rPr>
        <w:t xml:space="preserve">Lune, H., y Berg, B. L. (2017). </w:t>
      </w:r>
      <w:r>
        <w:rPr>
          <w:rFonts w:ascii="Times New Roman" w:eastAsia="Times New Roman" w:hAnsi="Times New Roman" w:cs="Times New Roman"/>
          <w:i/>
          <w:iCs/>
        </w:rPr>
        <w:t>Qualitative research methods for the social sciences</w:t>
      </w:r>
      <w:r>
        <w:rPr>
          <w:rFonts w:ascii="Times New Roman" w:eastAsia="Times New Roman" w:hAnsi="Times New Roman" w:cs="Times New Roman"/>
        </w:rPr>
        <w:t xml:space="preserve"> (9.ª ed.). Pearson.</w:t>
      </w:r>
    </w:p>
    <w:p w14:paraId="3975E242" w14:textId="77777777" w:rsidR="00543BF3" w:rsidRDefault="00543BF3" w:rsidP="00543BF3">
      <w:pPr>
        <w:spacing w:after="80"/>
        <w:ind w:left="720" w:hanging="720"/>
        <w:jc w:val="both"/>
      </w:pPr>
      <w:r>
        <w:rPr>
          <w:rFonts w:ascii="Times New Roman" w:eastAsia="Times New Roman" w:hAnsi="Times New Roman" w:cs="Times New Roman"/>
        </w:rPr>
        <w:t xml:space="preserve">Mahoney, J., y Thelen, K. (2010). A theory of gradual institutional change. En J. Mahoney y K. Thelen (Eds.), </w:t>
      </w:r>
      <w:r>
        <w:rPr>
          <w:rFonts w:ascii="Times New Roman" w:eastAsia="Times New Roman" w:hAnsi="Times New Roman" w:cs="Times New Roman"/>
          <w:i/>
          <w:iCs/>
        </w:rPr>
        <w:t>Explaining institutional change: Ambiguity, agency and power</w:t>
      </w:r>
      <w:r>
        <w:rPr>
          <w:rFonts w:ascii="Times New Roman" w:eastAsia="Times New Roman" w:hAnsi="Times New Roman" w:cs="Times New Roman"/>
        </w:rPr>
        <w:t xml:space="preserve"> (pp. 1-37). Cambridge University Press.</w:t>
      </w:r>
    </w:p>
    <w:p w14:paraId="7A75C30F" w14:textId="77777777" w:rsidR="00543BF3" w:rsidRDefault="00543BF3" w:rsidP="00543BF3">
      <w:pPr>
        <w:spacing w:after="80"/>
        <w:ind w:left="720" w:hanging="720"/>
        <w:jc w:val="both"/>
      </w:pPr>
      <w:r>
        <w:rPr>
          <w:rFonts w:ascii="Times New Roman" w:eastAsia="Times New Roman" w:hAnsi="Times New Roman" w:cs="Times New Roman"/>
        </w:rPr>
        <w:t xml:space="preserve">Merino, M. (2004). </w:t>
      </w:r>
      <w:r>
        <w:rPr>
          <w:rFonts w:ascii="Times New Roman" w:eastAsia="Times New Roman" w:hAnsi="Times New Roman" w:cs="Times New Roman"/>
          <w:i/>
          <w:iCs/>
        </w:rPr>
        <w:t>Extensión universitaria y dictadura</w:t>
      </w:r>
      <w:r>
        <w:rPr>
          <w:rFonts w:ascii="Times New Roman" w:eastAsia="Times New Roman" w:hAnsi="Times New Roman" w:cs="Times New Roman"/>
        </w:rPr>
        <w:t>. LOM Ediciones.</w:t>
      </w:r>
    </w:p>
    <w:p w14:paraId="12C9026D" w14:textId="77777777" w:rsidR="00543BF3" w:rsidRDefault="00543BF3" w:rsidP="00543BF3">
      <w:pPr>
        <w:spacing w:after="80"/>
        <w:ind w:left="720" w:hanging="720"/>
        <w:jc w:val="both"/>
      </w:pPr>
      <w:r>
        <w:rPr>
          <w:rFonts w:ascii="Times New Roman" w:eastAsia="Times New Roman" w:hAnsi="Times New Roman" w:cs="Times New Roman"/>
        </w:rPr>
        <w:t xml:space="preserve">Muga, A. (1994). La universidad como actor social. </w:t>
      </w:r>
      <w:r>
        <w:rPr>
          <w:rFonts w:ascii="Times New Roman" w:eastAsia="Times New Roman" w:hAnsi="Times New Roman" w:cs="Times New Roman"/>
          <w:i/>
          <w:iCs/>
        </w:rPr>
        <w:t>Revista Estudios Sociales</w:t>
      </w:r>
      <w:r>
        <w:rPr>
          <w:rFonts w:ascii="Times New Roman" w:eastAsia="Times New Roman" w:hAnsi="Times New Roman" w:cs="Times New Roman"/>
        </w:rPr>
        <w:t>, (81), 159-173.</w:t>
      </w:r>
    </w:p>
    <w:p w14:paraId="446EB955" w14:textId="77777777" w:rsidR="00543BF3" w:rsidRDefault="00543BF3" w:rsidP="00543BF3">
      <w:pPr>
        <w:spacing w:after="80"/>
        <w:ind w:left="720" w:hanging="720"/>
        <w:jc w:val="both"/>
      </w:pPr>
      <w:r>
        <w:rPr>
          <w:rFonts w:ascii="Times New Roman" w:eastAsia="Times New Roman" w:hAnsi="Times New Roman" w:cs="Times New Roman"/>
        </w:rPr>
        <w:t xml:space="preserve">Music, G., y Venegas, H. (2020). Financiamiento y autonomía universitaria en Chile. </w:t>
      </w:r>
      <w:r>
        <w:rPr>
          <w:rFonts w:ascii="Times New Roman" w:eastAsia="Times New Roman" w:hAnsi="Times New Roman" w:cs="Times New Roman"/>
          <w:i/>
          <w:iCs/>
        </w:rPr>
        <w:t>Calidad en la Educación</w:t>
      </w:r>
      <w:r>
        <w:rPr>
          <w:rFonts w:ascii="Times New Roman" w:eastAsia="Times New Roman" w:hAnsi="Times New Roman" w:cs="Times New Roman"/>
        </w:rPr>
        <w:t>, (52), 12-45.</w:t>
      </w:r>
    </w:p>
    <w:p w14:paraId="66C8D262" w14:textId="77777777" w:rsidR="00543BF3" w:rsidRDefault="00543BF3" w:rsidP="00543BF3">
      <w:pPr>
        <w:spacing w:after="80"/>
        <w:ind w:left="720" w:hanging="720"/>
        <w:jc w:val="both"/>
      </w:pPr>
      <w:r>
        <w:rPr>
          <w:rFonts w:ascii="Times New Roman" w:eastAsia="Times New Roman" w:hAnsi="Times New Roman" w:cs="Times New Roman"/>
        </w:rPr>
        <w:t xml:space="preserve">North, D. C. (1990). </w:t>
      </w:r>
      <w:r>
        <w:rPr>
          <w:rFonts w:ascii="Times New Roman" w:eastAsia="Times New Roman" w:hAnsi="Times New Roman" w:cs="Times New Roman"/>
          <w:i/>
          <w:iCs/>
        </w:rPr>
        <w:t>Institutions, institutional change and economic performance</w:t>
      </w:r>
      <w:r>
        <w:rPr>
          <w:rFonts w:ascii="Times New Roman" w:eastAsia="Times New Roman" w:hAnsi="Times New Roman" w:cs="Times New Roman"/>
        </w:rPr>
        <w:t>. Cambridge University Press.</w:t>
      </w:r>
    </w:p>
    <w:p w14:paraId="413BF801" w14:textId="77777777" w:rsidR="00543BF3" w:rsidRDefault="00543BF3" w:rsidP="00543BF3">
      <w:pPr>
        <w:spacing w:after="80"/>
        <w:ind w:left="720" w:hanging="720"/>
        <w:jc w:val="both"/>
      </w:pPr>
      <w:r>
        <w:rPr>
          <w:rFonts w:ascii="Times New Roman" w:eastAsia="Times New Roman" w:hAnsi="Times New Roman" w:cs="Times New Roman"/>
        </w:rPr>
        <w:t xml:space="preserve">Pedriana, N., y Stryker, R. (1997). Political culture wars in the 1960s: The meaning of civil rights laws. </w:t>
      </w:r>
      <w:r>
        <w:rPr>
          <w:rFonts w:ascii="Times New Roman" w:eastAsia="Times New Roman" w:hAnsi="Times New Roman" w:cs="Times New Roman"/>
          <w:i/>
          <w:iCs/>
        </w:rPr>
        <w:t>American Journal of Sociology</w:t>
      </w:r>
      <w:r>
        <w:rPr>
          <w:rFonts w:ascii="Times New Roman" w:eastAsia="Times New Roman" w:hAnsi="Times New Roman" w:cs="Times New Roman"/>
        </w:rPr>
        <w:t xml:space="preserve">, </w:t>
      </w:r>
      <w:r>
        <w:rPr>
          <w:rFonts w:ascii="Times New Roman" w:eastAsia="Times New Roman" w:hAnsi="Times New Roman" w:cs="Times New Roman"/>
          <w:i/>
          <w:iCs/>
        </w:rPr>
        <w:t>103</w:t>
      </w:r>
      <w:r>
        <w:rPr>
          <w:rFonts w:ascii="Times New Roman" w:eastAsia="Times New Roman" w:hAnsi="Times New Roman" w:cs="Times New Roman"/>
        </w:rPr>
        <w:t>(3), 633-683.</w:t>
      </w:r>
    </w:p>
    <w:p w14:paraId="34A6289D" w14:textId="77777777" w:rsidR="00543BF3" w:rsidRDefault="00543BF3" w:rsidP="00543BF3">
      <w:pPr>
        <w:spacing w:after="80"/>
        <w:ind w:left="720" w:hanging="720"/>
        <w:jc w:val="both"/>
      </w:pPr>
      <w:r>
        <w:rPr>
          <w:rFonts w:ascii="Times New Roman" w:eastAsia="Times New Roman" w:hAnsi="Times New Roman" w:cs="Times New Roman"/>
        </w:rPr>
        <w:t xml:space="preserve">Perkmann, M., Tartari, V., McKelvey, M., Autio, E., Broström, A., D'Este, P., y Sobrero, M. (2013). Academic engagement and commercialisation: A review of the literature on university–industry relations. </w:t>
      </w:r>
      <w:r>
        <w:rPr>
          <w:rFonts w:ascii="Times New Roman" w:eastAsia="Times New Roman" w:hAnsi="Times New Roman" w:cs="Times New Roman"/>
          <w:i/>
          <w:iCs/>
        </w:rPr>
        <w:t>Research Policy</w:t>
      </w:r>
      <w:r>
        <w:rPr>
          <w:rFonts w:ascii="Times New Roman" w:eastAsia="Times New Roman" w:hAnsi="Times New Roman" w:cs="Times New Roman"/>
        </w:rPr>
        <w:t xml:space="preserve">, </w:t>
      </w:r>
      <w:r>
        <w:rPr>
          <w:rFonts w:ascii="Times New Roman" w:eastAsia="Times New Roman" w:hAnsi="Times New Roman" w:cs="Times New Roman"/>
          <w:i/>
          <w:iCs/>
        </w:rPr>
        <w:t>42</w:t>
      </w:r>
      <w:r>
        <w:rPr>
          <w:rFonts w:ascii="Times New Roman" w:eastAsia="Times New Roman" w:hAnsi="Times New Roman" w:cs="Times New Roman"/>
        </w:rPr>
        <w:t>(2), 423-442.</w:t>
      </w:r>
    </w:p>
    <w:p w14:paraId="6570D83D" w14:textId="77777777" w:rsidR="00543BF3" w:rsidRDefault="00543BF3" w:rsidP="00543BF3">
      <w:pPr>
        <w:spacing w:after="80"/>
        <w:ind w:left="720" w:hanging="720"/>
        <w:jc w:val="both"/>
      </w:pPr>
      <w:r>
        <w:rPr>
          <w:rFonts w:ascii="Times New Roman" w:eastAsia="Times New Roman" w:hAnsi="Times New Roman" w:cs="Times New Roman"/>
        </w:rPr>
        <w:t xml:space="preserve">Pinheiro, R., Langa, P., y Pausits, A. (2015). One and two equals three? The third mission of higher education institutions. </w:t>
      </w:r>
      <w:r>
        <w:rPr>
          <w:rFonts w:ascii="Times New Roman" w:eastAsia="Times New Roman" w:hAnsi="Times New Roman" w:cs="Times New Roman"/>
          <w:i/>
          <w:iCs/>
        </w:rPr>
        <w:t>European Journal of Higher Education</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(3), 233-249.</w:t>
      </w:r>
    </w:p>
    <w:p w14:paraId="352487C2" w14:textId="77777777" w:rsidR="00543BF3" w:rsidRDefault="00543BF3" w:rsidP="00543BF3">
      <w:pPr>
        <w:spacing w:after="80"/>
        <w:ind w:left="720" w:hanging="720"/>
        <w:jc w:val="both"/>
      </w:pPr>
      <w:r>
        <w:rPr>
          <w:rFonts w:ascii="Times New Roman" w:eastAsia="Times New Roman" w:hAnsi="Times New Roman" w:cs="Times New Roman"/>
        </w:rPr>
        <w:t xml:space="preserve">Riveros, L. (1998). </w:t>
      </w:r>
      <w:r>
        <w:rPr>
          <w:rFonts w:ascii="Times New Roman" w:eastAsia="Times New Roman" w:hAnsi="Times New Roman" w:cs="Times New Roman"/>
          <w:i/>
          <w:iCs/>
        </w:rPr>
        <w:t>La universidad en Chile: Identidad e innovación</w:t>
      </w:r>
      <w:r>
        <w:rPr>
          <w:rFonts w:ascii="Times New Roman" w:eastAsia="Times New Roman" w:hAnsi="Times New Roman" w:cs="Times New Roman"/>
        </w:rPr>
        <w:t>. Editorial Universitaria.</w:t>
      </w:r>
    </w:p>
    <w:p w14:paraId="5578F105" w14:textId="77777777" w:rsidR="00543BF3" w:rsidRDefault="00543BF3" w:rsidP="00543BF3">
      <w:pPr>
        <w:spacing w:after="80"/>
        <w:ind w:left="720" w:hanging="720"/>
        <w:jc w:val="both"/>
      </w:pPr>
      <w:r>
        <w:rPr>
          <w:rFonts w:ascii="Times New Roman" w:eastAsia="Times New Roman" w:hAnsi="Times New Roman" w:cs="Times New Roman"/>
        </w:rPr>
        <w:lastRenderedPageBreak/>
        <w:t xml:space="preserve">Schön, D. A., y Rein, M. (1994). </w:t>
      </w:r>
      <w:r>
        <w:rPr>
          <w:rFonts w:ascii="Times New Roman" w:eastAsia="Times New Roman" w:hAnsi="Times New Roman" w:cs="Times New Roman"/>
          <w:i/>
          <w:iCs/>
        </w:rPr>
        <w:t>Frame reflection: Toward the resolution of intractable policy controversies</w:t>
      </w:r>
      <w:r>
        <w:rPr>
          <w:rFonts w:ascii="Times New Roman" w:eastAsia="Times New Roman" w:hAnsi="Times New Roman" w:cs="Times New Roman"/>
        </w:rPr>
        <w:t>. Basic Books.</w:t>
      </w:r>
    </w:p>
    <w:p w14:paraId="1BC33AF7" w14:textId="77777777" w:rsidR="00543BF3" w:rsidRDefault="00543BF3" w:rsidP="00543BF3">
      <w:pPr>
        <w:spacing w:after="80"/>
        <w:ind w:left="720" w:hanging="720"/>
        <w:jc w:val="both"/>
      </w:pPr>
      <w:r>
        <w:rPr>
          <w:rFonts w:ascii="Times New Roman" w:eastAsia="Times New Roman" w:hAnsi="Times New Roman" w:cs="Times New Roman"/>
        </w:rPr>
        <w:t xml:space="preserve">Solleiro, J. L. (1994). La vinculación universidad-empresa en México. </w:t>
      </w:r>
      <w:r>
        <w:rPr>
          <w:rFonts w:ascii="Times New Roman" w:eastAsia="Times New Roman" w:hAnsi="Times New Roman" w:cs="Times New Roman"/>
          <w:i/>
          <w:iCs/>
        </w:rPr>
        <w:t>Educación Superior y Sociedad</w:t>
      </w:r>
      <w:r>
        <w:rPr>
          <w:rFonts w:ascii="Times New Roman" w:eastAsia="Times New Roman" w:hAnsi="Times New Roman" w:cs="Times New Roman"/>
        </w:rPr>
        <w:t xml:space="preserve">, </w:t>
      </w:r>
      <w:r>
        <w:rPr>
          <w:rFonts w:ascii="Times New Roman" w:eastAsia="Times New Roman" w:hAnsi="Times New Roman" w:cs="Times New Roman"/>
          <w:i/>
          <w:iCs/>
        </w:rPr>
        <w:t>5</w:t>
      </w:r>
      <w:r>
        <w:rPr>
          <w:rFonts w:ascii="Times New Roman" w:eastAsia="Times New Roman" w:hAnsi="Times New Roman" w:cs="Times New Roman"/>
        </w:rPr>
        <w:t>(1-2), 179-200.</w:t>
      </w:r>
    </w:p>
    <w:p w14:paraId="2BB9C9A8" w14:textId="77777777" w:rsidR="00543BF3" w:rsidRDefault="00543BF3" w:rsidP="00543BF3">
      <w:pPr>
        <w:spacing w:after="80"/>
        <w:ind w:left="720" w:hanging="720"/>
        <w:jc w:val="both"/>
      </w:pPr>
      <w:r>
        <w:rPr>
          <w:rFonts w:ascii="Times New Roman" w:eastAsia="Times New Roman" w:hAnsi="Times New Roman" w:cs="Times New Roman"/>
        </w:rPr>
        <w:t xml:space="preserve">Steensland, B. (2006). Cultural categories and the American welfare state. </w:t>
      </w:r>
      <w:r>
        <w:rPr>
          <w:rFonts w:ascii="Times New Roman" w:eastAsia="Times New Roman" w:hAnsi="Times New Roman" w:cs="Times New Roman"/>
          <w:i/>
          <w:iCs/>
        </w:rPr>
        <w:t>American Journal of Sociology</w:t>
      </w:r>
      <w:r>
        <w:rPr>
          <w:rFonts w:ascii="Times New Roman" w:eastAsia="Times New Roman" w:hAnsi="Times New Roman" w:cs="Times New Roman"/>
        </w:rPr>
        <w:t xml:space="preserve">, </w:t>
      </w:r>
      <w:r>
        <w:rPr>
          <w:rFonts w:ascii="Times New Roman" w:eastAsia="Times New Roman" w:hAnsi="Times New Roman" w:cs="Times New Roman"/>
          <w:i/>
          <w:iCs/>
        </w:rPr>
        <w:t>111</w:t>
      </w:r>
      <w:r>
        <w:rPr>
          <w:rFonts w:ascii="Times New Roman" w:eastAsia="Times New Roman" w:hAnsi="Times New Roman" w:cs="Times New Roman"/>
        </w:rPr>
        <w:t>(5), 1273-1326.</w:t>
      </w:r>
    </w:p>
    <w:p w14:paraId="117A0727" w14:textId="77777777" w:rsidR="00543BF3" w:rsidRDefault="00543BF3" w:rsidP="00543BF3">
      <w:pPr>
        <w:spacing w:after="80"/>
        <w:ind w:left="720" w:hanging="720"/>
        <w:jc w:val="both"/>
      </w:pPr>
      <w:r>
        <w:rPr>
          <w:rFonts w:ascii="Times New Roman" w:eastAsia="Times New Roman" w:hAnsi="Times New Roman" w:cs="Times New Roman"/>
        </w:rPr>
        <w:t xml:space="preserve">Steensland, B. (2008). </w:t>
      </w:r>
      <w:r>
        <w:rPr>
          <w:rFonts w:ascii="Times New Roman" w:eastAsia="Times New Roman" w:hAnsi="Times New Roman" w:cs="Times New Roman"/>
          <w:i/>
          <w:iCs/>
        </w:rPr>
        <w:t>The failed welfare revolution: America's struggle over guaranteed income policy</w:t>
      </w:r>
      <w:r>
        <w:rPr>
          <w:rFonts w:ascii="Times New Roman" w:eastAsia="Times New Roman" w:hAnsi="Times New Roman" w:cs="Times New Roman"/>
        </w:rPr>
        <w:t>. Princeton University Press.</w:t>
      </w:r>
    </w:p>
    <w:p w14:paraId="117123D6" w14:textId="77777777" w:rsidR="00543BF3" w:rsidRDefault="00543BF3" w:rsidP="00543BF3">
      <w:pPr>
        <w:spacing w:after="80"/>
        <w:ind w:left="720" w:hanging="720"/>
        <w:jc w:val="both"/>
      </w:pPr>
      <w:r>
        <w:rPr>
          <w:rFonts w:ascii="Times New Roman" w:eastAsia="Times New Roman" w:hAnsi="Times New Roman" w:cs="Times New Roman"/>
        </w:rPr>
        <w:t xml:space="preserve">Streeck, W., y Thelen, K. (2005a). Introduction: Institutional change in advanced political economies. En W. Streeck y K. Thelen (Eds.), </w:t>
      </w:r>
      <w:r>
        <w:rPr>
          <w:rFonts w:ascii="Times New Roman" w:eastAsia="Times New Roman" w:hAnsi="Times New Roman" w:cs="Times New Roman"/>
          <w:i/>
          <w:iCs/>
        </w:rPr>
        <w:t>Beyond continuity: Institutional change in advanced political economies</w:t>
      </w:r>
      <w:r>
        <w:rPr>
          <w:rFonts w:ascii="Times New Roman" w:eastAsia="Times New Roman" w:hAnsi="Times New Roman" w:cs="Times New Roman"/>
        </w:rPr>
        <w:t xml:space="preserve"> (pp. 1-39). Oxford University Press.</w:t>
      </w:r>
    </w:p>
    <w:p w14:paraId="3C7872DA" w14:textId="77777777" w:rsidR="00543BF3" w:rsidRDefault="00543BF3" w:rsidP="00543BF3">
      <w:pPr>
        <w:spacing w:after="80"/>
        <w:ind w:left="720" w:hanging="720"/>
        <w:jc w:val="both"/>
      </w:pPr>
      <w:r>
        <w:rPr>
          <w:rFonts w:ascii="Times New Roman" w:eastAsia="Times New Roman" w:hAnsi="Times New Roman" w:cs="Times New Roman"/>
        </w:rPr>
        <w:t xml:space="preserve">Streeck, W., y Thelen, K. (2005b). Conclusions: Institutional change in advanced political economies. En W. Streeck y K. Thelen (Eds.), </w:t>
      </w:r>
      <w:r>
        <w:rPr>
          <w:rFonts w:ascii="Times New Roman" w:eastAsia="Times New Roman" w:hAnsi="Times New Roman" w:cs="Times New Roman"/>
          <w:i/>
          <w:iCs/>
        </w:rPr>
        <w:t>Beyond continuity: Institutional change in advanced political economies</w:t>
      </w:r>
      <w:r>
        <w:rPr>
          <w:rFonts w:ascii="Times New Roman" w:eastAsia="Times New Roman" w:hAnsi="Times New Roman" w:cs="Times New Roman"/>
        </w:rPr>
        <w:t xml:space="preserve"> (pp. 1-39). Oxford University Press.</w:t>
      </w:r>
    </w:p>
    <w:p w14:paraId="73DAF22E" w14:textId="77777777" w:rsidR="00543BF3" w:rsidRDefault="00543BF3" w:rsidP="00543BF3">
      <w:pPr>
        <w:spacing w:after="80"/>
        <w:ind w:left="720" w:hanging="720"/>
        <w:jc w:val="both"/>
      </w:pPr>
      <w:r>
        <w:rPr>
          <w:rFonts w:ascii="Times New Roman" w:eastAsia="Times New Roman" w:hAnsi="Times New Roman" w:cs="Times New Roman"/>
        </w:rPr>
        <w:t xml:space="preserve">Tommasino, H., y Cano, A. (2016). Modelos de extensión universitaria en las universidades latinoamericanas en el siglo XXI. </w:t>
      </w:r>
      <w:r>
        <w:rPr>
          <w:rFonts w:ascii="Times New Roman" w:eastAsia="Times New Roman" w:hAnsi="Times New Roman" w:cs="Times New Roman"/>
          <w:i/>
          <w:iCs/>
        </w:rPr>
        <w:t>Universidades</w:t>
      </w:r>
      <w:r>
        <w:rPr>
          <w:rFonts w:ascii="Times New Roman" w:eastAsia="Times New Roman" w:hAnsi="Times New Roman" w:cs="Times New Roman"/>
        </w:rPr>
        <w:t>, (67), 7-24.</w:t>
      </w:r>
    </w:p>
    <w:p w14:paraId="3189B883" w14:textId="77777777" w:rsidR="00543BF3" w:rsidRDefault="00543BF3" w:rsidP="00543BF3">
      <w:pPr>
        <w:spacing w:after="80"/>
        <w:ind w:left="720" w:hanging="720"/>
        <w:jc w:val="both"/>
      </w:pPr>
      <w:r>
        <w:rPr>
          <w:rFonts w:ascii="Times New Roman" w:eastAsia="Times New Roman" w:hAnsi="Times New Roman" w:cs="Times New Roman"/>
        </w:rPr>
        <w:t xml:space="preserve">Torres, C., y Zenteno, M. E. (2011). El sistema de educación superior: Una mirada desde las instituciones. </w:t>
      </w:r>
      <w:r>
        <w:rPr>
          <w:rFonts w:ascii="Times New Roman" w:eastAsia="Times New Roman" w:hAnsi="Times New Roman" w:cs="Times New Roman"/>
          <w:i/>
          <w:iCs/>
        </w:rPr>
        <w:t>Calidad en la Educación</w:t>
      </w:r>
      <w:r>
        <w:rPr>
          <w:rFonts w:ascii="Times New Roman" w:eastAsia="Times New Roman" w:hAnsi="Times New Roman" w:cs="Times New Roman"/>
        </w:rPr>
        <w:t>, (35), 31-67.</w:t>
      </w:r>
    </w:p>
    <w:p w14:paraId="0B783F5A" w14:textId="77777777" w:rsidR="00543BF3" w:rsidRDefault="00543BF3" w:rsidP="00543BF3">
      <w:pPr>
        <w:spacing w:after="80"/>
        <w:ind w:left="720" w:hanging="720"/>
        <w:jc w:val="both"/>
      </w:pPr>
      <w:r>
        <w:rPr>
          <w:rFonts w:ascii="Times New Roman" w:eastAsia="Times New Roman" w:hAnsi="Times New Roman" w:cs="Times New Roman"/>
        </w:rPr>
        <w:t xml:space="preserve">Traversa, F. (2021). Cambio institucional gradual: Revisión de la literatura y clasificación de los mecanismos. </w:t>
      </w:r>
      <w:r>
        <w:rPr>
          <w:rFonts w:ascii="Times New Roman" w:eastAsia="Times New Roman" w:hAnsi="Times New Roman" w:cs="Times New Roman"/>
          <w:i/>
          <w:iCs/>
        </w:rPr>
        <w:t>Política y Gobierno</w:t>
      </w:r>
      <w:r>
        <w:rPr>
          <w:rFonts w:ascii="Times New Roman" w:eastAsia="Times New Roman" w:hAnsi="Times New Roman" w:cs="Times New Roman"/>
        </w:rPr>
        <w:t xml:space="preserve">, </w:t>
      </w:r>
      <w:r>
        <w:rPr>
          <w:rFonts w:ascii="Times New Roman" w:eastAsia="Times New Roman" w:hAnsi="Times New Roman" w:cs="Times New Roman"/>
          <w:i/>
          <w:iCs/>
        </w:rPr>
        <w:t>28</w:t>
      </w:r>
      <w:r>
        <w:rPr>
          <w:rFonts w:ascii="Times New Roman" w:eastAsia="Times New Roman" w:hAnsi="Times New Roman" w:cs="Times New Roman"/>
        </w:rPr>
        <w:t>(1), 1-29.</w:t>
      </w:r>
    </w:p>
    <w:p w14:paraId="1F23174B" w14:textId="77777777" w:rsidR="00543BF3" w:rsidRDefault="00543BF3" w:rsidP="00543BF3">
      <w:pPr>
        <w:spacing w:after="80"/>
        <w:ind w:left="720" w:hanging="720"/>
        <w:jc w:val="both"/>
      </w:pPr>
      <w:r>
        <w:rPr>
          <w:rFonts w:ascii="Times New Roman" w:eastAsia="Times New Roman" w:hAnsi="Times New Roman" w:cs="Times New Roman"/>
        </w:rPr>
        <w:t xml:space="preserve">Tünnermann, C. (2003). </w:t>
      </w:r>
      <w:r>
        <w:rPr>
          <w:rFonts w:ascii="Times New Roman" w:eastAsia="Times New Roman" w:hAnsi="Times New Roman" w:cs="Times New Roman"/>
          <w:i/>
          <w:iCs/>
        </w:rPr>
        <w:t>La universidad latinoamericana ante los retos del siglo XXI</w:t>
      </w:r>
      <w:r>
        <w:rPr>
          <w:rFonts w:ascii="Times New Roman" w:eastAsia="Times New Roman" w:hAnsi="Times New Roman" w:cs="Times New Roman"/>
        </w:rPr>
        <w:t>. Unión de Universidades de América Latina.</w:t>
      </w:r>
    </w:p>
    <w:p w14:paraId="2041698C" w14:textId="77777777" w:rsidR="00543BF3" w:rsidRDefault="00543BF3" w:rsidP="00543BF3">
      <w:pPr>
        <w:spacing w:after="80"/>
        <w:ind w:left="720" w:hanging="720"/>
        <w:jc w:val="both"/>
      </w:pPr>
      <w:r>
        <w:rPr>
          <w:rFonts w:ascii="Times New Roman" w:eastAsia="Times New Roman" w:hAnsi="Times New Roman" w:cs="Times New Roman"/>
        </w:rPr>
        <w:t xml:space="preserve">Wehner, M. (2025). Gradual institutional change and higher education policy. </w:t>
      </w:r>
      <w:r>
        <w:rPr>
          <w:rFonts w:ascii="Times New Roman" w:eastAsia="Times New Roman" w:hAnsi="Times New Roman" w:cs="Times New Roman"/>
          <w:i/>
          <w:iCs/>
        </w:rPr>
        <w:t>Higher Education</w:t>
      </w:r>
      <w:r>
        <w:rPr>
          <w:rFonts w:ascii="Times New Roman" w:eastAsia="Times New Roman" w:hAnsi="Times New Roman" w:cs="Times New Roman"/>
        </w:rPr>
        <w:t xml:space="preserve">, </w:t>
      </w:r>
      <w:r>
        <w:rPr>
          <w:rFonts w:ascii="Times New Roman" w:eastAsia="Times New Roman" w:hAnsi="Times New Roman" w:cs="Times New Roman"/>
          <w:i/>
          <w:iCs/>
        </w:rPr>
        <w:t>89</w:t>
      </w:r>
      <w:r>
        <w:rPr>
          <w:rFonts w:ascii="Times New Roman" w:eastAsia="Times New Roman" w:hAnsi="Times New Roman" w:cs="Times New Roman"/>
        </w:rPr>
        <w:t>, 1-18.</w:t>
      </w:r>
    </w:p>
    <w:p w14:paraId="087AD669" w14:textId="77777777" w:rsidR="00543BF3" w:rsidRDefault="00543BF3" w:rsidP="00543BF3">
      <w:pPr>
        <w:spacing w:after="80"/>
        <w:ind w:left="720" w:hanging="720"/>
        <w:jc w:val="both"/>
      </w:pPr>
      <w:r>
        <w:rPr>
          <w:rFonts w:ascii="Times New Roman" w:eastAsia="Times New Roman" w:hAnsi="Times New Roman" w:cs="Times New Roman"/>
        </w:rPr>
        <w:t xml:space="preserve">Weyland, K. (2008). Toward a new theory of institutional change. </w:t>
      </w:r>
      <w:r>
        <w:rPr>
          <w:rFonts w:ascii="Times New Roman" w:eastAsia="Times New Roman" w:hAnsi="Times New Roman" w:cs="Times New Roman"/>
          <w:i/>
          <w:iCs/>
        </w:rPr>
        <w:t>World Politics</w:t>
      </w:r>
      <w:r>
        <w:rPr>
          <w:rFonts w:ascii="Times New Roman" w:eastAsia="Times New Roman" w:hAnsi="Times New Roman" w:cs="Times New Roman"/>
        </w:rPr>
        <w:t xml:space="preserve">, </w:t>
      </w:r>
      <w:r>
        <w:rPr>
          <w:rFonts w:ascii="Times New Roman" w:eastAsia="Times New Roman" w:hAnsi="Times New Roman" w:cs="Times New Roman"/>
          <w:i/>
          <w:iCs/>
        </w:rPr>
        <w:t>60</w:t>
      </w:r>
      <w:r>
        <w:rPr>
          <w:rFonts w:ascii="Times New Roman" w:eastAsia="Times New Roman" w:hAnsi="Times New Roman" w:cs="Times New Roman"/>
        </w:rPr>
        <w:t>(2), 281-314.</w:t>
      </w:r>
    </w:p>
    <w:p w14:paraId="6B80369C" w14:textId="77777777" w:rsidR="00543BF3" w:rsidRDefault="00543BF3" w:rsidP="00543BF3">
      <w:pPr>
        <w:spacing w:after="80"/>
        <w:ind w:left="720" w:hanging="720"/>
        <w:jc w:val="both"/>
      </w:pPr>
      <w:r>
        <w:rPr>
          <w:rFonts w:ascii="Times New Roman" w:eastAsia="Times New Roman" w:hAnsi="Times New Roman" w:cs="Times New Roman"/>
        </w:rPr>
        <w:t xml:space="preserve">Williams, J., y Harvey, L. (2015). Quality assurance in higher education. En J. Huisman et al. (Eds.), </w:t>
      </w:r>
      <w:r>
        <w:rPr>
          <w:rFonts w:ascii="Times New Roman" w:eastAsia="Times New Roman" w:hAnsi="Times New Roman" w:cs="Times New Roman"/>
          <w:i/>
          <w:iCs/>
        </w:rPr>
        <w:t>The Palgrave international handbook of higher education policy and governance</w:t>
      </w:r>
      <w:r>
        <w:rPr>
          <w:rFonts w:ascii="Times New Roman" w:eastAsia="Times New Roman" w:hAnsi="Times New Roman" w:cs="Times New Roman"/>
        </w:rPr>
        <w:t xml:space="preserve"> (pp. 506-525). Palgrave Macmillan.</w:t>
      </w:r>
    </w:p>
    <w:p w14:paraId="30BBEEEA" w14:textId="77777777" w:rsidR="00543BF3" w:rsidRDefault="00543BF3" w:rsidP="00543BF3">
      <w:pPr>
        <w:spacing w:after="80"/>
        <w:ind w:left="720" w:hanging="720"/>
        <w:jc w:val="both"/>
      </w:pPr>
      <w:r>
        <w:rPr>
          <w:rFonts w:ascii="Times New Roman" w:eastAsia="Times New Roman" w:hAnsi="Times New Roman" w:cs="Times New Roman"/>
        </w:rPr>
        <w:t xml:space="preserve">Zapata, G. (2004). Función de extensión en instituciones de educación superior. </w:t>
      </w:r>
      <w:r>
        <w:rPr>
          <w:rFonts w:ascii="Times New Roman" w:eastAsia="Times New Roman" w:hAnsi="Times New Roman" w:cs="Times New Roman"/>
          <w:i/>
          <w:iCs/>
        </w:rPr>
        <w:t>Calidad en la Educación</w:t>
      </w:r>
      <w:r>
        <w:rPr>
          <w:rFonts w:ascii="Times New Roman" w:eastAsia="Times New Roman" w:hAnsi="Times New Roman" w:cs="Times New Roman"/>
        </w:rPr>
        <w:t>, (21), 137-148.</w:t>
      </w:r>
    </w:p>
    <w:p w14:paraId="7E83515B" w14:textId="3AD16DBD" w:rsidR="001923DC" w:rsidRPr="00BA642E" w:rsidRDefault="001923DC" w:rsidP="00DF75CB">
      <w:pPr>
        <w:spacing w:line="240" w:lineRule="auto"/>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0A264" w14:textId="77777777" w:rsidR="003D1A38" w:rsidRPr="00BA642E" w:rsidRDefault="003D1A38" w:rsidP="00C802F5">
      <w:pPr>
        <w:spacing w:after="0" w:line="240" w:lineRule="auto"/>
      </w:pPr>
      <w:r w:rsidRPr="00BA642E">
        <w:separator/>
      </w:r>
    </w:p>
  </w:endnote>
  <w:endnote w:type="continuationSeparator" w:id="0">
    <w:p w14:paraId="19B53752" w14:textId="77777777" w:rsidR="003D1A38" w:rsidRPr="00BA642E" w:rsidRDefault="003D1A3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9631B" w14:textId="77777777" w:rsidR="003D1A38" w:rsidRPr="00BA642E" w:rsidRDefault="003D1A38" w:rsidP="00C802F5">
      <w:pPr>
        <w:spacing w:after="0" w:line="240" w:lineRule="auto"/>
      </w:pPr>
      <w:r w:rsidRPr="00BA642E">
        <w:separator/>
      </w:r>
    </w:p>
  </w:footnote>
  <w:footnote w:type="continuationSeparator" w:id="0">
    <w:p w14:paraId="3D285546" w14:textId="77777777" w:rsidR="003D1A38" w:rsidRPr="00BA642E" w:rsidRDefault="003D1A3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3F23"/>
    <w:rsid w:val="0013652B"/>
    <w:rsid w:val="001816D6"/>
    <w:rsid w:val="00185F5E"/>
    <w:rsid w:val="001923DC"/>
    <w:rsid w:val="002327C3"/>
    <w:rsid w:val="00312392"/>
    <w:rsid w:val="003D1A38"/>
    <w:rsid w:val="004040C0"/>
    <w:rsid w:val="00437E9C"/>
    <w:rsid w:val="00543BF3"/>
    <w:rsid w:val="00550766"/>
    <w:rsid w:val="005F3B2E"/>
    <w:rsid w:val="006971FA"/>
    <w:rsid w:val="00701F64"/>
    <w:rsid w:val="007B5B5F"/>
    <w:rsid w:val="007D233B"/>
    <w:rsid w:val="0085070B"/>
    <w:rsid w:val="00A17247"/>
    <w:rsid w:val="00BA642E"/>
    <w:rsid w:val="00BC236F"/>
    <w:rsid w:val="00C802F5"/>
    <w:rsid w:val="00C96B2C"/>
    <w:rsid w:val="00CC04C1"/>
    <w:rsid w:val="00D843EC"/>
    <w:rsid w:val="00DF75CB"/>
    <w:rsid w:val="00E242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normal2">
    <w:name w:val="Plain Table 2"/>
    <w:basedOn w:val="Tablanormal"/>
    <w:uiPriority w:val="42"/>
    <w:rsid w:val="00697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6971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971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6971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17</Pages>
  <Words>7646</Words>
  <Characters>42058</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jocelyn Lopez</cp:lastModifiedBy>
  <cp:revision>5</cp:revision>
  <dcterms:created xsi:type="dcterms:W3CDTF">2026-03-14T03:50:00Z</dcterms:created>
  <dcterms:modified xsi:type="dcterms:W3CDTF">2026-06-07T17:06:00Z</dcterms:modified>
</cp:coreProperties>
</file>