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Políticas de investigación orientadas y límites institucionales en la Universidad de Buenos Aires</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Senejko, María Paula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 Secretaría de Ciencia y Técnica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senejkopaula@gmail.com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Versino, Mariana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CEUR-CONICET/UNLP</w:t>
      </w:r>
    </w:p>
    <w:p w:rsidR="00000000" w:rsidDel="00000000" w:rsidP="00000000" w:rsidRDefault="00000000" w:rsidRPr="00000000" w14:paraId="0000000A">
      <w:pPr>
        <w:spacing w:after="0" w:line="276" w:lineRule="auto"/>
        <w:jc w:val="right"/>
        <w:rPr>
          <w:rFonts w:ascii="Times New Roman" w:cs="Times New Roman" w:eastAsia="Times New Roman" w:hAnsi="Times New Roman"/>
          <w:color w:val="1155cc"/>
          <w:u w:val="single"/>
        </w:rPr>
      </w:pPr>
      <w:hyperlink r:id="rId8">
        <w:r w:rsidDel="00000000" w:rsidR="00000000" w:rsidRPr="00000000">
          <w:rPr>
            <w:rFonts w:ascii="Times New Roman" w:cs="Times New Roman" w:eastAsia="Times New Roman" w:hAnsi="Times New Roman"/>
            <w:color w:val="1155cc"/>
            <w:u w:val="single"/>
            <w:rtl w:val="0"/>
          </w:rPr>
          <w:t xml:space="preserve">mversino@gmail.com</w:t>
        </w:r>
      </w:hyperlink>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En las últimas dos décadas, las políticas de ciencia, tecnología e innovación en Argentina promovieron diversas iniciativas orientadas a alinear la investigación científica con demandas sociales y productivas. En este marco, se impulsaron estrategias de priorización temática, programas estratégicos y convocatorias orientadas destinadas a dirigir la producción de conocimiento hacia problemas de relevancia social para el desarrollo socio económico. Estas iniciativas también plantearon nuevos desafíos para las universidades públicas, que incorporaron instrumentos institucionales para promover investigaciones orientadas. Este trabajo presenta avances de una investigación sobre políticas de investigación universitaria en la Universidad de Buenos Aires (UBA) y retoma un análisis previo sobre la implementación de instrumentos de investigación orientada en el período 2003–2015. A partir de ese estudio, sobre la base de entrevistas semi estructuradas a actores clave, se busca avanzar en la caracterización de estos instrumentos y la comprensión de los factores político-institucionales que condicionan su implementación en el contexto de una universidad organizada como una federación de facultades. En particular, el artículo se pregunta cómo influyen las formas de organización universitaria en la implementación de políticas de investigación orientadas y qué tensiones se generan entre estos instrumentos institucionales, los criterios de reconocimiento disciplinar y los mecanismos de distribución del financiamiento entre unidades académicas. Retomando a Vasen, la propuesta parte de considerar que las políticas de investigación universitaria articulan definiciones institucionales, instrumentos de financiamiento y disputas en torno a las prioridades de la actividad científica (Vasen,</w:t>
      </w:r>
      <w:r w:rsidDel="00000000" w:rsidR="00000000" w:rsidRPr="00000000">
        <w:rPr>
          <w:rFonts w:ascii="Times New Roman" w:cs="Times New Roman" w:eastAsia="Times New Roman" w:hAnsi="Times New Roman"/>
          <w:rtl w:val="0"/>
        </w:rPr>
        <w:t xml:space="preserve"> 2013a)</w:t>
      </w:r>
      <w:r w:rsidDel="00000000" w:rsidR="00000000" w:rsidRPr="00000000">
        <w:rPr>
          <w:rFonts w:ascii="Times New Roman" w:cs="Times New Roman" w:eastAsia="Times New Roman" w:hAnsi="Times New Roman"/>
          <w:color w:val="ff0000"/>
          <w:rtl w:val="0"/>
        </w:rPr>
        <w:t xml:space="preserve">.</w:t>
      </w:r>
      <w:r w:rsidDel="00000000" w:rsidR="00000000" w:rsidRPr="00000000">
        <w:rPr>
          <w:rFonts w:ascii="Times New Roman" w:cs="Times New Roman" w:eastAsia="Times New Roman" w:hAnsi="Times New Roman"/>
          <w:rtl w:val="0"/>
        </w:rPr>
        <w:t xml:space="preserve"> En este trabajo, se propone revisar cuatro dimensiones analíticas: políticas científicas, estrategias de priorización de la investigación, formas de organización universitaria y agendas de investigación, lo que permite examinar la relación entre los instrumentos institucionales de política científica y los procesos mediante los cuales se desarrollan múltiples agendas de investigación en el ámbito universitario. La hipótesis sostiene que los instrumentos de investigación orientada promovidos por la UBA no inciden de manera directa en las agendas de investigación, ya que su implementación y sus efectos se encuentran condicionados por factores político-institucionales (vinculados a las formas de organización de la universidad) y disciplinares (asociados con el reconocimiento académico, los criterios de evaluación científica y la legitimidad de los temas). En el caso de la UBA, la estructura institucional organizada en trece facultades y caracterizada por su autonomía y libertad académica, constituye un elemento clave para comprender las tensiones entre las iniciativas de investigación orientada y las dinámicas tradicionales de producción de conocimiento. Asimismo, la implementación de estos instrumentos se ve atravesada por problemas político-institucionales vinculados a la distribución del financiamiento de la investigación entre facultades con trayectorias, capacidades científicas y demandas diversas.</w:t>
      </w:r>
    </w:p>
    <w:p w:rsidR="00000000" w:rsidDel="00000000" w:rsidP="00000000" w:rsidRDefault="00000000" w:rsidRPr="00000000" w14:paraId="0000000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POLÍTICA CIENTÍFICA, INVESTIGACIÓN ORIENTADA, UNIVERSIDAD DE BUENOS AIRES, AGENDAS DE INVESTIGACIÓN.</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las últimas dos décadas, las políticas argentinas de ciencia, tecnología e innovación impulsaron un conjunto de acciones destinadas a fortalecer la vinculación entre la actividad científica y las necesidades sociales y productivas. En este contexto, se implementaron desde el Estado mecanismos de definición de áreas prioritarias, programas estratégicos y la promoción de convocatorias orientadas que buscaron alentar la generación de conocimientos hacia la atención de problemáticas consideradas relevantes para el desarrollo socioeconómico, lo cual se vió reflejado en normativas y planes estratégicos como también en instrumentos de la principal agencia de financiamiento (la ex ANPCYT) fundamentalmente con la incorporación de los proyectos orientados que se denominaron PICTO (Unzué y Rovelli, 2017).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 como sostienen Unzué y Rovelli (2017), si bien el subsector universitario se relaciona con las políticas públicas desde una posición de relativa autonomía, las transformaciones producidas tanto en el plano de las ideas que orientan la política científica como en el diseño normativo -incluyendo directrices e instrumentos impulsados por las principales agencias del sector- ejercieron una influencia significativa sobre las universidades nacionales. Esta incidencia estuvo favorecida por las mayores capacidades de financiamiento y regulación de dichas agencias, lo que generó nuevos desafíos para las instituciones universitarias públicas. En este contexto, las universidades comenzaron a incorporar mecanismos e instrumentos institucionales orientados a promover la investigación vinculada con áreas consideradas estratégicas o prioritarias. En este sentido, Unzué y Rovelli (2017) señalan que, entre octubre de 2014 y octubre de 2015, de un total de cincuenta y tres universidades nacionales, diecinueve establecieron áreas de conocimiento o temáticas prioritarias para la asignación de financiamiento a proyectos y becas, mediante fondos propios gestionados desde las áreas de ciencia y tecnología de los rectorados.</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UBA forma parte de este universo con particularidades propias de su estructura, organizada como una federación de facultades, lo que introduce tensiones específicas en la implementación de instrumentos de investigación orientada: entre los criterios de reconocimiento disciplinar y de carreras consolidados en cada unidad académica, los mecanismos de distribución del financiamiento y las definiciones de prioridades propuestas desde el nivel central. </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es parte de una tesis doctoral y a su vez continuidad del presentado en el anterior congreso de “La Universidad como objeto de Investigación” (Senejko, 2024) que analiza las condiciones que alentaron y las que presentaron dificultades para la puesta en práctica de políticas de investigación pensadas institucionalmente como orientadas a la resolución de problemas desde la Universidad de Buenos Aires (UBA) entre los años 2003 y 2015.</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presentación retomamos el trabajo previo, revisando cuatro dimensiones analíticas a partir de entrevistas semiestructuradas con investigadores y gestores de CyT de distintos períodos: las políticas científicas; las estrategias de priorización de la investigación; las formas de organización universitaria y la conformación de agendas de investigación. Siguiendo a Vasen (2013a), se parte de considerar que las políticas de investigación universitaria articulan definiciones institucionales, instrumentos de financiamiento y disputas en torno a las prioridades de la actividad científica, lo que convierte a sus condiciones de implementación en un problema tanto político como organizacional.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presentación se basa en la implementación de proyectos orientados en la UBA entre los años 2003 y 2015 y contempla las convocatorias a Proyectos de Urgencia Social (PUS); Proyectos Interdisciplinarios (PIUBA) y Proyectos de Desarrollo Tecnológico y Social (PDTS).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caso de la UBA</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UBA cuenta desde la creación de la Secretaría de Ciencia y Técnica - en el año 1986 - con el programa de subsidios Ubacyt. Este Programa se estableció - durante la gestión del rector Oscar Shuberoff - con el objetivo de destinar recursos propios de la UBA a la reconstrucción y el fomento de la investigación científica y tecnológica, incluyendo el financiamiento de proyectos y becas. Con 40 años de ejecución, a la fecha continúa financiando aproximadamente unos 700 proyectos cada dos años, contando con casi 1500 proyectos en vigencia. Este programa contempla una amplia y diversa distribución de recursos, siguiendo una lógica de asignación generalizada o de tipo “regadera” (Vasen, 2013a), mediante el financiamiento de proyectos propuestos por investigadores de todas las facultades y gestionados centralmente por el rectorado.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manera paralela, a partir del proceso de normalización de la Universidad comenzaron a surgir iniciativas que plantean la necesidad de promover una investigación orientada a la resolución de problemáticas sociales (Senejko y Versino, 2015). Esto se expresó en documentos fundacionales como Inacayal y Colón y los primeros Programas Especiales de investigación creados en el año 1994 (Vaccarezza, 1994; Vasen, 2011 y 2013b; Senejko y Versino, 2015).</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se mencionó en el apartado precedente, el contexto político nacional entre 2003 y 2015 propició activamente la producción de conocimientos con relevancia social y la implementación de instrumentos orientados, En este contexto, en la UBA se impulsaron en dicho período tres convocatorias orientadas (Senejko, 2024) que se describen a continuación:</w:t>
      </w:r>
    </w:p>
    <w:p w:rsidR="00000000" w:rsidDel="00000000" w:rsidP="00000000" w:rsidRDefault="00000000" w:rsidRPr="00000000" w14:paraId="0000001B">
      <w:pPr>
        <w:numPr>
          <w:ilvl w:val="0"/>
          <w:numId w:val="1"/>
        </w:numPr>
        <w:spacing w:after="0" w:before="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Proyectos de Urgencia Social (PUS): convocados en el año 2003, mediante Resolución (CS) Nº 1542/2003, se caracterizaron por estar “dirigidos a satisfacer necesidades de grupos vulnerables, con aplicación social inmediata y rápida transferencia”. Valoraban especialmente el carácter inter o transdisciplinario de las propuestas y requerían de la interacción fehaciente con los actores sociales involucrados, por ejemplo: autoridades locales, ONG, asociaciones profesionales, empresariales o sindicales (UBA, 2003). </w:t>
      </w:r>
    </w:p>
    <w:p w:rsidR="00000000" w:rsidDel="00000000" w:rsidP="00000000" w:rsidRDefault="00000000" w:rsidRPr="00000000" w14:paraId="0000001C">
      <w:pPr>
        <w:numPr>
          <w:ilvl w:val="0"/>
          <w:numId w:val="1"/>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Proyectos Interdisciplinarios (PIUBA): convocados a partir del año 2009 con el objetivo de fomentar la actividad interdisciplinaria y pensando en darle un mayor anclaje a los Programas Interdisciplinarios creados por la SECYT entre los años 2007 y 2012. Los temas de los proyectos se orientan a las temáticas de cada Programa: Cambio Climático (PIUBACC); Marginaciones Sociales (PIUBAMAS); Energías Sustentables (PIUBAES); Desarrollo (PIUBAD) y Transporte (PIUBAT) (UBA, 2009). </w:t>
      </w:r>
    </w:p>
    <w:p w:rsidR="00000000" w:rsidDel="00000000" w:rsidP="00000000" w:rsidRDefault="00000000" w:rsidRPr="00000000" w14:paraId="0000001D">
      <w:pPr>
        <w:numPr>
          <w:ilvl w:val="0"/>
          <w:numId w:val="1"/>
        </w:numPr>
        <w:spacing w:after="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Proyectos de Desarrollo Tecnológico y Social (PDTS): estos proyectos se definieron como “orientados al desarrollo de tecnologías asociadas a una oportunidad estratégica o a una necesidad de mercado o de la sociedad debidamente explicitada por los demandantes y/o adoptantes. Dirigidos a la generación de productos, procesos, prospectivas o propuestas, definidos por un demandante, un posible adoptante” (UBA, 2012).</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Tabla 1 se resumen las características de estos instrumentos y el total de proyectos financiados en cada caso.</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Tabla 1</w:t>
      </w:r>
      <w:r w:rsidDel="00000000" w:rsidR="00000000" w:rsidRPr="00000000">
        <w:rPr>
          <w:rFonts w:ascii="Times New Roman" w:cs="Times New Roman" w:eastAsia="Times New Roman" w:hAnsi="Times New Roman"/>
          <w:rtl w:val="0"/>
        </w:rPr>
        <w:t xml:space="preserve">: Instrumentos orientados entre 2003-2015 UBA. Características y datos principales.</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2540000"/>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399730" cy="25400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240" w:before="24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120" w:before="12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u w:val="single"/>
          <w:rtl w:val="0"/>
        </w:rPr>
        <w:t xml:space="preserve">Fuente</w:t>
      </w:r>
      <w:r w:rsidDel="00000000" w:rsidR="00000000" w:rsidRPr="00000000">
        <w:rPr>
          <w:rFonts w:ascii="Times New Roman" w:cs="Times New Roman" w:eastAsia="Times New Roman" w:hAnsi="Times New Roman"/>
          <w:sz w:val="20"/>
          <w:szCs w:val="20"/>
          <w:rtl w:val="0"/>
        </w:rPr>
        <w:t xml:space="preserve">: Elaboración propia</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2003 y 2015, la orientación de las políticas de investigación de la UBA puede distinguirse en tres etapas. La primera estuvo centrada en la promoción de investigaciones orientadas a la intervención sobre problemáticas de urgencia social, un enfoque que posteriormente tendió a institucionalizarse en el ámbito de la extensión universitaria. La segunda priorizó la investigación interdisciplinaria como estrategia para abordar problemas complejos y la tercera promovió la aplicación del conocimiento y su transferencia a adoptantes. Estas orientaciones se materializaron, respectivamente, en las convocatorias de Proyectos de Urgencia Social (PUS), Proyectos Interdisciplinarios (PIUBA) y Proyectos de Desarrollo Tecnológico y Social (PDTS). </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las iniciativas PIUBA y PDTS se inscribieron en una agenda política nacional más amplia orientada a promover investigaciones con relevancia social, fortalecer la transferencia de conocimientos y fomentar su utilización para la resolución de problemáticas sociales (Hidalgo, 2016). No obstante ello, la incidencia de estas convocatorias dentro de la Universidad ha sido limitada, sobre todo si se compara el total de proyectos presentados y aprobados en todo el período (169 y 112 respectivamente en 12 años) con los proyectos regulares que se financian cada dos años (700 aproximadamente). </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diferenciación y su evolución (como se muestra en la última columna de la tabla 1) responde en el caso de los PUS, a que luego de la segunda convocatoria, fueron incorporados por la Secretaría de Extensión (SE) UBA al programa Ubanex. Es decir, dejaron de ser instrumentos de la SECYT para pasar a ser instrumentos de la SE. Los PIUBAS continuaron como línea de proyectos de la SECYT con los requisitos de interdisciplinariedad (definida principalmente por la participación de distintas facultades, más allá de la continuidad de los Programas) y los PDTS fueron la antesala de los proyectos PDE que incorporaron en parte algunas de las características de los PDTS como la participación de un adoptante y la transferencia de los resultados. Si bien en este artículo no nos explayaremos sobre el devenir de estos instrumentos, la aclaración sirve para conocer el recorrido de los mismos.</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continuación se intentará analizar las principales limitaciones de la orientación de la investigación en la UBA en el mencionado período, a partir del relevamiento realizado con actores clave de estas políticas.</w:t>
      </w:r>
    </w:p>
    <w:p w:rsidR="00000000" w:rsidDel="00000000" w:rsidP="00000000" w:rsidRDefault="00000000" w:rsidRPr="00000000" w14:paraId="0000002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 cuatro dimensiones analíticas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entrevistas a los investigadores y gestores de la Universidad de Buenos Aires (UBA) muestra un panorama complejo y tensionado respecto a cómo se orienta, produce, y gestiona el conocimiento. En este apartado se detalla el análisis estructurado en cuatro dimensiones para identificar los condicionantes y limitaciones que enfrenta la UBA al intentar orientar su investigación. Se dará cuenta de distintos aspectos de las políticas científicas; las estrategias institucionales de priorización de la investigación; las formas de organización universitaria y las agendas de investigación promovidas y desarrolladas.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Políticas Científicas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Vasen (2013a), a partir de las nociones de Amilcar Herrera (Herrera, 1973) señala una clara contradicción al analizar las políticas explícitas e implícitas de la UBA entre 1986 y 1994. Por un lado, lo explícito referido al discurso oficial en la normalización de la universidad se planteaba en los documentos formales (como el mencionado documento Inacayal) y en las resoluciones de convocatorias de la SECYT, donde se instaba a la planificación y programación de las actividades de investigación para que estas respondieran directamente a demandas y objetivos socioeconómicos. Por otro lado, la política implícita (la práctica real) que regía como una política mucho menos directiva. Según señala Vasen (2013a), los verdaderos intereses, que no se declaraban oficialmente pero que tenían más peso, consistían en el avance de la UBA frente al CONICET y demostrar que la universidad era un espacio fértil para hacer ciencia. Para lograr este objetivo implícito, Vasen sostiene que la mejor estrategia no era concentrar los fondos en áreas estratégicas, sino aplicar una política de "riego indiscriminado" (el modelo de la "regadera"), repartiendo los recursos entre todos los grupos para fortalecer la oferta de investigación en sentido amplio (Vasen, 2013a y 2013b).</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en el período analizado (2003-2015) los objetivos de fortalecimiento de grupos y ampliación de la oferta ya no eran los principales, la dimensión de las políticas científicas está fuertemente marcada por la tensión entre la promoción de la investigación orientada institucionalmente y la persistencia de mecanismos tradicionales de evaluación y financiamiento, en los que predominan la acumulación de publicaciones, como los que se operan con los proyectos de investigación UBACYT. Así, e</w:t>
      </w:r>
      <w:r w:rsidDel="00000000" w:rsidR="00000000" w:rsidRPr="00000000">
        <w:rPr>
          <w:rFonts w:ascii="Times New Roman" w:cs="Times New Roman" w:eastAsia="Times New Roman" w:hAnsi="Times New Roman"/>
          <w:rtl w:val="0"/>
        </w:rPr>
        <w:t xml:space="preserve">n la misma línea que el análisis de Vasen, en este relevamiento, varios entrevistados plantean que el sistema de evaluación (tanto de la UBA como de CONICET) penaliza a quienes se dedican a investigaciones de tipo orientadas (especialmente en el caso de los PDTS o Proyectos de Urgencia Social), ya que se prioriza la publicación de artículos en revistas internacionales por sobre el desarrollo de patentes, informes técnicos o trabajo territorial. </w:t>
      </w: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w:t>
      </w:r>
      <w:r w:rsidDel="00000000" w:rsidR="00000000" w:rsidRPr="00000000">
        <w:rPr>
          <w:rFonts w:ascii="Times New Roman" w:cs="Times New Roman" w:eastAsia="Times New Roman" w:hAnsi="Times New Roman"/>
          <w:i w:val="1"/>
          <w:iCs w:val="1"/>
          <w:rtl w:val="0"/>
        </w:rPr>
        <w:t xml:space="preserve">hegemonía del paper” - </w:t>
      </w:r>
      <w:r w:rsidDel="00000000" w:rsidR="00000000" w:rsidRPr="00000000">
        <w:rPr>
          <w:rFonts w:ascii="Times New Roman" w:cs="Times New Roman" w:eastAsia="Times New Roman" w:hAnsi="Times New Roman"/>
          <w:rtl w:val="0"/>
        </w:rPr>
        <w:t xml:space="preserve">como indica una entrevistada -</w:t>
      </w:r>
      <w:r w:rsidDel="00000000" w:rsidR="00000000" w:rsidRPr="00000000">
        <w:rPr>
          <w:rFonts w:ascii="Times New Roman" w:cs="Times New Roman" w:eastAsia="Times New Roman" w:hAnsi="Times New Roman"/>
          <w:rtl w:val="0"/>
        </w:rPr>
        <w:t xml:space="preserve"> afecta de manera particular a los investigadores jóvenes que pierden competitividad en los concursos si no publican: dedicarse a un proyecto orientado - como el desarrollo de una patente en el caso de un PDTS, que exige confidencialidad - retrasa las publicaciones y deja a becarios y doctorandos en una posición de desventaja competitiva frente a quienes optan por la investigación básica tradicional. Como expresó uno de los investigadores entrevistados, lograr un desarrollo aplicable a la industria </w:t>
      </w:r>
      <w:r w:rsidDel="00000000" w:rsidR="00000000" w:rsidRPr="00000000">
        <w:rPr>
          <w:rFonts w:ascii="Times New Roman" w:cs="Times New Roman" w:eastAsia="Times New Roman" w:hAnsi="Times New Roman"/>
          <w:i w:val="1"/>
          <w:iCs w:val="1"/>
          <w:rtl w:val="0"/>
        </w:rPr>
        <w:t xml:space="preserve">“debería otorgar 250 mil puntos”</w:t>
      </w:r>
      <w:r w:rsidDel="00000000" w:rsidR="00000000" w:rsidRPr="00000000">
        <w:rPr>
          <w:rFonts w:ascii="Times New Roman" w:cs="Times New Roman" w:eastAsia="Times New Roman" w:hAnsi="Times New Roman"/>
          <w:rtl w:val="0"/>
        </w:rPr>
        <w:t xml:space="preserve"> pero, en la práctica no es evaluado, mientras que un </w:t>
      </w:r>
      <w:r w:rsidDel="00000000" w:rsidR="00000000" w:rsidRPr="00000000">
        <w:rPr>
          <w:rFonts w:ascii="Times New Roman" w:cs="Times New Roman" w:eastAsia="Times New Roman" w:hAnsi="Times New Roman"/>
          <w:i w:val="1"/>
          <w:iCs w:val="1"/>
          <w:rtl w:val="0"/>
        </w:rPr>
        <w:t xml:space="preserve">paper</w:t>
      </w:r>
      <w:r w:rsidDel="00000000" w:rsidR="00000000" w:rsidRPr="00000000">
        <w:rPr>
          <w:rFonts w:ascii="Times New Roman" w:cs="Times New Roman" w:eastAsia="Times New Roman" w:hAnsi="Times New Roman"/>
          <w:rtl w:val="0"/>
        </w:rPr>
        <w:t xml:space="preserve"> sí cuenta numéricamente en los concursos.</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algunos directores de PDTS sostienen que las comisiones evaluadoras suelen estar integradas mayoritariamente por especialistas de las ciencias "duras" o de disciplinas tradicionales, que a menudo carecen de herramientas para comprender o valorar los enfoques interdisciplinarios o aplicados. Cabe destacar que esta limitación fue uno de los motivos por los que se incorpora en los PDTS, la figura del evaluador "idóneo" como técnico externo a las lógicas disciplinares habituales.</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resultado de este conjunto de factores, los propios investigadores perciben que participar en proyectos orientados es visto institucionalmente como </w:t>
      </w:r>
      <w:r w:rsidDel="00000000" w:rsidR="00000000" w:rsidRPr="00000000">
        <w:rPr>
          <w:rFonts w:ascii="Times New Roman" w:cs="Times New Roman" w:eastAsia="Times New Roman" w:hAnsi="Times New Roman"/>
          <w:i w:val="1"/>
          <w:iCs w:val="1"/>
          <w:rtl w:val="0"/>
        </w:rPr>
        <w:t xml:space="preserve">“una actividad de menor jerarquía"</w:t>
      </w:r>
      <w:r w:rsidDel="00000000" w:rsidR="00000000" w:rsidRPr="00000000">
        <w:rPr>
          <w:rFonts w:ascii="Times New Roman" w:cs="Times New Roman" w:eastAsia="Times New Roman" w:hAnsi="Times New Roman"/>
          <w:rtl w:val="0"/>
        </w:rPr>
        <w:t xml:space="preserve">: una línea satélite o una </w:t>
      </w:r>
      <w:r w:rsidDel="00000000" w:rsidR="00000000" w:rsidRPr="00000000">
        <w:rPr>
          <w:rFonts w:ascii="Times New Roman" w:cs="Times New Roman" w:eastAsia="Times New Roman" w:hAnsi="Times New Roman"/>
          <w:i w:val="1"/>
          <w:iCs w:val="1"/>
          <w:rtl w:val="0"/>
        </w:rPr>
        <w:t xml:space="preserve">"segunda puerta"</w:t>
      </w:r>
      <w:r w:rsidDel="00000000" w:rsidR="00000000" w:rsidRPr="00000000">
        <w:rPr>
          <w:rFonts w:ascii="Times New Roman" w:cs="Times New Roman" w:eastAsia="Times New Roman" w:hAnsi="Times New Roman"/>
          <w:rtl w:val="0"/>
        </w:rPr>
        <w:t xml:space="preserve"> para quienes no logran insertarse en la investigación básica, considerada como eje principal.</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l</w:t>
      </w:r>
      <w:r w:rsidDel="00000000" w:rsidR="00000000" w:rsidRPr="00000000">
        <w:rPr>
          <w:rFonts w:ascii="Times New Roman" w:cs="Times New Roman" w:eastAsia="Times New Roman" w:hAnsi="Times New Roman"/>
          <w:rtl w:val="0"/>
        </w:rPr>
        <w:t xml:space="preserve">a política de financiamiento es descrita por los investigadores consultados como precaria y desactualizada frente a la inflación, obligando a menudo a los investigadores a financiar parte de las investigaciones de su propio bolsillo para financiar el trabajo de campo, la compra de reactivos o el reemplazo de equipamiento obsoleto, generando otra recarga extra en los mismos En palabras de los entrevistados, los financiamientos se presentan como “</w:t>
      </w:r>
      <w:r w:rsidDel="00000000" w:rsidR="00000000" w:rsidRPr="00000000">
        <w:rPr>
          <w:rFonts w:ascii="Times New Roman" w:cs="Times New Roman" w:eastAsia="Times New Roman" w:hAnsi="Times New Roman"/>
          <w:i w:val="1"/>
          <w:iCs w:val="1"/>
          <w:rtl w:val="0"/>
        </w:rPr>
        <w:t xml:space="preserve">irrisorios</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i w:val="1"/>
          <w:iCs w:val="1"/>
          <w:rtl w:val="0"/>
        </w:rPr>
        <w:t xml:space="preserve">"poco serios"</w:t>
      </w:r>
      <w:r w:rsidDel="00000000" w:rsidR="00000000" w:rsidRPr="00000000">
        <w:rPr>
          <w:rFonts w:ascii="Times New Roman" w:cs="Times New Roman" w:eastAsia="Times New Roman" w:hAnsi="Times New Roman"/>
          <w:rtl w:val="0"/>
        </w:rPr>
        <w:t xml:space="preserve">, y se licúan rápidamente por efecto de la inflación.</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políticas orientadas a la transferencia exigen una carga administrativa y burocrática excesiva que desincentiva la participación de los científicos en estas modalidades. Desde la gestión, los funcionarios entrevistados sostienen que las políticas orientadas (específicamente para los casos de PDTS o PIUBAS) se conciben como un complemento necesario a la investigación básica o fundamental, - y no como un reemplazo - la cual se considera el núcleo irrenunciable de la universidad.</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Estrategias de Priorización de la Investigación</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UBA enfrenta enormes dificultades para establecer prioridades de investigación "desde arriba" (top-down) debido a la fuerte cultura de autonomía académica de sus facultades. Históricamente, en la universidad se ha sostenido la posición de que "</w:t>
      </w:r>
      <w:r w:rsidDel="00000000" w:rsidR="00000000" w:rsidRPr="00000000">
        <w:rPr>
          <w:rFonts w:ascii="Times New Roman" w:cs="Times New Roman" w:eastAsia="Times New Roman" w:hAnsi="Times New Roman"/>
          <w:i w:val="1"/>
          <w:iCs w:val="1"/>
          <w:rtl w:val="0"/>
        </w:rPr>
        <w:t xml:space="preserve">los investigadores tienen que poder investigar con libertad lo que quieran"</w:t>
      </w:r>
      <w:r w:rsidDel="00000000" w:rsidR="00000000" w:rsidRPr="00000000">
        <w:rPr>
          <w:rFonts w:ascii="Times New Roman" w:cs="Times New Roman" w:eastAsia="Times New Roman" w:hAnsi="Times New Roman"/>
          <w:rtl w:val="0"/>
        </w:rPr>
        <w:t xml:space="preserve">. Esta postura respecto a la libertad académica genera resistencias a la idea de orientar la programación científica, resistencias que no son meramente discursivas sino que se expresan también en los mecanismos formales de toma de decisiones al interior del Consejo Superior</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caso diferencial podría considerarse con el impulso a los Programas Interdisciplinarios (PIUBAS) centrados en "campos problemáticos" amplios, como el cambio climático, el transporte o la marginalidad. Esta estrategia permitió orientar recursos hacia áreas prioritarias sin dictar el tema exacto, logrando incluir enfoques muy diversos bajo un mismo paraguas para que </w:t>
      </w:r>
      <w:r w:rsidDel="00000000" w:rsidR="00000000" w:rsidRPr="00000000">
        <w:rPr>
          <w:rFonts w:ascii="Times New Roman" w:cs="Times New Roman" w:eastAsia="Times New Roman" w:hAnsi="Times New Roman"/>
          <w:i w:val="1"/>
          <w:iCs w:val="1"/>
          <w:rtl w:val="0"/>
        </w:rPr>
        <w:t xml:space="preserve">"ninguna facultad quede afuera"</w:t>
      </w:r>
      <w:r w:rsidDel="00000000" w:rsidR="00000000" w:rsidRPr="00000000">
        <w:rPr>
          <w:rFonts w:ascii="Times New Roman" w:cs="Times New Roman" w:eastAsia="Times New Roman" w:hAnsi="Times New Roman"/>
          <w:rtl w:val="0"/>
        </w:rPr>
        <w:t xml:space="preserve">. No obstante, la elección entre participar en un proyecto PIUBA o en un proyecto Ubacyt regular generó cierta merma en la participación de estas propuestas orientadas.</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sobre todo entre investigadores consolidados que prefirieron no arriesgar sus líneas históricas de trabajo.</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instrumentos como los PDTS, la estrategia de priorización se centra en la demanda externa, exigiendo la figura de un adoptante (Estado, empresa u ONG) que valide la utilidad del proyecto. Sin embargo, en la práctica, son los propios investigadores quienes suelen generar o "</w:t>
      </w:r>
      <w:r w:rsidDel="00000000" w:rsidR="00000000" w:rsidRPr="00000000">
        <w:rPr>
          <w:rFonts w:ascii="Times New Roman" w:cs="Times New Roman" w:eastAsia="Times New Roman" w:hAnsi="Times New Roman"/>
          <w:i w:val="1"/>
          <w:iCs w:val="1"/>
          <w:rtl w:val="0"/>
        </w:rPr>
        <w:t xml:space="preserve">militar</w:t>
      </w:r>
      <w:r w:rsidDel="00000000" w:rsidR="00000000" w:rsidRPr="00000000">
        <w:rPr>
          <w:rFonts w:ascii="Times New Roman" w:cs="Times New Roman" w:eastAsia="Times New Roman" w:hAnsi="Times New Roman"/>
          <w:rtl w:val="0"/>
        </w:rPr>
        <w:t xml:space="preserve">" (como expresa una investigadora) esa demanda, adaptando sus líneas de trabajo históricas para que encajen en las prioridades de las convocatorias.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práctica, esto muestra que en su mayoría, los instrumentos orientados no generan nuevas líneas de investigación, sino que funcionan como un nuevo "envoltorio" para proyectos preexistentes: el tema no cambia, cambia la forma en que se lo presenta.</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Formas de Organización Universitaria</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estructura institucional de la universidad condiciona fuertemente cómo se agrupan los investigadores y cómo se vinculan con la sociedad. La interdisciplina aparece como un desafío organizativo: aunque las convocatorias orientadas (como PUS, PIUBAS y PDTS) exigen enfoques interdisciplinarios y/o coordinación inter-facultades, los investigadores señalan que esta forma de organización es extremadamente costosa en términos de tiempo y energía. Trabajar con lógicas disciplinares distintas vuelve lentos los procesos</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de definición de objetivos y producción conjunta. Tal como señala una investigadora consultada: </w:t>
      </w:r>
      <w:r w:rsidDel="00000000" w:rsidR="00000000" w:rsidRPr="00000000">
        <w:rPr>
          <w:rFonts w:ascii="Times New Roman" w:cs="Times New Roman" w:eastAsia="Times New Roman" w:hAnsi="Times New Roman"/>
          <w:i w:val="1"/>
          <w:iCs w:val="1"/>
          <w:rtl w:val="0"/>
        </w:rPr>
        <w:t xml:space="preserve">"escribir un artículo entre las tres costaba una eternidad"</w:t>
      </w:r>
      <w:r w:rsidDel="00000000" w:rsidR="00000000" w:rsidRPr="00000000">
        <w:rPr>
          <w:rFonts w:ascii="Times New Roman" w:cs="Times New Roman" w:eastAsia="Times New Roman" w:hAnsi="Times New Roman"/>
          <w:rtl w:val="0"/>
        </w:rPr>
        <w:t xml:space="preserve"> debido a las diferencias conceptuales, metodológicas y de lenguaje entre disciplinas.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sostienen algunos investigadores, - sobre todo quienes participaron de las convocatorias PDTS - a nivel organizativo, la universidad carece (o carecía en el período analizado) de unidades de vinculación tecnológica (UVT) proactivas, que conecten las capacidades de los laboratorios con las necesidades del sector socio-productivo. Es el propio investigador quien debe actuar como su </w:t>
      </w:r>
      <w:r w:rsidDel="00000000" w:rsidR="00000000" w:rsidRPr="00000000">
        <w:rPr>
          <w:rFonts w:ascii="Times New Roman" w:cs="Times New Roman" w:eastAsia="Times New Roman" w:hAnsi="Times New Roman"/>
          <w:i w:val="1"/>
          <w:iCs w:val="1"/>
          <w:rtl w:val="0"/>
        </w:rPr>
        <w:t xml:space="preserve">"propio DT"</w:t>
      </w:r>
      <w:r w:rsidDel="00000000" w:rsidR="00000000" w:rsidRPr="00000000">
        <w:rPr>
          <w:rFonts w:ascii="Times New Roman" w:cs="Times New Roman" w:eastAsia="Times New Roman" w:hAnsi="Times New Roman"/>
          <w:rtl w:val="0"/>
        </w:rPr>
        <w:t xml:space="preserve">, buscando contactos, negociando convenios y organizando la transferencia de manera casi artesanal. Esta individualización de las tareas de vinculación convierte lo que debería ser una función institucional, en una carga personal que recae sobre los mismos investigadores.</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trabajo previo (Senejko y Versino, 2019), basado en el análisis de los informes finales de proyectos PDTS-UBA, se observa que la vinculación entre los equipos de investigación y las entidades adoptantes se sustentó, en la mayoría de los casos, en relaciones preexistentes. Cuando estos vínculos no estaban previamente establecidos, el contacto fue impulsado principalmente por los propios grupos de investigación o mediante la intermediación de terceros. Estos resultados ponen de manifiesto la relevancia de las redes personales para la generación de colaboraciones entre la universidad y actores extra académicos. Asimismo, fueron escasos los casos en que las entidades adoptantes tomaron la iniciativa de contactar a los equipos de investigación, lo que sugiere la persistencia de dificultades para reconocer a la universidad como un ámbito al que recurrir en busca de soluciones a problemas concretos o de capacidades científico-tecnológicas aplicables a sus necesidades.</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aspecto señalado por los investigadores refiere a la inestabilidad de los equipos de trabajo y a la fragilidad de las condiciones institucionales que sostienen las actividades de investigación. La escasez de cargos con dedicación exclusiva, junto con las limitaciones salariales, dificulta la consolidación de equipos en el largo plazo y favorece la migración de recursos humanos altamente calificados hacia el sector privado o al exterior. Esta situación afecta particularmente la continuidad de las líneas de investigación orientadas, que suelen requerir procesos sostenidos de acumulación de capacidades, especialización temática y articulación con actores externos. Si bien estas dificultades exceden el ámbito de las convocatorias orientadas y constituyen un problema más general del sistema científico universitario, los investigadores destacan que sus efectos resultan especialmente críticos en este tipo de proyectos debido a las condiciones de interdisciplinariedad y a la necesidad de mantener vínculos estables con las instituciones participantes.</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eje se refiere a las disputas, tanto políticas como operativas, que generan la asignación de recursos dentro de la universidad, y que afectan de manera directa la continuidad de la investigación orientada. Por un lado, dado que el presupuesto destinado a subsidios es único, las distintas convocatorias compiten por una misma fuente de financiamiento, lo que convierte la asignación de recursos para la investigación en un ámbito de negociación política. Los decanos ejercen </w:t>
      </w:r>
      <w:r w:rsidDel="00000000" w:rsidR="00000000" w:rsidRPr="00000000">
        <w:rPr>
          <w:rFonts w:ascii="Times New Roman" w:cs="Times New Roman" w:eastAsia="Times New Roman" w:hAnsi="Times New Roman"/>
          <w:i w:val="1"/>
          <w:iCs w:val="1"/>
          <w:rtl w:val="0"/>
        </w:rPr>
        <w:t xml:space="preserve">lobby</w:t>
      </w:r>
      <w:r w:rsidDel="00000000" w:rsidR="00000000" w:rsidRPr="00000000">
        <w:rPr>
          <w:rFonts w:ascii="Times New Roman" w:cs="Times New Roman" w:eastAsia="Times New Roman" w:hAnsi="Times New Roman"/>
          <w:rtl w:val="0"/>
        </w:rPr>
        <w:t xml:space="preserve"> para asegurar que sus facultades no queden excluidas y para obtener los proyectos que consideran más convenientes. De hecho, para que políticas como los PDTS o los PIUBA fueran aprobadas en el Consejo Superior, los funcionarios de rectorado debieron realizar “recorridas previas”, convenciendo a los decanos de que estas iniciativas no perjudicarían los presupuestos de sus unidades académicas.</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con el objetivo de evitar que la investigación orientada quedara concentrada en los mismos equipos, en algunos casos como los PUS o los PIUBA, desde la SECYT se impusieron reglas de incompatibilidad - por ejemplo, debiendo optar entre un UBACYT regular o un proyecto orientado -. Sin embargo, dadas las dificultades mencionadas previamente, los investigadores consolidados tienden a optar por los proyectos regulares, retirándose de las convocatorias orientadas.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72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Agendas de Investigación</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conformación de la agenda de investigación en la UBA se presenta como fragmentada y altamente dependiente de la iniciativa individual. Ante la pregunta sobre una agenda de investigación orientada en la UBA, los actores consultados afirman desconocerla o creen que no existe. La investigación funciona bajo un modelo "por la oferta", donde los académicos proponen los temas basados en su experticia individual. Esto podría relacionarse con la idea de</w:t>
      </w:r>
      <w:r w:rsidDel="00000000" w:rsidR="00000000" w:rsidRPr="00000000">
        <w:rPr>
          <w:rFonts w:ascii="Times New Roman" w:cs="Times New Roman" w:eastAsia="Times New Roman" w:hAnsi="Times New Roman"/>
          <w:rtl w:val="0"/>
        </w:rPr>
        <w:t xml:space="preserve"> relevancia sectaria de Vasen (2011), dado que es la propia comunidad científica quien finalmente termina decidiendo sobre la relevancia de la investigación, dejando de lado las</w:t>
      </w:r>
      <w:r w:rsidDel="00000000" w:rsidR="00000000" w:rsidRPr="00000000">
        <w:rPr>
          <w:rFonts w:ascii="Times New Roman" w:cs="Times New Roman" w:eastAsia="Times New Roman" w:hAnsi="Times New Roman"/>
          <w:rtl w:val="0"/>
        </w:rPr>
        <w:t xml:space="preserve"> demandas sociales, económicas o políticas externas</w:t>
      </w:r>
      <w:r w:rsidDel="00000000" w:rsidR="00000000" w:rsidRPr="00000000">
        <w:rPr>
          <w:rFonts w:ascii="Times New Roman" w:cs="Times New Roman" w:eastAsia="Times New Roman" w:hAnsi="Times New Roman"/>
          <w:rtl w:val="0"/>
        </w:rPr>
        <w:t xml:space="preserve">. Respetando las formas de producción de la ciencia académica tradicional, la calidad y la utilidad de la investigación son definidas exclusivamente mediante los criterios internos de las disciplinas, enfatizados particularmente a través de la evaluación por pares  (Vasen, 2011). En definitiva, la conformación de las agendas puede comprenderse a través de las culturas políticas de la ciencia propuestas por Elzinga y Jamison (1996). En la UBA existe una clara primacía de la cultura académica, que promueve la libertad de investigación, el desarrollo de las disciplinas y el control por parte de los propios científicos.</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primacía de la cultura académica, sin embargo, no está exenta de tensiones: los entrevistados señalan una disputa latente entre la agenda global y las necesidades locales. Un ex funcionario UBA menciona críticamente que, debido a esta dinámica, la ciencia a menudo se desarrolla siguiendo los grandes temas de la agenda mundial (como nanotecnología o inteligencia artificial) en lugar de responder a las necesidades socioeconómicas urgentes del país. Esta tensión no es exclusiva de la UBA, sino que reproduce una dinámica ampliamente documentada en los sistemas científicos de países periféricos (Sutz, 2005), donde la presión por publicar en revistas internacionales indexadas opera como un factor de alineación con las agendas de los centros globales de producción de conocimiento.</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se intenta establecer una agenda aplicada y local (ya sea en salud pública, marginalidad o tecnología industrial), casi nunca surge de cero. Los proyectos de investigación orientada actúan como herramientas institucionales para formalizar, financiar y "poner en valor" relaciones y cooperaciones territoriales o industriales que los investigadores ya venían sosteniendo de manera informal. En definitiva, lo que los instrumentos orientados habilitan es principalmente la sistematización de vínculos previos, más que la generación de nuevas articulaciones entre la universidad y actores extra-académicos.</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incluso cuando existen lineamientos institucionales para promover temas estratégicos, la excesiva amplitud de las bases de las convocatorias facilita que los investigadores simplemente adapten sus investigaciones preexistentes a los nuevos requerimientos. De este modo, se perpetúa la lógica de ofertar soluciones en lugar de construir agendas de forma conjunta a partir de una demanda real (Senejko y Versino, 2018). </w:t>
      </w:r>
    </w:p>
    <w:p w:rsidR="00000000" w:rsidDel="00000000" w:rsidP="00000000" w:rsidRDefault="00000000" w:rsidRPr="00000000" w14:paraId="0000004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Reflexiones finales</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los hallazgos muestran que las iniciativas orientadas impulsadas en la UBA no lograron modificar de manera sustantiva el esquema tradicional de financiamiento basado en la oferta espontánea de proyectos, caracterizado por una lógica de investigación abierta y pluralista (Unzué y Rovelli, 2017). Aun cuando el contexto político nacional entre 2003 y 2015 promovió activamente la producción de conocimientos con relevancia social y la implementación de instrumentos orientados, la incidencia de estas convocatorias dentro de la Universidad continuó siendo limitada. En este sentido, la estructura institucional de la UBA, organizada en trece facultades con amplios márgenes de autonomía académica y trayectorias disciplinares diferenciadas, constituye un factor central para comprender las dificultades de consolidación de estas políticas de priorización. </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formas de organización de la Universidad de Buenos Aires (UBA) y su andamiaje institucional condicionan fuertemente la viabilidad de la investigación orientada, generando fricciones estructurales con los sistemas de evaluación disciplinar y con el reparto de recursos económicos. Así, la implementación de mecanismos de investigación orientada se encuentra atravesada por tensiones vinculadas tanto a los criterios de evaluación científica predominantes como a la distribución de los recursos entre unidades académicas con capacidades y demandas heterogéneas. El estudio permite identificar una serie de obstáculos operativos que afectan el desarrollo de este tipo de investigaciones: las dificultades para sostener dinámicas de trabajo interdisciplinarias en un contexto fuertemente estructurado por lógicas disciplinares; la inestabilidad de los equipos de investigación, asociada a condiciones de financiamiento discontinuas y a la precariedad de los recursos disponibles; y la creciente carga de gestión que recae sobre los investigadores, quienes suelen asumir de manera individual tareas de articulación institucional, vinculación con actores externos y administración de los proyectos. Estas condiciones limitan las posibilidades de consolidar agendas de investigación orientadas y de construir vínculos sostenidos con los sectores sociales y productivos involucrados.</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instrumentos orientados no configuran nuevas agendas de investigación: los investigadores adaptan sus líneas históricas para </w:t>
      </w:r>
      <w:r w:rsidDel="00000000" w:rsidR="00000000" w:rsidRPr="00000000">
        <w:rPr>
          <w:rFonts w:ascii="Times New Roman" w:cs="Times New Roman" w:eastAsia="Times New Roman" w:hAnsi="Times New Roman"/>
          <w:i w:val="1"/>
          <w:iCs w:val="1"/>
          <w:rtl w:val="0"/>
        </w:rPr>
        <w:t xml:space="preserve">“encajar”</w:t>
      </w:r>
      <w:r w:rsidDel="00000000" w:rsidR="00000000" w:rsidRPr="00000000">
        <w:rPr>
          <w:rFonts w:ascii="Times New Roman" w:cs="Times New Roman" w:eastAsia="Times New Roman" w:hAnsi="Times New Roman"/>
          <w:rtl w:val="0"/>
        </w:rPr>
        <w:t xml:space="preserve"> en las convocatorias disponibles, generando una apariencia de orientación que no siempre se traduce en una reorientación sustantiva de las agendas de investigación.</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síntesis, las características organizacionales e institucionales de la Universidad condicionan la viabilidad y el alcance de las políticas de investigación orientada, generando fricciones persistentes con las dinámicas tradicionales de producción, evaluación y financiamiento científico. Los resultados sugieren que el fortalecimiento de este tipo de iniciativas requiere no solo instrumentos específicos de financiamiento, sino también transformaciones en los mecanismos de evaluación académica, en las formas de organización del trabajo científico y en las capacidades institucionales de apoyo a la investigación interdisciplinaria y orientada.</w:t>
      </w:r>
    </w:p>
    <w:p w:rsidR="00000000" w:rsidDel="00000000" w:rsidP="00000000" w:rsidRDefault="00000000" w:rsidRPr="00000000" w14:paraId="0000004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Esta conclusión no invalida la importancia de las políticas de investigación orientada, sino que subraya la necesidad de desarrollarlas considerando las particularidades organizacionales e históricas de las instituciones donde se implementan, y de construir los consensos internos necesarios para que estas políticas científicas no queden atrapadas en las lógicas que buscan transformar. Como señala Sutz (2005), las universidades del Sur tienen la posibilidad (y la responsabilidad) de convertirse en agentes de cambio en la relación entre conocimiento y sociedad.</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9">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Elzinga, A. y A. Jamison (1996) “El cambio de las agendas políticas en ciencia y tecnología”, </w:t>
      </w:r>
      <w:r w:rsidDel="00000000" w:rsidR="00000000" w:rsidRPr="00000000">
        <w:rPr>
          <w:rFonts w:ascii="Times New Roman" w:cs="Times New Roman" w:eastAsia="Times New Roman" w:hAnsi="Times New Roman"/>
          <w:i w:val="1"/>
          <w:iCs w:val="1"/>
          <w:rtl w:val="0"/>
        </w:rPr>
        <w:t xml:space="preserve">Zona Abierta </w:t>
      </w:r>
      <w:r w:rsidDel="00000000" w:rsidR="00000000" w:rsidRPr="00000000">
        <w:rPr>
          <w:rFonts w:ascii="Times New Roman" w:cs="Times New Roman" w:eastAsia="Times New Roman" w:hAnsi="Times New Roman"/>
          <w:rtl w:val="0"/>
        </w:rPr>
        <w:t xml:space="preserve">(Madrid), 75-76.</w:t>
      </w:r>
      <w:r w:rsidDel="00000000" w:rsidR="00000000" w:rsidRPr="00000000">
        <w:rPr>
          <w:rtl w:val="0"/>
        </w:rPr>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Herrera, A. O. (1973). Los determinantes sociales de la política científica en América Latina: Política científica explícita y política científica implícita. </w:t>
      </w:r>
      <w:r w:rsidDel="00000000" w:rsidR="00000000" w:rsidRPr="00000000">
        <w:rPr>
          <w:rFonts w:ascii="Times New Roman" w:cs="Times New Roman" w:eastAsia="Times New Roman" w:hAnsi="Times New Roman"/>
          <w:i w:val="1"/>
          <w:iCs w:val="1"/>
          <w:rtl w:val="0"/>
        </w:rPr>
        <w:t xml:space="preserve">Desarrollo Económico, 13</w:t>
      </w:r>
      <w:r w:rsidDel="00000000" w:rsidR="00000000" w:rsidRPr="00000000">
        <w:rPr>
          <w:rFonts w:ascii="Times New Roman" w:cs="Times New Roman" w:eastAsia="Times New Roman" w:hAnsi="Times New Roman"/>
          <w:rtl w:val="0"/>
        </w:rPr>
        <w:t xml:space="preserve">(49), 113–134. </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Hidalgo, C. (2016). Interdisciplina en la Universidad de Buenos Aires de la democracia (1983–2016). </w:t>
      </w:r>
      <w:r w:rsidDel="00000000" w:rsidR="00000000" w:rsidRPr="00000000">
        <w:rPr>
          <w:rFonts w:ascii="Times New Roman" w:cs="Times New Roman" w:eastAsia="Times New Roman" w:hAnsi="Times New Roman"/>
          <w:i w:val="1"/>
          <w:iCs w:val="1"/>
          <w:rtl w:val="0"/>
        </w:rPr>
        <w:t xml:space="preserve">Interdisciplina, 4</w:t>
      </w:r>
      <w:r w:rsidDel="00000000" w:rsidR="00000000" w:rsidRPr="00000000">
        <w:rPr>
          <w:rFonts w:ascii="Times New Roman" w:cs="Times New Roman" w:eastAsia="Times New Roman" w:hAnsi="Times New Roman"/>
          <w:rtl w:val="0"/>
        </w:rPr>
        <w:t xml:space="preserve">(10). Centro de Investigaciones Interdisciplinarias en Ciencias y Humanidades (CEIICH). México.</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Rovelli, L. (2017). Investigación científica y áreas prioritarias en universidades nacionales. </w:t>
      </w:r>
      <w:r w:rsidDel="00000000" w:rsidR="00000000" w:rsidRPr="00000000">
        <w:rPr>
          <w:rFonts w:ascii="Times New Roman" w:cs="Times New Roman" w:eastAsia="Times New Roman" w:hAnsi="Times New Roman"/>
          <w:i w:val="1"/>
          <w:iCs w:val="1"/>
          <w:rtl w:val="0"/>
        </w:rPr>
        <w:t xml:space="preserve">Ciencias Sociales (Buenos Aires), 94</w:t>
      </w:r>
      <w:r w:rsidDel="00000000" w:rsidR="00000000" w:rsidRPr="00000000">
        <w:rPr>
          <w:rFonts w:ascii="Times New Roman" w:cs="Times New Roman" w:eastAsia="Times New Roman" w:hAnsi="Times New Roman"/>
          <w:rtl w:val="0"/>
        </w:rPr>
        <w:t xml:space="preserve">, 38–43.</w:t>
      </w:r>
      <w:hyperlink r:id="rId10">
        <w:r w:rsidDel="00000000" w:rsidR="00000000" w:rsidRPr="00000000">
          <w:rPr>
            <w:rFonts w:ascii="Times New Roman" w:cs="Times New Roman" w:eastAsia="Times New Roman" w:hAnsi="Times New Roman"/>
            <w:rtl w:val="0"/>
          </w:rPr>
          <w:t xml:space="preserve"> </w:t>
        </w:r>
      </w:hyperlink>
      <w:hyperlink r:id="rId11">
        <w:r w:rsidDel="00000000" w:rsidR="00000000" w:rsidRPr="00000000">
          <w:rPr>
            <w:rFonts w:ascii="Times New Roman" w:cs="Times New Roman" w:eastAsia="Times New Roman" w:hAnsi="Times New Roman"/>
            <w:color w:val="1155cc"/>
            <w:u w:val="single"/>
            <w:rtl w:val="0"/>
          </w:rPr>
          <w:t xml:space="preserve">https://www.memoria.fahce.unlp.edu.ar/art_revistas/pr.17767/pr.17767.pdf</w:t>
        </w:r>
      </w:hyperlink>
      <w:r w:rsidDel="00000000" w:rsidR="00000000" w:rsidRPr="00000000">
        <w:rPr>
          <w:rtl w:val="0"/>
        </w:rPr>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Senejko, M. P., &amp; Versino, M. (2015). La construcción de políticas de investigación orientadas en la Universidad de Buenos Aires (UBA). En S. Lago Martínez &amp; N. H. Correa (Coords.), </w:t>
      </w:r>
      <w:r w:rsidDel="00000000" w:rsidR="00000000" w:rsidRPr="00000000">
        <w:rPr>
          <w:rFonts w:ascii="Times New Roman" w:cs="Times New Roman" w:eastAsia="Times New Roman" w:hAnsi="Times New Roman"/>
          <w:i w:val="1"/>
          <w:iCs w:val="1"/>
          <w:rtl w:val="0"/>
        </w:rPr>
        <w:t xml:space="preserve">Desafíos y dilemas de la universidad y la ciencia en América Latina y el Caribe en el siglo XXI</w:t>
      </w:r>
      <w:r w:rsidDel="00000000" w:rsidR="00000000" w:rsidRPr="00000000">
        <w:rPr>
          <w:rFonts w:ascii="Times New Roman" w:cs="Times New Roman" w:eastAsia="Times New Roman" w:hAnsi="Times New Roman"/>
          <w:rtl w:val="0"/>
        </w:rPr>
        <w:t xml:space="preserve"> (pp. 355–364). Editorial Teseo.</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Senejko, M. P., &amp; Versino, M. (2018). La producción de conocimientos y la resolución de problemas sociales: Análisis de las convocatorias a proyectos de investigación orientados en la UBA (2003–2015). </w:t>
      </w:r>
      <w:r w:rsidDel="00000000" w:rsidR="00000000" w:rsidRPr="00000000">
        <w:rPr>
          <w:rFonts w:ascii="Times New Roman" w:cs="Times New Roman" w:eastAsia="Times New Roman" w:hAnsi="Times New Roman"/>
          <w:i w:val="1"/>
          <w:iCs w:val="1"/>
          <w:rtl w:val="0"/>
        </w:rPr>
        <w:t xml:space="preserve">Horizontes Sociológicos, 6</w:t>
      </w:r>
      <w:r w:rsidDel="00000000" w:rsidR="00000000" w:rsidRPr="00000000">
        <w:rPr>
          <w:rFonts w:ascii="Times New Roman" w:cs="Times New Roman" w:eastAsia="Times New Roman" w:hAnsi="Times New Roman"/>
          <w:rtl w:val="0"/>
        </w:rPr>
        <w:t xml:space="preserve">(10), 13–26.</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Senejko, M. P., &amp; Versino, M. (2019). Los Proyectos de Desarrollo Tecnológico y Social (PDTS) en la Universidad de Buenos Aires. </w:t>
      </w:r>
      <w:r w:rsidDel="00000000" w:rsidR="00000000" w:rsidRPr="00000000">
        <w:rPr>
          <w:rFonts w:ascii="Times New Roman" w:cs="Times New Roman" w:eastAsia="Times New Roman" w:hAnsi="Times New Roman"/>
          <w:i w:val="1"/>
          <w:iCs w:val="1"/>
          <w:rtl w:val="0"/>
        </w:rPr>
        <w:t xml:space="preserve">Ciencia, Docencia y Tecnología, 30</w:t>
      </w:r>
      <w:r w:rsidDel="00000000" w:rsidR="00000000" w:rsidRPr="00000000">
        <w:rPr>
          <w:rFonts w:ascii="Times New Roman" w:cs="Times New Roman" w:eastAsia="Times New Roman" w:hAnsi="Times New Roman"/>
          <w:rtl w:val="0"/>
        </w:rPr>
        <w:t xml:space="preserve">(59).</w:t>
      </w:r>
      <w:hyperlink r:id="rId12">
        <w:r w:rsidDel="00000000" w:rsidR="00000000" w:rsidRPr="00000000">
          <w:rPr>
            <w:rFonts w:ascii="Times New Roman" w:cs="Times New Roman" w:eastAsia="Times New Roman" w:hAnsi="Times New Roman"/>
            <w:rtl w:val="0"/>
          </w:rPr>
          <w:t xml:space="preserve"> </w:t>
        </w:r>
      </w:hyperlink>
      <w:hyperlink r:id="rId13">
        <w:r w:rsidDel="00000000" w:rsidR="00000000" w:rsidRPr="00000000">
          <w:rPr>
            <w:rFonts w:ascii="Times New Roman" w:cs="Times New Roman" w:eastAsia="Times New Roman" w:hAnsi="Times New Roman"/>
            <w:color w:val="1155cc"/>
            <w:u w:val="single"/>
            <w:rtl w:val="0"/>
          </w:rPr>
          <w:t xml:space="preserve">https://doi.org/10.33255/3059/688</w:t>
        </w:r>
      </w:hyperlink>
      <w:r w:rsidDel="00000000" w:rsidR="00000000" w:rsidRPr="00000000">
        <w:rPr>
          <w:rtl w:val="0"/>
        </w:rPr>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Senejko, M. P. (2024, 13–15 de noviembre). La política científica en la Universidad de Buenos Aires (UBA): Entre las propuestas espontáneas y los intentos de orientación de la investigación [Ponencia]. IX Encuentro Nacional y VI Latinoamericano La Universidad como Objeto de Investigación, Ensenada, Argentina</w:t>
      </w:r>
      <w:r w:rsidDel="00000000" w:rsidR="00000000" w:rsidRPr="00000000">
        <w:rPr>
          <w:rtl w:val="0"/>
        </w:rPr>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Sutz, J. (2005). Sobre agendas de investigación y universidades de desarrollo. </w:t>
      </w:r>
      <w:r w:rsidDel="00000000" w:rsidR="00000000" w:rsidRPr="00000000">
        <w:rPr>
          <w:rFonts w:ascii="Times New Roman" w:cs="Times New Roman" w:eastAsia="Times New Roman" w:hAnsi="Times New Roman"/>
          <w:i w:val="1"/>
          <w:iCs w:val="1"/>
          <w:rtl w:val="0"/>
        </w:rPr>
        <w:t xml:space="preserve">Revista de Estudios Sociales, 22</w:t>
      </w:r>
      <w:r w:rsidDel="00000000" w:rsidR="00000000" w:rsidRPr="00000000">
        <w:rPr>
          <w:rFonts w:ascii="Times New Roman" w:cs="Times New Roman" w:eastAsia="Times New Roman" w:hAnsi="Times New Roman"/>
          <w:rtl w:val="0"/>
        </w:rPr>
        <w:t xml:space="preserve">, 107–115.</w:t>
      </w:r>
    </w:p>
    <w:p w:rsidR="00000000" w:rsidDel="00000000" w:rsidP="00000000" w:rsidRDefault="00000000" w:rsidRPr="00000000" w14:paraId="0000005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Unzué, M., &amp; Emiliozzi, S. (2017). Las políticas públicas de ciencia y tecnología en Argentina: Un balance del período 2003–2015. </w:t>
      </w:r>
      <w:r w:rsidDel="00000000" w:rsidR="00000000" w:rsidRPr="00000000">
        <w:rPr>
          <w:rFonts w:ascii="Times New Roman" w:cs="Times New Roman" w:eastAsia="Times New Roman" w:hAnsi="Times New Roman"/>
          <w:i w:val="1"/>
          <w:iCs w:val="1"/>
          <w:rtl w:val="0"/>
        </w:rPr>
        <w:t xml:space="preserve">Temas y Debates, 21</w:t>
      </w:r>
      <w:r w:rsidDel="00000000" w:rsidR="00000000" w:rsidRPr="00000000">
        <w:rPr>
          <w:rFonts w:ascii="Times New Roman" w:cs="Times New Roman" w:eastAsia="Times New Roman" w:hAnsi="Times New Roman"/>
          <w:rtl w:val="0"/>
        </w:rPr>
        <w:t xml:space="preserve">, 13–33.</w:t>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Unzué, M., &amp; Rovelli, L. I. (2017). Cambios, tendencias y desafíos de las políticas científicas recientes en las universidades nacionales de Argentina. </w:t>
      </w:r>
      <w:r w:rsidDel="00000000" w:rsidR="00000000" w:rsidRPr="00000000">
        <w:rPr>
          <w:rFonts w:ascii="Times New Roman" w:cs="Times New Roman" w:eastAsia="Times New Roman" w:hAnsi="Times New Roman"/>
          <w:i w:val="1"/>
          <w:iCs w:val="1"/>
          <w:rtl w:val="0"/>
        </w:rPr>
        <w:t xml:space="preserve">Tla-Melaua, 11</w:t>
      </w:r>
      <w:r w:rsidDel="00000000" w:rsidR="00000000" w:rsidRPr="00000000">
        <w:rPr>
          <w:rFonts w:ascii="Times New Roman" w:cs="Times New Roman" w:eastAsia="Times New Roman" w:hAnsi="Times New Roman"/>
          <w:rtl w:val="0"/>
        </w:rPr>
        <w:t xml:space="preserve">(42), 242–261.</w:t>
      </w:r>
      <w:hyperlink r:id="rId14">
        <w:r w:rsidDel="00000000" w:rsidR="00000000" w:rsidRPr="00000000">
          <w:rPr>
            <w:rFonts w:ascii="Times New Roman" w:cs="Times New Roman" w:eastAsia="Times New Roman" w:hAnsi="Times New Roman"/>
            <w:color w:val="0000ff"/>
            <w:u w:val="single"/>
            <w:rtl w:val="0"/>
          </w:rPr>
          <w:t xml:space="preserve">http://www.scielo.org.mx/scielo.php?script=sci_arttext&amp;pid=S1870-69162017000200242&amp;lng=es&amp;nrm=iso&amp;tlng=es</w:t>
        </w:r>
      </w:hyperlink>
      <w:r w:rsidDel="00000000" w:rsidR="00000000" w:rsidRPr="00000000">
        <w:rPr>
          <w:rtl w:val="0"/>
        </w:rPr>
      </w:r>
    </w:p>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Vaccarezza, L. (1994). “Los problemas de la innovación en la gestión de la ciencia en la universidad: los programas especiales de investigación en la UBA”, </w:t>
      </w:r>
      <w:r w:rsidDel="00000000" w:rsidR="00000000" w:rsidRPr="00000000">
        <w:rPr>
          <w:rFonts w:ascii="Times New Roman" w:cs="Times New Roman" w:eastAsia="Times New Roman" w:hAnsi="Times New Roman"/>
          <w:i w:val="1"/>
          <w:iCs w:val="1"/>
          <w:rtl w:val="0"/>
        </w:rPr>
        <w:t xml:space="preserve">Redes </w:t>
      </w:r>
      <w:r w:rsidDel="00000000" w:rsidR="00000000" w:rsidRPr="00000000">
        <w:rPr>
          <w:rFonts w:ascii="Times New Roman" w:cs="Times New Roman" w:eastAsia="Times New Roman" w:hAnsi="Times New Roman"/>
          <w:rtl w:val="0"/>
        </w:rPr>
        <w:t xml:space="preserve">N°2, vol. 1, Buenos Aires.  </w:t>
      </w:r>
      <w:r w:rsidDel="00000000" w:rsidR="00000000" w:rsidRPr="00000000">
        <w:rPr>
          <w:rtl w:val="0"/>
        </w:rPr>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Vasen, F. (2011). “Los sentidos de la relevancia en la política científica”</w:t>
      </w:r>
      <w:r w:rsidDel="00000000" w:rsidR="00000000" w:rsidRPr="00000000">
        <w:rPr>
          <w:rFonts w:ascii="Times New Roman" w:cs="Times New Roman" w:eastAsia="Times New Roman" w:hAnsi="Times New Roman"/>
          <w:i w:val="1"/>
          <w:iCs w:val="1"/>
          <w:rtl w:val="0"/>
        </w:rPr>
        <w:t xml:space="preserve">, Revista Iberoamericana de Ciencia, Tecnología y Sociedad,</w:t>
      </w:r>
      <w:r w:rsidDel="00000000" w:rsidR="00000000" w:rsidRPr="00000000">
        <w:rPr>
          <w:rFonts w:ascii="Times New Roman" w:cs="Times New Roman" w:eastAsia="Times New Roman" w:hAnsi="Times New Roman"/>
          <w:rtl w:val="0"/>
        </w:rPr>
        <w:t xml:space="preserve"> 7 (19), 11-46.</w:t>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Vasen, F. (2013a). </w:t>
      </w:r>
      <w:r w:rsidDel="00000000" w:rsidR="00000000" w:rsidRPr="00000000">
        <w:rPr>
          <w:rFonts w:ascii="Times New Roman" w:cs="Times New Roman" w:eastAsia="Times New Roman" w:hAnsi="Times New Roman"/>
          <w:i w:val="1"/>
          <w:iCs w:val="1"/>
          <w:rtl w:val="0"/>
        </w:rPr>
        <w:t xml:space="preserve">La construcción de una política científica institucional en la Universidad de Buenos Aires (1986–1994)</w:t>
      </w:r>
      <w:r w:rsidDel="00000000" w:rsidR="00000000" w:rsidRPr="00000000">
        <w:rPr>
          <w:rFonts w:ascii="Times New Roman" w:cs="Times New Roman" w:eastAsia="Times New Roman" w:hAnsi="Times New Roman"/>
          <w:rtl w:val="0"/>
        </w:rPr>
        <w:t xml:space="preserve"> [Tesis de doctorado, Universidad Nacional de Quilmes]. Repositorio Institucional Digital de Acceso Abierto de la Universidad Nacional de Quilmes (RIDAA).</w:t>
      </w:r>
      <w:hyperlink r:id="rId15">
        <w:r w:rsidDel="00000000" w:rsidR="00000000" w:rsidRPr="00000000">
          <w:rPr>
            <w:rFonts w:ascii="Times New Roman" w:cs="Times New Roman" w:eastAsia="Times New Roman" w:hAnsi="Times New Roman"/>
            <w:rtl w:val="0"/>
          </w:rPr>
          <w:t xml:space="preserve"> </w:t>
        </w:r>
      </w:hyperlink>
      <w:hyperlink r:id="rId16">
        <w:r w:rsidDel="00000000" w:rsidR="00000000" w:rsidRPr="00000000">
          <w:rPr>
            <w:rFonts w:ascii="Times New Roman" w:cs="Times New Roman" w:eastAsia="Times New Roman" w:hAnsi="Times New Roman"/>
            <w:color w:val="1155cc"/>
            <w:u w:val="single"/>
            <w:rtl w:val="0"/>
          </w:rPr>
          <w:t xml:space="preserve">https://ridaa.unq.edu.ar/handle/20.500.11807/908</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Vasen, F. (2013b). L</w:t>
      </w:r>
      <w:r w:rsidDel="00000000" w:rsidR="00000000" w:rsidRPr="00000000">
        <w:rPr>
          <w:rFonts w:ascii="Times New Roman" w:cs="Times New Roman" w:eastAsia="Times New Roman" w:hAnsi="Times New Roman"/>
          <w:i w:val="1"/>
          <w:iCs w:val="1"/>
          <w:rtl w:val="0"/>
        </w:rPr>
        <w:t xml:space="preserve">a gestión de prioridades para la investigación universitaria. El caso de las políticas científicas estratégicas de la Universidad de Buenos Aires (1986-1994). </w:t>
      </w:r>
      <w:r w:rsidDel="00000000" w:rsidR="00000000" w:rsidRPr="00000000">
        <w:rPr>
          <w:rFonts w:ascii="Times New Roman" w:cs="Times New Roman" w:eastAsia="Times New Roman" w:hAnsi="Times New Roman"/>
          <w:rtl w:val="0"/>
        </w:rPr>
        <w:t xml:space="preserve">Ponencia presentada en la I Conferencia Internacional LALICS, Río de Janeiro, Brasil.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Fuentes documentales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 (2003). </w:t>
      </w:r>
      <w:r w:rsidDel="00000000" w:rsidR="00000000" w:rsidRPr="00000000">
        <w:rPr>
          <w:rFonts w:ascii="Times New Roman" w:cs="Times New Roman" w:eastAsia="Times New Roman" w:hAnsi="Times New Roman"/>
          <w:i w:val="1"/>
          <w:iCs w:val="1"/>
          <w:rtl w:val="0"/>
        </w:rPr>
        <w:t xml:space="preserve">Resolución del Consejo Superior N.º 1542/2003</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 (2005). </w:t>
      </w:r>
      <w:r w:rsidDel="00000000" w:rsidR="00000000" w:rsidRPr="00000000">
        <w:rPr>
          <w:rFonts w:ascii="Times New Roman" w:cs="Times New Roman" w:eastAsia="Times New Roman" w:hAnsi="Times New Roman"/>
          <w:i w:val="1"/>
          <w:iCs w:val="1"/>
          <w:rtl w:val="0"/>
        </w:rPr>
        <w:t xml:space="preserve">Resolución del Consejo Superior N.º 5058/2005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 (2009).</w:t>
      </w:r>
      <w:r w:rsidDel="00000000" w:rsidR="00000000" w:rsidRPr="00000000">
        <w:rPr>
          <w:rFonts w:ascii="Times New Roman" w:cs="Times New Roman" w:eastAsia="Times New Roman" w:hAnsi="Times New Roman"/>
          <w:i w:val="1"/>
          <w:iCs w:val="1"/>
          <w:rtl w:val="0"/>
        </w:rPr>
        <w:t xml:space="preserve"> Resolución del Consejo Superior N.º 6712/2009</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 (2010). </w:t>
      </w:r>
      <w:r w:rsidDel="00000000" w:rsidR="00000000" w:rsidRPr="00000000">
        <w:rPr>
          <w:rFonts w:ascii="Times New Roman" w:cs="Times New Roman" w:eastAsia="Times New Roman" w:hAnsi="Times New Roman"/>
          <w:i w:val="1"/>
          <w:iCs w:val="1"/>
          <w:rtl w:val="0"/>
        </w:rPr>
        <w:t xml:space="preserve">Resolución del Consejo Superior N.º 674/2010.</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Universidad de Buenos Aires. (2011). </w:t>
      </w:r>
      <w:r w:rsidDel="00000000" w:rsidR="00000000" w:rsidRPr="00000000">
        <w:rPr>
          <w:rFonts w:ascii="Times New Roman" w:cs="Times New Roman" w:eastAsia="Times New Roman" w:hAnsi="Times New Roman"/>
          <w:i w:val="1"/>
          <w:iCs w:val="1"/>
          <w:rtl w:val="0"/>
        </w:rPr>
        <w:t xml:space="preserve">Resolución del Consejo Superior N.º 2772/2011.</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Universidad de Buenos Aires. (2012).</w:t>
      </w:r>
      <w:r w:rsidDel="00000000" w:rsidR="00000000" w:rsidRPr="00000000">
        <w:rPr>
          <w:rFonts w:ascii="Times New Roman" w:cs="Times New Roman" w:eastAsia="Times New Roman" w:hAnsi="Times New Roman"/>
          <w:i w:val="1"/>
          <w:iCs w:val="1"/>
          <w:rtl w:val="0"/>
        </w:rPr>
        <w:t xml:space="preserve"> Resolución del Consejo Superior N.º 5778/2012.</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Buenos Aires. (2013).</w:t>
      </w:r>
      <w:r w:rsidDel="00000000" w:rsidR="00000000" w:rsidRPr="00000000">
        <w:rPr>
          <w:rFonts w:ascii="Times New Roman" w:cs="Times New Roman" w:eastAsia="Times New Roman" w:hAnsi="Times New Roman"/>
          <w:i w:val="1"/>
          <w:iCs w:val="1"/>
          <w:rtl w:val="0"/>
        </w:rPr>
        <w:t xml:space="preserve"> Resolución del Consejo Superior N.º 7000/2013.</w:t>
      </w:r>
      <w:r w:rsidDel="00000000" w:rsidR="00000000" w:rsidRPr="00000000">
        <w:rPr>
          <w:rtl w:val="0"/>
        </w:rPr>
      </w:r>
    </w:p>
    <w:p w:rsidR="00000000" w:rsidDel="00000000" w:rsidP="00000000" w:rsidRDefault="00000000" w:rsidRPr="00000000" w14:paraId="00000062">
      <w:pPr>
        <w:spacing w:after="120" w:before="120" w:line="360" w:lineRule="auto"/>
        <w:jc w:val="both"/>
        <w:rPr>
          <w:rFonts w:ascii="Times New Roman" w:cs="Times New Roman" w:eastAsia="Times New Roman" w:hAnsi="Times New Roman"/>
          <w:highlight w:val="cyan"/>
        </w:rPr>
      </w:pPr>
      <w:r w:rsidDel="00000000" w:rsidR="00000000" w:rsidRPr="00000000">
        <w:rPr>
          <w:rtl w:val="0"/>
        </w:rPr>
      </w:r>
    </w:p>
    <w:sectPr>
      <w:headerReference r:id="rId17" w:type="default"/>
      <w:footerReference r:id="rId1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drawing>
        <wp:inline distB="0" distT="0" distL="0" distR="0">
          <wp:extent cx="2617939" cy="109132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memoria.fahce.unlp.edu.ar/art_revistas/pr.17767/pr.17767.pdf" TargetMode="External"/><Relationship Id="rId10" Type="http://schemas.openxmlformats.org/officeDocument/2006/relationships/hyperlink" Target="https://www.memoria.fahce.unlp.edu.ar/art_revistas/pr.17767/pr.17767.pdf" TargetMode="External"/><Relationship Id="rId13" Type="http://schemas.openxmlformats.org/officeDocument/2006/relationships/hyperlink" Target="https://doi.org/10.33255/3059/688" TargetMode="External"/><Relationship Id="rId12" Type="http://schemas.openxmlformats.org/officeDocument/2006/relationships/hyperlink" Target="https://doi.org/10.33255/3059/68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ridaa.unq.edu.ar/handle/20.500.11807/908?show=full&amp;utm_source=chatgpt.com" TargetMode="External"/><Relationship Id="rId14" Type="http://schemas.openxmlformats.org/officeDocument/2006/relationships/hyperlink" Target="http://www.scielo.org.mx/scielo.php?script=sci_arttext&amp;pid=S1870-69162017000200242&amp;lng=es&amp;nrm=iso&amp;tlng=es" TargetMode="External"/><Relationship Id="rId17" Type="http://schemas.openxmlformats.org/officeDocument/2006/relationships/header" Target="header1.xml"/><Relationship Id="rId16" Type="http://schemas.openxmlformats.org/officeDocument/2006/relationships/hyperlink" Target="https://ridaa.unq.edu.ar/handle/20.500.11807/908?show=full&amp;utm_source=chatgpt.co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mailto:senejkopaula@gmail.com" TargetMode="External"/><Relationship Id="rId8" Type="http://schemas.openxmlformats.org/officeDocument/2006/relationships/hyperlink" Target="mailto:mversino@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xwKStV3akYcZQOWz8C6T5rr0Uw==">CgMxLjA4AHIhMTdsamN6Y3ZPUzdJMjVrbnVLMERheWxCUXliQTU1YUps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6d2322e3-af81-45a5-b36c-a22749e0305d</vt:lpwstr>
  </property>
</Properties>
</file>