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w:t>
      </w:r>
      <w:r w:rsidDel="00000000" w:rsidR="00000000" w:rsidRPr="00000000">
        <w:rPr>
          <w:rFonts w:ascii="Times New Roman" w:cs="Times New Roman" w:eastAsia="Times New Roman" w:hAnsi="Times New Roman"/>
          <w:b w:val="1"/>
          <w:bCs w:val="1"/>
          <w:rtl w:val="0"/>
        </w:rPr>
        <w:t xml:space="preserve">construcción</w:t>
      </w:r>
      <w:r w:rsidDel="00000000" w:rsidR="00000000" w:rsidRPr="00000000">
        <w:rPr>
          <w:rFonts w:ascii="Times New Roman" w:cs="Times New Roman" w:eastAsia="Times New Roman" w:hAnsi="Times New Roman"/>
          <w:b w:val="1"/>
          <w:bCs w:val="1"/>
          <w:rtl w:val="0"/>
        </w:rPr>
        <w:t xml:space="preserve"> de sentidos sobre la vinculación y transferencia tecnológica en las evaluaciones externas de CONEAU a universidades nacionales</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Xhardez, Veronica </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 UNTREF - NIFEDE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vxhardez@untref.edu.ar</w:t>
        </w:r>
      </w:hyperlink>
      <w:r w:rsidDel="00000000" w:rsidR="00000000" w:rsidRPr="00000000">
        <w:rPr>
          <w:rFonts w:ascii="Times New Roman" w:cs="Times New Roman" w:eastAsia="Times New Roman" w:hAnsi="Times New Roman"/>
          <w:rtl w:val="0"/>
        </w:rPr>
        <w:t xml:space="preserve"> </w:t>
        <w:br w:type="textWrapping"/>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Alvarez, Marisa </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 UNTREF - NIFEDE </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malvarez@untref.edu.ar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Paula Pérez Hernández </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Tres de Febrero UNTREF - NIFEDE </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pperezhernandez@untref.edu.ar</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El trabajo se propone analizar los sentidos construidos en torno a la vinculación y transferencia tecnológica (VTT) en los informes de evaluación externa de la Comisión Nacional de Evaluación y Acreditación Universitaria (CONEAU) a universidades nacionales, y cómo esos sentidos dialogan con las distintas etapas de las políticas públicas en educación en Argentina entre 1990 y 2025. </w:t>
      </w:r>
      <w:r w:rsidDel="00000000" w:rsidR="00000000" w:rsidRPr="00000000">
        <w:rPr>
          <w:rFonts w:ascii="Times New Roman" w:cs="Times New Roman" w:eastAsia="Times New Roman" w:hAnsi="Times New Roman"/>
          <w:rtl w:val="0"/>
        </w:rPr>
        <w:t xml:space="preserve">La investigación se inscribe en una línea de trabajo previa centrada en la evolución de las políticas nacionales de VTT, en la que se identificaron cinco etapas: (i) el ciclo neoliberal, (ii) la expansión estatal, (iii) la incorporación de agendas de innovación social y emprendedurismo, (iv) la rearticulación del sistema científico-universitario, y (v) la retracción del financiamiento público a partir de 2024. Estas etapas evidencian tensiones persistentes entre autonomía universitaria, innovación, compromiso público y sostenibilidad institucional. Se parte del supuesto de que las recomendaciones formuladas por los pares evaluadores no constituyen meras apreciaciones técnicas, sino que expresan sentidos sobre la VTT. Estos sentidos se manifiestan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en los modos en que los evaluadores nombran, valoran, jerarquizan y problematizan esta función, poniendo en juego definiciones explícitas e implícitas, criterios de legitimidad y horizontes normativos. </w:t>
      </w:r>
      <w:r w:rsidDel="00000000" w:rsidR="00000000" w:rsidRPr="00000000">
        <w:rPr>
          <w:rFonts w:ascii="Times New Roman" w:cs="Times New Roman" w:eastAsia="Times New Roman" w:hAnsi="Times New Roman"/>
          <w:rtl w:val="0"/>
        </w:rPr>
        <w:t xml:space="preserve">A su vez, se plantea que dichos sentidos se encuentran en diálogo —no exento de tensiones— </w:t>
      </w:r>
      <w:r w:rsidDel="00000000" w:rsidR="00000000" w:rsidRPr="00000000">
        <w:rPr>
          <w:rFonts w:ascii="Times New Roman" w:cs="Times New Roman" w:eastAsia="Times New Roman" w:hAnsi="Times New Roman"/>
          <w:rtl w:val="0"/>
        </w:rPr>
        <w:t xml:space="preserve">con los marcos de política pública que orientaron esta misión en las últimas décadas.</w:t>
      </w:r>
      <w:r w:rsidDel="00000000" w:rsidR="00000000" w:rsidRPr="00000000">
        <w:rPr>
          <w:rFonts w:ascii="Times New Roman" w:cs="Times New Roman" w:eastAsia="Times New Roman" w:hAnsi="Times New Roman"/>
          <w:rtl w:val="0"/>
        </w:rPr>
        <w:t xml:space="preserve"> El enfoque metodológico es cualitativo, de carácter descriptivo e interpretativo. Se estructura en tres instancias complementarias. En primer lugar, se realiza un </w:t>
      </w:r>
      <w:r w:rsidDel="00000000" w:rsidR="00000000" w:rsidRPr="00000000">
        <w:rPr>
          <w:rFonts w:ascii="Times New Roman" w:cs="Times New Roman" w:eastAsia="Times New Roman" w:hAnsi="Times New Roman"/>
          <w:rtl w:val="0"/>
        </w:rPr>
        <w:t xml:space="preserve">análisis documental de un corpus compuesto por 41 informes de evaluación </w:t>
      </w:r>
      <w:r w:rsidDel="00000000" w:rsidR="00000000" w:rsidRPr="00000000">
        <w:rPr>
          <w:rFonts w:ascii="Times New Roman" w:cs="Times New Roman" w:eastAsia="Times New Roman" w:hAnsi="Times New Roman"/>
          <w:rtl w:val="0"/>
        </w:rPr>
        <w:t xml:space="preserve">externa de CONEAU correspondientes a 32 universidades nacionales, con el objetivo de </w:t>
      </w:r>
      <w:r w:rsidDel="00000000" w:rsidR="00000000" w:rsidRPr="00000000">
        <w:rPr>
          <w:rFonts w:ascii="Times New Roman" w:cs="Times New Roman" w:eastAsia="Times New Roman" w:hAnsi="Times New Roman"/>
          <w:rtl w:val="0"/>
        </w:rPr>
        <w:t xml:space="preserve">identificar y sistematizar categorías analíticas vinculadas a los sentidos construidos sobre la VTT</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En segundo lugar, se analizan dichas categorías</w:t>
      </w:r>
      <w:r w:rsidDel="00000000" w:rsidR="00000000" w:rsidRPr="00000000">
        <w:rPr>
          <w:rFonts w:ascii="Times New Roman" w:cs="Times New Roman" w:eastAsia="Times New Roman" w:hAnsi="Times New Roman"/>
          <w:rtl w:val="0"/>
        </w:rPr>
        <w:t xml:space="preserve"> en relación con las conceptualizaciones y valoraciones presentes en las distintas etapas de las políticas públicas, examinando sus niveles de congruencia. </w:t>
      </w:r>
      <w:r w:rsidDel="00000000" w:rsidR="00000000" w:rsidRPr="00000000">
        <w:rPr>
          <w:rFonts w:ascii="Times New Roman" w:cs="Times New Roman" w:eastAsia="Times New Roman" w:hAnsi="Times New Roman"/>
          <w:rtl w:val="0"/>
        </w:rPr>
        <w:t xml:space="preserve">Finalmente, se</w:t>
      </w:r>
      <w:r w:rsidDel="00000000" w:rsidR="00000000" w:rsidRPr="00000000">
        <w:rPr>
          <w:rFonts w:ascii="Times New Roman" w:cs="Times New Roman" w:eastAsia="Times New Roman" w:hAnsi="Times New Roman"/>
          <w:rtl w:val="0"/>
        </w:rPr>
        <w:t xml:space="preserve"> revisan documentos orientadores de CONEAU y se realizan entrevistas a actores vinculados al proceso de evaluación externa –pares evaluadores, técnicos y ex-integrante de la Comisión–, </w:t>
      </w:r>
      <w:r w:rsidDel="00000000" w:rsidR="00000000" w:rsidRPr="00000000">
        <w:rPr>
          <w:rFonts w:ascii="Times New Roman" w:cs="Times New Roman" w:eastAsia="Times New Roman" w:hAnsi="Times New Roman"/>
          <w:rtl w:val="0"/>
        </w:rPr>
        <w:t xml:space="preserve">con el fin de indagar los</w:t>
      </w:r>
      <w:r w:rsidDel="00000000" w:rsidR="00000000" w:rsidRPr="00000000">
        <w:rPr>
          <w:rFonts w:ascii="Times New Roman" w:cs="Times New Roman" w:eastAsia="Times New Roman" w:hAnsi="Times New Roman"/>
          <w:rtl w:val="0"/>
        </w:rPr>
        <w:t xml:space="preserve"> criterios que orientan la evaluación de esta función. </w:t>
      </w:r>
      <w:r w:rsidDel="00000000" w:rsidR="00000000" w:rsidRPr="00000000">
        <w:rPr>
          <w:rFonts w:ascii="Times New Roman" w:cs="Times New Roman" w:eastAsia="Times New Roman" w:hAnsi="Times New Roman"/>
          <w:rtl w:val="0"/>
        </w:rPr>
        <w:t xml:space="preserve">Los resultados permiten identificar variaciones en los sentidos atribuidos a la VTT en diálogo con las orientaciones de políticas públicas, así como un proceso de progresiva consolidación de esta función en el sistema universitario. </w:t>
      </w:r>
      <w:r w:rsidDel="00000000" w:rsidR="00000000" w:rsidRPr="00000000">
        <w:rPr>
          <w:rFonts w:ascii="Times New Roman" w:cs="Times New Roman" w:eastAsia="Times New Roman" w:hAnsi="Times New Roman"/>
          <w:rtl w:val="0"/>
        </w:rPr>
        <w:t xml:space="preserve">Asimismo, se identifican tensiones recurrentes en torno a su institucionalización, los criterios de evaluación y su orientación hacia el desarrollo territorial.</w:t>
      </w:r>
    </w:p>
    <w:p w:rsidR="00000000" w:rsidDel="00000000" w:rsidP="00000000" w:rsidRDefault="00000000" w:rsidRPr="00000000" w14:paraId="00000010">
      <w:pPr>
        <w:spacing w:line="240" w:lineRule="auto"/>
        <w:jc w:val="both"/>
        <w:rPr>
          <w:rFonts w:ascii="Arial" w:cs="Arial" w:eastAsia="Arial" w:hAnsi="Arial"/>
          <w:sz w:val="22"/>
          <w:szCs w:val="22"/>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Vinculación y transferencia tecnológica, Evaluación externa, Construcción de sentido, Universidades Nacionales, Políticas Públicas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1">
      <w:pPr>
        <w:spacing w:line="240" w:lineRule="auto"/>
        <w:jc w:val="both"/>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tercera misión Universitaria ha sido conceptualizada como el conjunto de actividades mediante las cuales las universidades proyectan sus capacidades académicas, científicas y técnicas hacia actores, problemas y demandas situados por fuera del ámbito estrictamente universitario. Esta noción amplía la comprensión de las funciones universitarias más allá de la docencia y la investigación, incorporando la transferencia tecnológica, la cooperación con el sector productivo, la cooperación internacional, la extensión, la formación continua, los servicios especializados y la participación en procesos de desarrollo social y territorial (Molas-Gallart et al., 2002). Sin embargo esta categoría no es unívoca y depende de los modelos de universidad, de las características del modelo de ciencia y tecnología de un país y de las relaciones entre universidad, estado y sociedad (Castro Martínez y Vega Jurado, 2009).</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América Latina, esta función se inscribe en una tradición universitaria atravesada por la reforma universitaria, la defensa de la autonomía, la </w:t>
      </w:r>
      <w:r w:rsidDel="00000000" w:rsidR="00000000" w:rsidRPr="00000000">
        <w:rPr>
          <w:rFonts w:ascii="Times New Roman" w:cs="Times New Roman" w:eastAsia="Times New Roman" w:hAnsi="Times New Roman"/>
          <w:rtl w:val="0"/>
        </w:rPr>
        <w:t xml:space="preserve">extensión </w:t>
      </w:r>
      <w:r w:rsidDel="00000000" w:rsidR="00000000" w:rsidRPr="00000000">
        <w:rPr>
          <w:rFonts w:ascii="Times New Roman" w:cs="Times New Roman" w:eastAsia="Times New Roman" w:hAnsi="Times New Roman"/>
          <w:rtl w:val="0"/>
        </w:rPr>
        <w:t xml:space="preserve">y las demandas de democratización del conocimiento. En este marco, la tercera misión no puede ser reducida a la transferencia de resultados científicos hacia el mercado, sino que debe ser comprendida en tensión entre, por un lado, una orientación productivista asociada a la innovación, la competitividad, la universidad emprendedora y la explotación económica del conocimiento (Clark, 1998; </w:t>
      </w:r>
      <w:r w:rsidDel="00000000" w:rsidR="00000000" w:rsidRPr="00000000">
        <w:rPr>
          <w:rFonts w:ascii="Times New Roman" w:cs="Times New Roman" w:eastAsia="Times New Roman" w:hAnsi="Times New Roman"/>
          <w:rtl w:val="0"/>
        </w:rPr>
        <w:t xml:space="preserve">Etzkowitz &amp; Leydesdorff, 2000)</w:t>
      </w:r>
      <w:r w:rsidDel="00000000" w:rsidR="00000000" w:rsidRPr="00000000">
        <w:rPr>
          <w:rFonts w:ascii="Times New Roman" w:cs="Times New Roman" w:eastAsia="Times New Roman" w:hAnsi="Times New Roman"/>
          <w:rtl w:val="0"/>
        </w:rPr>
        <w:t xml:space="preserve"> y, por otro, una tradición de compromiso social que concibe a la universidad pública como actor relevante en la construcción de capacidades colectivas, la atención de problemas públicos y el desarrollo inclusivo (Arocena &amp; Sutz, 2000; </w:t>
      </w:r>
      <w:r w:rsidDel="00000000" w:rsidR="00000000" w:rsidRPr="00000000">
        <w:rPr>
          <w:rFonts w:ascii="Times New Roman" w:cs="Times New Roman" w:eastAsia="Times New Roman" w:hAnsi="Times New Roman"/>
          <w:rtl w:val="0"/>
        </w:rPr>
        <w:t xml:space="preserve">Schneider y Roca, </w:t>
      </w:r>
      <w:r w:rsidDel="00000000" w:rsidR="00000000" w:rsidRPr="00000000">
        <w:rPr>
          <w:rFonts w:ascii="Times New Roman" w:cs="Times New Roman" w:eastAsia="Times New Roman" w:hAnsi="Times New Roman"/>
          <w:rtl w:val="0"/>
        </w:rPr>
        <w:t xml:space="preserve">2018; </w:t>
      </w:r>
      <w:r w:rsidDel="00000000" w:rsidR="00000000" w:rsidRPr="00000000">
        <w:rPr>
          <w:rFonts w:ascii="Times New Roman" w:cs="Times New Roman" w:eastAsia="Times New Roman" w:hAnsi="Times New Roman"/>
          <w:rtl w:val="0"/>
        </w:rPr>
        <w:t xml:space="preserve">Tünnermann, 2000;)</w:t>
      </w:r>
      <w:r w:rsidDel="00000000" w:rsidR="00000000" w:rsidRPr="00000000">
        <w:rPr>
          <w:rFonts w:ascii="Times New Roman" w:cs="Times New Roman" w:eastAsia="Times New Roman" w:hAnsi="Times New Roman"/>
          <w:rtl w:val="0"/>
        </w:rPr>
        <w:t xml:space="preserve">. Esta coexistencia de sentidos resulta relevante para analizar los modos en que se definen y jerarquizan las actividades de la tercera misión y se producen orientaciones sobre su desarrollo. </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se considera a la vinculación y transferencia tecnológica (VTT) como una dimensión específica de la tercera misión orientada a producir, movilizar, adaptar y poner en circulación conocimientos, capacidades, tecnologías y servicios en interacción con actores externos a la universidad. Incluye relaciones con empresas y sectores productivos, pero también con organismos públicos, organizaciones sociales, gobiernos locales y comunidades territoriales. </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objetivo de esta ponencia</w:t>
      </w:r>
      <w:r w:rsidDel="00000000" w:rsidR="00000000" w:rsidRPr="00000000">
        <w:rPr>
          <w:rFonts w:ascii="Times New Roman" w:cs="Times New Roman" w:eastAsia="Times New Roman" w:hAnsi="Times New Roman"/>
          <w:rtl w:val="0"/>
        </w:rPr>
        <w:t xml:space="preserve"> es identificar y analizar los sentidos que sobre la VTT s</w:t>
      </w:r>
      <w:r w:rsidDel="00000000" w:rsidR="00000000" w:rsidRPr="00000000">
        <w:rPr>
          <w:rFonts w:ascii="Times New Roman" w:cs="Times New Roman" w:eastAsia="Times New Roman" w:hAnsi="Times New Roman"/>
          <w:rtl w:val="0"/>
        </w:rPr>
        <w:t xml:space="preserve">e construyen en los informes de evaluación externa a universidades nacionales elaborados por CONEAU y cómo esos sentidos dialogan con las distintas etapas de las políticas públicas relacionadas con VTT identificadas en una investigación anterior en Argentina entre 1990 y 2025. </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recomendaciones de los pares evaluadores sobre VTT constituyen un objeto especialmente fértil porque permiten observar cómo esta función es nombrada, valorada y problematizada por saberes expertos mediados institucionalmente, como así también </w:t>
      </w:r>
      <w:r w:rsidDel="00000000" w:rsidR="00000000" w:rsidRPr="00000000">
        <w:rPr>
          <w:rFonts w:ascii="Times New Roman" w:cs="Times New Roman" w:eastAsia="Times New Roman" w:hAnsi="Times New Roman"/>
          <w:rtl w:val="0"/>
        </w:rPr>
        <w:t xml:space="preserve">qué criterios de legitimidad se construyen en torno a la relación entre universidad y entorno</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color w:val="38761d"/>
        </w:rPr>
      </w:pP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Marco conceptual</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A">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Los sentidos de la </w:t>
      </w:r>
      <w:r w:rsidDel="00000000" w:rsidR="00000000" w:rsidRPr="00000000">
        <w:rPr>
          <w:rFonts w:ascii="Times New Roman" w:cs="Times New Roman" w:eastAsia="Times New Roman" w:hAnsi="Times New Roman"/>
          <w:i w:val="1"/>
          <w:iCs w:val="1"/>
          <w:rtl w:val="0"/>
        </w:rPr>
        <w:t xml:space="preserve">VTT y los sentidos construidos </w:t>
      </w:r>
      <w:r w:rsidDel="00000000" w:rsidR="00000000" w:rsidRPr="00000000">
        <w:rPr>
          <w:rFonts w:ascii="Times New Roman" w:cs="Times New Roman" w:eastAsia="Times New Roman" w:hAnsi="Times New Roman"/>
          <w:i w:val="1"/>
          <w:iCs w:val="1"/>
          <w:rtl w:val="0"/>
        </w:rPr>
        <w:t xml:space="preserve">en las evaluaciones</w:t>
      </w: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VTT es una dimensión de la tercera misión universitaria que se ha ido configurando históricamente, en diálogo con las transformaciones del sistema universitario, del campo científico-tecnológico y de las políticas públicas. En ese recorrido, la VTT adoptó distintos perfiles como la transferencia de conocimientos, la prestación de servicios, la movilización de capacidades académicas frente a problemas públicos, entre otros. En esta línea, este trabajo parte del reconocimiento de que la definición de la VTT es un objeto de disputas y desplazamientos o derivas de sentidos (</w:t>
      </w:r>
      <w:r w:rsidDel="00000000" w:rsidR="00000000" w:rsidRPr="00000000">
        <w:rPr>
          <w:rFonts w:ascii="Times New Roman" w:cs="Times New Roman" w:eastAsia="Times New Roman" w:hAnsi="Times New Roman"/>
          <w:rtl w:val="0"/>
        </w:rPr>
        <w:t xml:space="preserve">Estébanez, Di Bello y Versino, 2022)</w:t>
      </w:r>
      <w:r w:rsidDel="00000000" w:rsidR="00000000" w:rsidRPr="00000000">
        <w:rPr>
          <w:rFonts w:ascii="Times New Roman" w:cs="Times New Roman" w:eastAsia="Times New Roman" w:hAnsi="Times New Roman"/>
          <w:rtl w:val="0"/>
        </w:rPr>
        <w:t xml:space="preserve">, que resultan performativos respecto de los actores que desarrollan esta </w:t>
      </w:r>
      <w:r w:rsidDel="00000000" w:rsidR="00000000" w:rsidRPr="00000000">
        <w:rPr>
          <w:rFonts w:ascii="Times New Roman" w:cs="Times New Roman" w:eastAsia="Times New Roman" w:hAnsi="Times New Roman"/>
          <w:rtl w:val="0"/>
        </w:rPr>
        <w:t xml:space="preserve">misión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cualitativa e interpretativa (Vasilachis de Gialdino, 2006; Fairlough, 2006) los sentidos atribuidos a la VTT son entendidos como construcciones sociales y discursivas. La forma de nombrar una función, delimitar los problemas que atiende, valorar las prácticas y definir los criterios de su funcionamiento no son operaciones neutrales, sino modos de producir legitimidad y jerarquización </w:t>
      </w:r>
      <w:r w:rsidDel="00000000" w:rsidR="00000000" w:rsidRPr="00000000">
        <w:rPr>
          <w:rFonts w:ascii="Times New Roman" w:cs="Times New Roman" w:eastAsia="Times New Roman" w:hAnsi="Times New Roman"/>
          <w:rtl w:val="0"/>
        </w:rPr>
        <w:t xml:space="preserve">institucional</w:t>
      </w:r>
      <w:r w:rsidDel="00000000" w:rsidR="00000000" w:rsidRPr="00000000">
        <w:rPr>
          <w:rFonts w:ascii="Times New Roman" w:cs="Times New Roman" w:eastAsia="Times New Roman" w:hAnsi="Times New Roman"/>
          <w:rtl w:val="0"/>
        </w:rPr>
        <w:t xml:space="preserve"> (Bacchi, 2012; Bourdieu, 2008). De esta forma, analizar los sentidos de la VTT implica analizar cómo se construyen definiciones explícitas o implícitas sobre qué cuenta como vinculación, qué prácticas son relevantes, qué aspectos pueden definirse como debilidades y qué aspectos deben ser </w:t>
      </w:r>
      <w:r w:rsidDel="00000000" w:rsidR="00000000" w:rsidRPr="00000000">
        <w:rPr>
          <w:rFonts w:ascii="Times New Roman" w:cs="Times New Roman" w:eastAsia="Times New Roman" w:hAnsi="Times New Roman"/>
          <w:rtl w:val="0"/>
        </w:rPr>
        <w:t xml:space="preserve">mejorados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sentidos se manifiestan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en los modos en que las evaluaciones nombran, valoran, jerarquizan y problematizan esta función, poniendo en juego definiciones explícitas e implícitas, criterios de legitimidad y horizontes normativos. </w:t>
      </w:r>
      <w:r w:rsidDel="00000000" w:rsidR="00000000" w:rsidRPr="00000000">
        <w:rPr>
          <w:rFonts w:ascii="Times New Roman" w:cs="Times New Roman" w:eastAsia="Times New Roman" w:hAnsi="Times New Roman"/>
          <w:rtl w:val="0"/>
        </w:rPr>
        <w:t xml:space="preserve">Su análisis permite observar cuál es el diagnóstico que se hace, cómo se jerarquizan los problemas, qué se recomienda a la universidad; pero también cuál es la concepción que se tiene de la VTT, del conocimiento, del territorio y de la innovación que se formulan en esas recomendaciones.</w:t>
      </w: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esos sentidos no pueden interpretarse como la voz directa de los evaluadores, sino como una construcción académica mediada institucionalmente por los lineamien</w:t>
      </w:r>
      <w:r w:rsidDel="00000000" w:rsidR="00000000" w:rsidRPr="00000000">
        <w:rPr>
          <w:rFonts w:ascii="Times New Roman" w:cs="Times New Roman" w:eastAsia="Times New Roman" w:hAnsi="Times New Roman"/>
          <w:rtl w:val="0"/>
        </w:rPr>
        <w:t xml:space="preserve">tos de evaluación, el trabajo de los equipos técnicos, los formatos de los informes y la revisión de la Comisión.</w:t>
      </w:r>
    </w:p>
    <w:p w:rsidR="00000000" w:rsidDel="00000000" w:rsidP="00000000" w:rsidRDefault="00000000" w:rsidRPr="00000000" w14:paraId="0000001F">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La </w:t>
      </w:r>
      <w:r w:rsidDel="00000000" w:rsidR="00000000" w:rsidRPr="00000000">
        <w:rPr>
          <w:rFonts w:ascii="Times New Roman" w:cs="Times New Roman" w:eastAsia="Times New Roman" w:hAnsi="Times New Roman"/>
          <w:i w:val="1"/>
          <w:iCs w:val="1"/>
          <w:rtl w:val="0"/>
        </w:rPr>
        <w:t xml:space="preserve">evaluación de la educación superior y el rol de CONEAU</w:t>
      </w: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evaluación de la educación superior adquirió centralidad en América Latina a partir de la década de 1980 en el marco de las reformas del Estado y la difusión de los principios asociados a la Nueva Gestión Pública (Hill y Laurence, 2004; López, 2005, 2007). La preocupación por la calidad, la rendición de cuentas, la eficiencia institucional y la regulación de sistemas universitarios crecientemente diversificados dio lugar a la creación de agencias, procedimientos e instrumentos orientados al aseguramiento de la calidad. La evaluación </w:t>
      </w:r>
      <w:r w:rsidDel="00000000" w:rsidR="00000000" w:rsidRPr="00000000">
        <w:rPr>
          <w:rFonts w:ascii="Times New Roman" w:cs="Times New Roman" w:eastAsia="Times New Roman" w:hAnsi="Times New Roman"/>
          <w:rtl w:val="0"/>
        </w:rPr>
        <w:t xml:space="preserve">pasó</w:t>
      </w:r>
      <w:r w:rsidDel="00000000" w:rsidR="00000000" w:rsidRPr="00000000">
        <w:rPr>
          <w:rFonts w:ascii="Times New Roman" w:cs="Times New Roman" w:eastAsia="Times New Roman" w:hAnsi="Times New Roman"/>
          <w:rtl w:val="0"/>
        </w:rPr>
        <w:t xml:space="preserve"> a ocupar un lugar estratégico en la relación universidad/sociedad, atravesada por distintas concepciones acerca del sentido social de la universidad (Dias Sobrinho, 2003) y su mejoramiento (Marquina, 2107), en un marco de </w:t>
      </w:r>
      <w:r w:rsidDel="00000000" w:rsidR="00000000" w:rsidRPr="00000000">
        <w:rPr>
          <w:rFonts w:ascii="Times New Roman" w:cs="Times New Roman" w:eastAsia="Times New Roman" w:hAnsi="Times New Roman"/>
          <w:rtl w:val="0"/>
        </w:rPr>
        <w:t xml:space="preserve">disputa</w:t>
      </w:r>
      <w:r w:rsidDel="00000000" w:rsidR="00000000" w:rsidRPr="00000000">
        <w:rPr>
          <w:rFonts w:ascii="Times New Roman" w:cs="Times New Roman" w:eastAsia="Times New Roman" w:hAnsi="Times New Roman"/>
          <w:rtl w:val="0"/>
        </w:rPr>
        <w:t xml:space="preserve"> sobre la autonomía.</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este proceso se institucionalizó con la sanción de la Ley de Educación Superior 24521/1995. En ella se establece la evaluación y acreditación de universidades y carreras, y la creación de la Comisión Nacional de Evaluación y Acreditación Universitaria (CONEAU) como </w:t>
      </w:r>
      <w:r w:rsidDel="00000000" w:rsidR="00000000" w:rsidRPr="00000000">
        <w:rPr>
          <w:rFonts w:ascii="Times New Roman" w:cs="Times New Roman" w:eastAsia="Times New Roman" w:hAnsi="Times New Roman"/>
          <w:rtl w:val="0"/>
        </w:rPr>
        <w:t xml:space="preserve">organismo responsable </w:t>
      </w:r>
      <w:r w:rsidDel="00000000" w:rsidR="00000000" w:rsidRPr="00000000">
        <w:rPr>
          <w:rFonts w:ascii="Times New Roman" w:cs="Times New Roman" w:eastAsia="Times New Roman" w:hAnsi="Times New Roman"/>
          <w:rtl w:val="0"/>
        </w:rPr>
        <w:t xml:space="preserve">de las evaluaciones externas y acreditación de carreras del Art.43, de posgrado y viabilidad institucional para nuevos proyectos. </w:t>
      </w:r>
    </w:p>
    <w:p w:rsidR="00000000" w:rsidDel="00000000" w:rsidP="00000000" w:rsidRDefault="00000000" w:rsidRPr="00000000" w14:paraId="00000022">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Diversos estudios coinciden en que las evaluaciones externas de CONEAU producen efectos sobre las formas de organización y gestión universitaria y sus prioridades institucionales. En particular, Marquina (2017) considera que las recomendaciones no operan únicamente como señalamientos técnicos, sino como dispositivos que orientan lo que se debe revisar, fortalecer o formalizar. </w:t>
      </w:r>
      <w:r w:rsidDel="00000000" w:rsidR="00000000" w:rsidRPr="00000000">
        <w:rPr>
          <w:rFonts w:ascii="Times New Roman" w:cs="Times New Roman" w:eastAsia="Times New Roman" w:hAnsi="Times New Roman"/>
          <w:rtl w:val="0"/>
        </w:rPr>
        <w:t xml:space="preserve">Marquina et al. (2022</w:t>
      </w:r>
      <w:r w:rsidDel="00000000" w:rsidR="00000000" w:rsidRPr="00000000">
        <w:rPr>
          <w:rFonts w:ascii="Times New Roman" w:cs="Times New Roman" w:eastAsia="Times New Roman" w:hAnsi="Times New Roman"/>
          <w:rtl w:val="0"/>
        </w:rPr>
        <w:t xml:space="preserve">) muestran que, luego de más de dos décadas de implementación de políticas de aseguramiento de la calidad, las universidades argentinas incorporaron áreas, roles y saberes específicos vinculados con la evaluación y la acreditación, lo que reconfiguró parcialmente la vida institucional y contribuyó tanto a procesos de mejora como a dinámicas de burocratización. Salinas (2024), por su parte, señala que las recomendaciones derivadas de las evaluaciones institucionales suelen concentrarse en aspectos de organización institucional y aspectos de gestión, el fortalecimiento de la investigació</w:t>
      </w:r>
      <w:r w:rsidDel="00000000" w:rsidR="00000000" w:rsidRPr="00000000">
        <w:rPr>
          <w:rFonts w:ascii="Times New Roman" w:cs="Times New Roman" w:eastAsia="Times New Roman" w:hAnsi="Times New Roman"/>
          <w:highlight w:val="white"/>
          <w:rtl w:val="0"/>
        </w:rPr>
        <w:t xml:space="preserve">n y la gestión de la extensión. En el caso específico de la tercera misión, Gómez Arn (2019) sostiene que la evaluación institucional contribuyó a visibilizar esta función como dimensión organizacional, promoviendo su planificación, documentación, articulación con otras funciones universitarias y</w:t>
      </w:r>
      <w:r w:rsidDel="00000000" w:rsidR="00000000" w:rsidRPr="00000000">
        <w:rPr>
          <w:rFonts w:ascii="Times New Roman" w:cs="Times New Roman" w:eastAsia="Times New Roman" w:hAnsi="Times New Roman"/>
          <w:rtl w:val="0"/>
        </w:rPr>
        <w:t xml:space="preserve"> discusión en torno a su calidad y pertinencia. </w:t>
      </w:r>
    </w:p>
    <w:p w:rsidR="00000000" w:rsidDel="00000000" w:rsidP="00000000" w:rsidRDefault="00000000" w:rsidRPr="00000000" w14:paraId="00000023">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consecuencia, las evaluaciones externas pueden ser entendidas como instrumentos con efectos performativos: no solo verifican condiciones existentes, sino que también contribuyen a estabilizar criterios, jerarquizar funciones y orientar procesos de institucionalización dentro de las universidades.</w:t>
      </w:r>
      <w:r w:rsidDel="00000000" w:rsidR="00000000" w:rsidRPr="00000000">
        <w:rPr>
          <w:rtl w:val="0"/>
        </w:rPr>
      </w:r>
    </w:p>
    <w:p w:rsidR="00000000" w:rsidDel="00000000" w:rsidP="00000000" w:rsidRDefault="00000000" w:rsidRPr="00000000" w14:paraId="00000024">
      <w:pPr>
        <w:spacing w:line="240" w:lineRule="auto"/>
        <w:ind w:left="0"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Antecedentes y construcción analítica de la periodización de políticas de CYT</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se adelantó, en investigaciones anteriores (Álvarez, Grandoli y Xhardez, 2025; </w:t>
      </w:r>
      <w:r w:rsidDel="00000000" w:rsidR="00000000" w:rsidRPr="00000000">
        <w:rPr>
          <w:rFonts w:ascii="Times New Roman" w:cs="Times New Roman" w:eastAsia="Times New Roman" w:hAnsi="Times New Roman"/>
          <w:rtl w:val="0"/>
        </w:rPr>
        <w:t xml:space="preserve">2026 en </w:t>
      </w:r>
      <w:r w:rsidDel="00000000" w:rsidR="00000000" w:rsidRPr="00000000">
        <w:rPr>
          <w:rFonts w:ascii="Times New Roman" w:cs="Times New Roman" w:eastAsia="Times New Roman" w:hAnsi="Times New Roman"/>
          <w:rtl w:val="0"/>
        </w:rPr>
        <w:t xml:space="preserve">evaluación) caracterizamos etapas construidas a partir de un relevamiento de políticas a través de leyes, decretos, programas, instrumentos de financiamiento y entrevistas a especialistas. </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El ciclo neoliberal (1990-2002)</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período estuvo marcado por las reformas neoliberales con una fuerte reducción del gasto público. En esta línea, se alentó a la creación de más de 20 universidades privadas e institutos no universitarios y se crearon 11 universidades públicas a lo largo del país para generar competitividad. Se consolidaron instrumentos orientados a la vinculación tecnológica y la transferencia hacia el sector productivo, como las UVT, el FONTAR y la ANPCyT, promoviendo una lógica de competitividad e innovación asociada al mercado.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rtl w:val="0"/>
        </w:rPr>
        <w:t xml:space="preserve">ambién habilitó una agenda de adopción de mecanismos de evaluación, acreditación y resultados cuantificables como indicadores de calidad mediante la sanción de la Ley de Educación Superior. </w:t>
      </w:r>
      <w:r w:rsidDel="00000000" w:rsidR="00000000" w:rsidRPr="00000000">
        <w:rPr>
          <w:rFonts w:ascii="Times New Roman" w:cs="Times New Roman" w:eastAsia="Times New Roman" w:hAnsi="Times New Roman"/>
          <w:rtl w:val="0"/>
        </w:rPr>
        <w:t xml:space="preserve">Esta normativa reconoce la autonomía de las universidades públicas y establece ciertos mecanismos de regulación del sistema.</w:t>
      </w:r>
      <w:r w:rsidDel="00000000" w:rsidR="00000000" w:rsidRPr="00000000">
        <w:rPr>
          <w:rFonts w:ascii="Times New Roman" w:cs="Times New Roman" w:eastAsia="Times New Roman" w:hAnsi="Times New Roman"/>
          <w:rtl w:val="0"/>
        </w:rPr>
        <w:t xml:space="preserve"> También habilitó el cobro de aranceles a las carreras de posgrados y </w:t>
      </w:r>
      <w:r w:rsidDel="00000000" w:rsidR="00000000" w:rsidRPr="00000000">
        <w:rPr>
          <w:rFonts w:ascii="Times New Roman" w:cs="Times New Roman" w:eastAsia="Times New Roman" w:hAnsi="Times New Roman"/>
          <w:rtl w:val="0"/>
        </w:rPr>
        <w:t xml:space="preserve">fomentó</w:t>
      </w:r>
      <w:r w:rsidDel="00000000" w:rsidR="00000000" w:rsidRPr="00000000">
        <w:rPr>
          <w:rFonts w:ascii="Times New Roman" w:cs="Times New Roman" w:eastAsia="Times New Roman" w:hAnsi="Times New Roman"/>
          <w:rtl w:val="0"/>
        </w:rPr>
        <w:t xml:space="preserve"> la generación de mecanismos para recaudar dinero a través de la venta de servicios con una lógica de eficiencia. </w:t>
      </w:r>
      <w:r w:rsidDel="00000000" w:rsidR="00000000" w:rsidRPr="00000000">
        <w:rPr>
          <w:rFonts w:ascii="Times New Roman" w:cs="Times New Roman" w:eastAsia="Times New Roman" w:hAnsi="Times New Roman"/>
          <w:rtl w:val="0"/>
        </w:rPr>
        <w:t xml:space="preserve">En paralelo, la extensión sociocomunitaria se mantuvo con menor apoyo institucional y sostenida muchas veces por iniciativas de docentes y estudiantes.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La expansión estatal (2003-2015)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segunda etapa se caracterizó por un mayor protagonismo del Estado en la planificación y financiamiento de la educación superior y del sistema científico-tecnológico. Se sancionan la ley de Educación Nacional, que entre otras cosas, fija el 6% del PBI destinado al presupuesto educativo y la “ley </w:t>
      </w:r>
      <w:r w:rsidDel="00000000" w:rsidR="00000000" w:rsidRPr="00000000">
        <w:rPr>
          <w:rFonts w:ascii="Times New Roman" w:cs="Times New Roman" w:eastAsia="Times New Roman" w:hAnsi="Times New Roman"/>
          <w:rtl w:val="0"/>
        </w:rPr>
        <w:t xml:space="preserve">Puiggrós”</w:t>
      </w:r>
      <w:r w:rsidDel="00000000" w:rsidR="00000000" w:rsidRPr="00000000">
        <w:rPr>
          <w:rFonts w:ascii="Times New Roman" w:cs="Times New Roman" w:eastAsia="Times New Roman" w:hAnsi="Times New Roman"/>
          <w:rtl w:val="0"/>
        </w:rPr>
        <w:t xml:space="preserve">, la cual prohíbe el arancelamiento en carreras de grado en universidades públicas, define el acceso como libre e irrestricto y modifica los artículos de la LES que habilitaban el cobro de arancele</w:t>
      </w: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expandieron las universidades nacionales inaugurándose 17 a lo largo del territorio nacional, se fortalecieron las políticas inclusivas y se promovieron programas de extensión, vinculación y desarrollo territorial. Al mismo tiempo, se profundizó la institucionalización de la vinculación tecnológica mediante programas de fortalecimiento de capacidades y proyectos orientados a la resolución de problemas sociales y productivos. La tercera misión adquirió así un carácter más amplio, articulando innovación, desarrollo e inclusión social. Se destaca especialmente la creación del Ministerio de Ciencia, Tecnología e Innovación Productiva en 2007 que constituyó un hito en la institucionalización de la política científica y tecnológica. Este ministerio impulsó programas de vinculación, investigación aplicada y desarrollo tecnológico en una escala mayor que en períodos anteriores.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La incorporación de agendas de innovación social y emprendedurismo (</w:t>
      </w:r>
      <w:r w:rsidDel="00000000" w:rsidR="00000000" w:rsidRPr="00000000">
        <w:rPr>
          <w:rFonts w:ascii="Times New Roman" w:cs="Times New Roman" w:eastAsia="Times New Roman" w:hAnsi="Times New Roman"/>
          <w:rtl w:val="0"/>
        </w:rPr>
        <w:t xml:space="preserve">2016</w:t>
      </w:r>
      <w:r w:rsidDel="00000000" w:rsidR="00000000" w:rsidRPr="00000000">
        <w:rPr>
          <w:rFonts w:ascii="Times New Roman" w:cs="Times New Roman" w:eastAsia="Times New Roman" w:hAnsi="Times New Roman"/>
          <w:rtl w:val="0"/>
        </w:rPr>
        <w:t xml:space="preserve">- 2019)</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etapa coexistieron continuidades con nuevas agendas centradas en la innovación social, el emprendedurismo y la medición del impacto de programas y proyectos. Se mantuvieron programas de articulación universidad–sociedad, aunque incorporando enfoques vinculados con la eficiencia, las competencias emprendedoras y la producción de resultados verificables. La vinculación tecnológica y la cultura emprendedora buscaron reforzar una orientación hacia la innovación y el mercado, mientras persistían tensiones respecto del lugar de la extensión crítica y del compromiso social universitario.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2017, se sancionó la Ley de Apoyo al Capital Emprendedor (Ley 27.349), la cual facilitó la creación de empresas en 24 horas (sociedades por acciones </w:t>
      </w:r>
      <w:r w:rsidDel="00000000" w:rsidR="00000000" w:rsidRPr="00000000">
        <w:rPr>
          <w:rFonts w:ascii="Times New Roman" w:cs="Times New Roman" w:eastAsia="Times New Roman" w:hAnsi="Times New Roman"/>
          <w:rtl w:val="0"/>
        </w:rPr>
        <w:t xml:space="preserve">simplificadas</w:t>
      </w:r>
      <w:r w:rsidDel="00000000" w:rsidR="00000000" w:rsidRPr="00000000">
        <w:rPr>
          <w:rFonts w:ascii="Times New Roman" w:cs="Times New Roman" w:eastAsia="Times New Roman" w:hAnsi="Times New Roman"/>
          <w:rtl w:val="0"/>
        </w:rPr>
        <w:t xml:space="preserve">) y reguló las plataformas de financiamiento colectivo. En ese marco, l</w:t>
      </w:r>
      <w:r w:rsidDel="00000000" w:rsidR="00000000" w:rsidRPr="00000000">
        <w:rPr>
          <w:rFonts w:ascii="Times New Roman" w:cs="Times New Roman" w:eastAsia="Times New Roman" w:hAnsi="Times New Roman"/>
          <w:rtl w:val="0"/>
        </w:rPr>
        <w:t xml:space="preserve">as Oficinas de Vinculación Tecnológica (OVT) de las universidades orientaron sus esfuerzos para pasar de ser prestadoras de servicios tecnológicos tradicionales a incubadoras de Startups y </w:t>
      </w:r>
      <w:r w:rsidDel="00000000" w:rsidR="00000000" w:rsidRPr="00000000">
        <w:rPr>
          <w:rFonts w:ascii="Times New Roman" w:cs="Times New Roman" w:eastAsia="Times New Roman" w:hAnsi="Times New Roman"/>
          <w:rtl w:val="0"/>
        </w:rPr>
        <w:t xml:space="preserve">Spin Offs</w:t>
      </w:r>
      <w:r w:rsidDel="00000000" w:rsidR="00000000" w:rsidRPr="00000000">
        <w:rPr>
          <w:rFonts w:ascii="Times New Roman" w:cs="Times New Roman" w:eastAsia="Times New Roman" w:hAnsi="Times New Roman"/>
          <w:rtl w:val="0"/>
        </w:rPr>
        <w:t xml:space="preserve"> académicas, incentivando a los investigadores a convertirse en emprendedores </w:t>
      </w:r>
      <w:r w:rsidDel="00000000" w:rsidR="00000000" w:rsidRPr="00000000">
        <w:rPr>
          <w:rFonts w:ascii="Times New Roman" w:cs="Times New Roman" w:eastAsia="Times New Roman" w:hAnsi="Times New Roman"/>
          <w:rtl w:val="0"/>
        </w:rPr>
        <w:t xml:space="preserve">tecnológicos</w:t>
      </w:r>
      <w:r w:rsidDel="00000000" w:rsidR="00000000" w:rsidRPr="00000000">
        <w:rPr>
          <w:rFonts w:ascii="Times New Roman" w:cs="Times New Roman" w:eastAsia="Times New Roman" w:hAnsi="Times New Roman"/>
          <w:rtl w:val="0"/>
        </w:rPr>
        <w:t xml:space="preserve"> (Casali, 2025).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La rearticulación del sistema científico-universitario (2020-2023)</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período estuvo marcado por una fuerte reactivación del papel del Estado en el financiamiento y articulación de políticas de vinculación universidad–entorno, en un contexto atravesado por la crisis sanitaria y la necesidad de fortalecer capacidades científico-tecnológicas para la resolución de problemas públicos.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políticas impulsadas desde la SPU, el Ministerio de Ciencia y otros organismos nacionales promovieron proyectos de extensión, vinculación tecnológica, desarrollo territorial e innovación social, reforzando la articulación entre universidades, gobiernos locales, organizaciones sociales y sectores productivos. Al mismo tiempo, se consolidaron estructuras institucionales de transferencia y gestión de la innovación profundizando una lógica de movilización del conocimiento orientada al impacto social y productivo. En 2021, se promulgó la Ley 27.614 de Financiamiento del Sistema Nacional de Ciencia, Tecnología e Innovación que buscó financiar proyectos de transferencia orientados a sectores estratégicos donde las universidades actuaban como co-solicitantes obligatorias junto a PyMEs o cooperativas. A diferencia del período anterior, mediante políticas universitarias se fomentó la creación de Empresas de Base Tecnológica (EBT) nacidas dentro de las universidades. La universidad fue concebida como un actor estratégico para el desarrollo territorial, la inclusión y la generación de capacidades de respuesta frente a problemáticas sociales y sanitarias, aunque los últimos años del período el presupuesto universitario ya se encontraba en riesgo por la alta inflación. </w:t>
      </w:r>
      <w:r w:rsidDel="00000000" w:rsidR="00000000" w:rsidRPr="00000000">
        <w:rPr>
          <w:rFonts w:ascii="Times New Roman" w:cs="Times New Roman" w:eastAsia="Times New Roman" w:hAnsi="Times New Roman"/>
          <w:highlight w:val="white"/>
          <w:rtl w:val="0"/>
        </w:rPr>
        <w:t xml:space="preserve">La inversión no logró superar la del gobierno anterior. Durante 2021 y 2022, la promesa permaneció demorada, con escasos avances en las medidas necesarias para cumplirla. Al finalizar el mandato, fue considerada incumplida: aunque se registraron algunas mejoras, resultaron insuficientes.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La retracción del financiamiento público a partir de 2024.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etapa está caracterizada por un escenario de fuerte retracción del financiamiento público nacional destinado al sistema universitario y científico-tecnológico, que pone en juego la sostenibilidad de las políticas de vinculación y transferencia desarrolladas en las décadas previas. A</w:t>
      </w:r>
      <w:r w:rsidDel="00000000" w:rsidR="00000000" w:rsidRPr="00000000">
        <w:rPr>
          <w:rFonts w:ascii="Times New Roman" w:cs="Times New Roman" w:eastAsia="Times New Roman" w:hAnsi="Times New Roman"/>
          <w:rtl w:val="0"/>
        </w:rPr>
        <w:t xml:space="preserve">unque se mantienen parcialmente estructuras institucionales, programas y capacidades </w:t>
      </w:r>
      <w:r w:rsidDel="00000000" w:rsidR="00000000" w:rsidRPr="00000000">
        <w:rPr>
          <w:rFonts w:ascii="Times New Roman" w:cs="Times New Roman" w:eastAsia="Times New Roman" w:hAnsi="Times New Roman"/>
          <w:rtl w:val="0"/>
        </w:rPr>
        <w:t xml:space="preserve">construidas anteriormente, las políticas recientes muestran una reducción de convocatorias, incertidumbre presupuestaria (con ejemplos de falta de pago a proyectos con presupuesto ya asignado) y una creciente presión hacia esquemas de autosustentabilidad, articulación con actores privados y búsqueda de financiamiento externo. </w:t>
      </w:r>
      <w:r w:rsidDel="00000000" w:rsidR="00000000" w:rsidRPr="00000000">
        <w:rPr>
          <w:rFonts w:ascii="Times New Roman" w:cs="Times New Roman" w:eastAsia="Times New Roman" w:hAnsi="Times New Roman"/>
          <w:rtl w:val="0"/>
        </w:rPr>
        <w:t xml:space="preserve">La transferencia tecnológica se desplaza de una perspectiva asociada con la soberanía y el desarrollo hacia una lógica orientada a captar fondos privados para sostener la investigación. En este contexto, las universidades refuerzan estrategias de vinculación y cooperación para preservar sus capacidades, mientras se reabren debates sobre la autonomía universitaria, el financiamiento estatal y el equilibrio entre innovación, transferencia y compromiso social.</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color w:val="38761d"/>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color w:val="38761d"/>
        </w:rPr>
      </w:pPr>
      <w:r w:rsidDel="00000000" w:rsidR="00000000" w:rsidRPr="00000000">
        <w:rPr>
          <w:rFonts w:ascii="Times New Roman" w:cs="Times New Roman" w:eastAsia="Times New Roman" w:hAnsi="Times New Roman"/>
          <w:b w:val="1"/>
          <w:bCs w:val="1"/>
          <w:rtl w:val="0"/>
        </w:rPr>
        <w:t xml:space="preserve">Abordaje metodológico </w:t>
      </w:r>
      <w:r w:rsidDel="00000000" w:rsidR="00000000" w:rsidRPr="00000000">
        <w:rPr>
          <w:rtl w:val="0"/>
        </w:rPr>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se desarrolló desde un enfoque cualitativo, de carácter descriptivo e interpretativo, articulado en tres instancias complementarias de producción y análisis de información. </w:t>
      </w:r>
    </w:p>
    <w:p w:rsidR="00000000" w:rsidDel="00000000" w:rsidP="00000000" w:rsidRDefault="00000000" w:rsidRPr="00000000" w14:paraId="0000003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se realizó un análisis documental de un corpus compuesto por 41 informes de evaluación externa elaborados por la CONEAU entre 1998 y 2025, correspondientes a 32 universidades nacionales. A partir de estos documentos se identificaron y sistematizaron manualmente 150 recomendaciones referidas a la vinculación y transferencia tecnológica (VTT) o, de manera más general, a la extensión universitaria, concepto utilizado en los informes para referirse a la tercera misión. </w:t>
      </w:r>
    </w:p>
    <w:p w:rsidR="00000000" w:rsidDel="00000000" w:rsidP="00000000" w:rsidRDefault="00000000" w:rsidRPr="00000000" w14:paraId="0000003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Complementariamente, se analizaron los principales documentos orientadores de la evaluación institucional —</w:t>
      </w:r>
      <w:r w:rsidDel="00000000" w:rsidR="00000000" w:rsidRPr="00000000">
        <w:rPr>
          <w:rFonts w:ascii="Times New Roman" w:cs="Times New Roman" w:eastAsia="Times New Roman" w:hAnsi="Times New Roman"/>
          <w:rtl w:val="0"/>
        </w:rPr>
        <w:t xml:space="preserve">los </w:t>
      </w:r>
      <w:r w:rsidDel="00000000" w:rsidR="00000000" w:rsidRPr="00000000">
        <w:rPr>
          <w:rFonts w:ascii="Times New Roman" w:cs="Times New Roman" w:eastAsia="Times New Roman" w:hAnsi="Times New Roman"/>
          <w:i w:val="1"/>
          <w:iCs w:val="1"/>
          <w:rtl w:val="0"/>
        </w:rPr>
        <w:t xml:space="preserve">Lineamientos para la evaluación institucional</w:t>
      </w:r>
      <w:r w:rsidDel="00000000" w:rsidR="00000000" w:rsidRPr="00000000">
        <w:rPr>
          <w:rFonts w:ascii="Times New Roman" w:cs="Times New Roman" w:eastAsia="Times New Roman" w:hAnsi="Times New Roman"/>
          <w:rtl w:val="0"/>
        </w:rPr>
        <w:t xml:space="preserve"> (1998) y la Resolución CONEAU Nº 382/2011</w:t>
      </w:r>
      <w:r w:rsidDel="00000000" w:rsidR="00000000" w:rsidRPr="00000000">
        <w:rPr>
          <w:rFonts w:ascii="Times New Roman" w:cs="Times New Roman" w:eastAsia="Times New Roman" w:hAnsi="Times New Roman"/>
          <w:rtl w:val="0"/>
        </w:rPr>
        <w:t xml:space="preserve">— y se realizaron entrevistas semiestructuradas a cinco informantes clave (un par evaluador, tres técnicos de CONEAU y un exintegrante de la comisión), con el propósito de comprender los criterios y mecanismos que orientan la formulación de las recomendaciones durante los procesos de evaluación externa.</w:t>
      </w:r>
    </w:p>
    <w:p w:rsidR="00000000" w:rsidDel="00000000" w:rsidP="00000000" w:rsidRDefault="00000000" w:rsidRPr="00000000" w14:paraId="0000003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una segunda instancia se construyó una matriz analítica para la codificación del corpus. Para ello se recuperó la periodización de las políticas nacionales de vinculación universidad-entorno desarrollada por Álvarez, Grandoli y Xhardez (2025), y se identificó –para cada etapa– un conjunto de </w:t>
      </w:r>
      <w:r w:rsidDel="00000000" w:rsidR="00000000" w:rsidRPr="00000000">
        <w:rPr>
          <w:rFonts w:ascii="Times New Roman" w:cs="Times New Roman" w:eastAsia="Times New Roman" w:hAnsi="Times New Roman"/>
          <w:rtl w:val="0"/>
        </w:rPr>
        <w:t xml:space="preserve">criterios predominantes </w:t>
      </w:r>
      <w:r w:rsidDel="00000000" w:rsidR="00000000" w:rsidRPr="00000000">
        <w:rPr>
          <w:rFonts w:ascii="Times New Roman" w:cs="Times New Roman" w:eastAsia="Times New Roman" w:hAnsi="Times New Roman"/>
          <w:rtl w:val="0"/>
        </w:rPr>
        <w:t xml:space="preserve">derivados del análisis de normativa, instrumentos de política, programas de financiamiento y antecedentes de investigación sobre la evolución de la tercera misión universitaria, la vinculación tecnológica y la transferencia de conocimientos en la Argentina (véase Anexo). Sobre esta base se elaboró una taxonomía deductivo-interpretativa integrada por seis dimensiones analíticas: i) gobernanza e institucionalización; ii) vinculación y transferencia; iii) extensión y compromiso social; iv) articulación de funciones universitarias; v) redes y comunicación; y vi) innovación y desarrollo. Con esta taxonomía, cada recomendación fue clasificada hasta con cinco categorías analíticas ordenadas según su relevancia.</w:t>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el análisis combinó dos estrategias complementarias. Por un lado, se realizó un análisis interpretativo del discurso, entendiendo las recomendaciones formuladas por los pares evaluadores como prácticas discursivas y situadas que condensan juicios expertos, criterios de legitimidad y concepciones sobre la función de la VTT. Por otro lado, se desarrolló el análisis del corpus utilizando la matriz de codificación elaborada, contrastando el contenido de cada recomendación con los criterios específicos del período histórico correspondiente a la fecha del informe. Este procedimiento permitió estimar el grado de afinidad entre las recomendaciones y las orientaciones predominantes de las políticas públicas de cada etapa, asignando un nivel de adecuación (muy alto, alto, medio, bajo o muy bajo) según su consistencia con los objetivos, instrumentos y discursos característicos de cada período.</w:t>
      </w:r>
    </w:p>
    <w:p w:rsidR="00000000" w:rsidDel="00000000" w:rsidP="00000000" w:rsidRDefault="00000000" w:rsidRPr="00000000" w14:paraId="0000003B">
      <w:pPr>
        <w:spacing w:line="240" w:lineRule="auto"/>
        <w:jc w:val="both"/>
        <w:rPr>
          <w:rFonts w:ascii="Times New Roman" w:cs="Times New Roman" w:eastAsia="Times New Roman" w:hAnsi="Times New Roman"/>
          <w:color w:val="38761d"/>
        </w:rPr>
      </w:pP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Ambos métodos de análisis (interpretación del discurso y entrevistas, y análisis sistemático de las recomendaciones a través de categorías) aportaron al proceso de interpretación de los sentidos que se le otorgan a la VTT en las evaluaciones de CONEAU, tensionados por el modo en que dichas recomendaciones son producidas. De acuerdo a las entrevistas realizadas, los informes de evaluación externa no se constituyen solamente de la compilación de observaciones y recomendaciones individuales de los pares evaluadores, sino que son el resultado de un proceso institucional regulado, en el que intervienen distintos actores, documentos, criterios y mediaciones. Por ello, antes de analizar los sentidos de la VTT en las recomendaciones, resulta necesario reconstruir brevemente el proceso de evaluación externa y el rol que desempeñan los pares evaluadores, los equipos técnicos, la propia Comisión como las regulaciones y dispositivos que contribuyen a la construcción del informe de evaluación.</w:t>
      </w:r>
    </w:p>
    <w:p w:rsidR="00000000" w:rsidDel="00000000" w:rsidP="00000000" w:rsidRDefault="00000000" w:rsidRPr="00000000" w14:paraId="0000003E">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Funcionamiento y normativa de CONEAU</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l funcionamiento de CONEAU se apoya en una arquitectura institucional que articula el trabajo de la Comisión, los equipos técnicos y los comités de pares evaluadores. Estos pares –docentes, investigadores y gestores con trayectoria reconocida– son convocados para examinar dimensiones específicas de las instituciones </w:t>
      </w:r>
      <w:r w:rsidDel="00000000" w:rsidR="00000000" w:rsidRPr="00000000">
        <w:rPr>
          <w:rFonts w:ascii="Times New Roman" w:cs="Times New Roman" w:eastAsia="Times New Roman" w:hAnsi="Times New Roman"/>
          <w:rtl w:val="0"/>
        </w:rPr>
        <w:t xml:space="preserve">o carreras </w:t>
      </w:r>
      <w:r w:rsidDel="00000000" w:rsidR="00000000" w:rsidRPr="00000000">
        <w:rPr>
          <w:rFonts w:ascii="Times New Roman" w:cs="Times New Roman" w:eastAsia="Times New Roman" w:hAnsi="Times New Roman"/>
          <w:rtl w:val="0"/>
        </w:rPr>
        <w:t xml:space="preserve">sometidas a evaluación. Los equipos técnicos acompañan el proceso, organizan la información, sostienen el vínculo operativo con las instituciones y contribuyen a sostener criterios comunes de análisis. Los miembros de la Comisión, por su parte, intervienen en la aprobación de dictámenes e informes finales. Este entramado configura un modelo de evaluación</w:t>
      </w:r>
      <w:r w:rsidDel="00000000" w:rsidR="00000000" w:rsidRPr="00000000">
        <w:rPr>
          <w:rFonts w:ascii="Times New Roman" w:cs="Times New Roman" w:eastAsia="Times New Roman" w:hAnsi="Times New Roman"/>
          <w:rtl w:val="0"/>
        </w:rPr>
        <w:t xml:space="preserve"> de carácter híbrido</w:t>
      </w:r>
      <w:r w:rsidDel="00000000" w:rsidR="00000000" w:rsidRPr="00000000">
        <w:rPr>
          <w:rFonts w:ascii="Times New Roman" w:cs="Times New Roman" w:eastAsia="Times New Roman" w:hAnsi="Times New Roman"/>
          <w:rtl w:val="0"/>
        </w:rPr>
        <w:t xml:space="preserve">: se trata de una política pública estatal, pero fuertemente mediada por saberes académicos y por la participación activa del propio sistema universitario en el examen de sus instituciones (Mazzeo et al., 2026).</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instrumentos centrales de la evaluación institucional son la autoevaluación y la construcción del informe de evaluación externa con recomendaciones a partir del análisis del informe de autoevaluación, las visitas de pares, las entrevistas con actores institucionales, el análisis documental y los informes técnicos. </w:t>
      </w:r>
    </w:p>
    <w:p w:rsidR="00000000" w:rsidDel="00000000" w:rsidP="00000000" w:rsidRDefault="00000000" w:rsidRPr="00000000" w14:paraId="00000041">
      <w:pPr>
        <w:spacing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El proceso de evaluación externa y la construcción de las recomendaciones </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Resolución 94/1997, CONEAU definió los Lineamientos para la evaluación institucional, en los que define el sentido, los principios y etapas de la evaluación institucional, como proceso de mejoramiento institucional en el marco de la autonomía universitaria. En ese documento, que es el marco para las evaluaciones hasta la primera década del Siglo XXI, la tercera misión es reconocida en términos genéricos como “extensión, producción de tecnología y transferencia”, donde estas actividades deben ser adecuadas a las expectativas de la comunidad universitaria y responder a las demandas de la sociedad, sin definir criterios específicos para evaluar su institucionalización y funcionamiento. </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Resolución 382/2011 estableció criterios y procedimientos para la evaluación externa, organizados en dimensiones que orientan tanto el trabajo de las instituciones como el de los comités evaluadores. Estos criterios tienen un carácter orientativo y buscan combinar un marco común de referencia con el respeto por la heterogeneidad del sistema universitario argentino. En este sentido, la evaluación institucional propone analizar el grado de coherencia entre el proyecto institucional, las funciones sustantivas, las capacidades disponibles y las acciones efectivamente desarrolladas en función de su proyecto. Refuerza el carácter sistemático del proceso, organiza el trabajo de los comités de pares y delimita con mayor precisión </w:t>
      </w:r>
      <w:r w:rsidDel="00000000" w:rsidR="00000000" w:rsidRPr="00000000">
        <w:rPr>
          <w:rFonts w:ascii="Times New Roman" w:cs="Times New Roman" w:eastAsia="Times New Roman" w:hAnsi="Times New Roman"/>
          <w:rtl w:val="0"/>
        </w:rPr>
        <w:t xml:space="preserve">los</w:t>
      </w:r>
      <w:r w:rsidDel="00000000" w:rsidR="00000000" w:rsidRPr="00000000">
        <w:rPr>
          <w:rFonts w:ascii="Times New Roman" w:cs="Times New Roman" w:eastAsia="Times New Roman" w:hAnsi="Times New Roman"/>
          <w:rtl w:val="0"/>
        </w:rPr>
        <w:t xml:space="preserve"> aspectos a ser observados, analizados y recomendados. En los últimos años se han incorporado nuevos instrumentos y modalidades, como el Sistema de Información para la Evaluación y el Mejoramiento Institucional (SIEMI), los Sistemas Institucionales de Aseguramiento de la Calidad (SIAC) y las evaluaciones externas focalizadas. </w:t>
      </w: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la tercera misión, la Resolución 382/11 avanza en la explicitación de la extensión, la producción de tecnología y la transferencia como dimensión específica de análisis. Allí se establece que los pares deben evaluar las políticas institucionales de extensión, producción de tecnología y transferencia; las condiciones para generar programas y actividades acordes con los objetivos de la institución; las fuentes de financiamiento, equipamiento y recursos materiales destinados a la función; la formación de recursos humanos; la política de convenios con entidades estatales y privadas, nacionales e internacionales; y el grado de articulación de estas actividades con la docencia y la investigación. Además, en las pautas para la autoevaluación se solicita información sobre órganos de gestión, vínculos intra e interinstitucionales, proyectos en curso, convenios, objetivos, resultados, impacto y financiamiento, de esta forma avanza en una idea más formalizada del área y define más aspectos a revisar por los pares. </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normativa define a los pares evaluadores como integrantes de la comunidad universitaria convocados para observar y valorar la organización, el funcionamiento, el desarrollo histórico, los procesos, los resultados y la inserción social de la institución. Su tarea no consiste en aplicar un estándar único o un modelo institucional predeterminado, sino en comprender la singularidad del proyecto institucional evaluado y formular recomendaciones de mejora (de acuerdo a las entrevistas con técnicos). De esta forma, las recomendaciones sobre VTT no deberían leerse únicamente como juicios abstractos sobre lo que toda universidad debería hacer, sino como observaciones formuladas en relación con aquello que cada institución declara, organiza, prioriza o deja sin desarrollar. En este sentido, la evaluación externa se presenta formalmente como un dispositivo orientado al mejoramiento institucional, basado en el respeto por la autonomía universitaria y por la especificidad de cada universidad (Res.94/97).</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procedimiento se organiza a través de distintas instancias que inicia con un taller preparatorio coordinado por el equipo técnico de CONEAU. En ese espacio se analiza la documentación disponible y se acuerdan los principales ejes de indagación, se elabora la agenda de visita y se designa un par relator encargado de articular los aportes de los distintos evaluadores en el informe. Durante la visita, los evaluadores mantienen entrevistas con autoridades, responsables de gestión, docentes, estudiantes, graduados y actores del medio, con el propósito de ampliar, contrastar y problematizar la información producida por la propia universidad.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En términos de las entrevistas realizadas para esta investigación, la visita aparece como un momento especialmente relevante, porque allí se observa cuánto de lo que la institución declara en sus documentos se traduce efectivamente en estructuras, normativas, prácticas, vínculos, actividades y capacidades institucionales. </w:t>
      </w:r>
      <w:r w:rsidDel="00000000" w:rsidR="00000000" w:rsidRPr="00000000">
        <w:rPr>
          <w:rFonts w:ascii="Times New Roman" w:cs="Times New Roman" w:eastAsia="Times New Roman" w:hAnsi="Times New Roman"/>
          <w:rtl w:val="0"/>
        </w:rPr>
        <w:t xml:space="preserve">Luego, el informe atraviesa instancias de redacción, revisión técnica, análisis por parte de los miembros de CONEAU, </w:t>
      </w:r>
      <w:r w:rsidDel="00000000" w:rsidR="00000000" w:rsidRPr="00000000">
        <w:rPr>
          <w:rFonts w:ascii="Times New Roman" w:cs="Times New Roman" w:eastAsia="Times New Roman" w:hAnsi="Times New Roman"/>
          <w:rtl w:val="0"/>
        </w:rPr>
        <w:t xml:space="preserve">presentación preliminar a la institució</w:t>
      </w:r>
      <w:r w:rsidDel="00000000" w:rsidR="00000000" w:rsidRPr="00000000">
        <w:rPr>
          <w:rFonts w:ascii="Times New Roman" w:cs="Times New Roman" w:eastAsia="Times New Roman" w:hAnsi="Times New Roman"/>
          <w:rtl w:val="0"/>
        </w:rPr>
        <w:t xml:space="preserve">n y eventual incorporación de observaciones antes de su aprobación y publicación. </w:t>
      </w:r>
      <w:r w:rsidDel="00000000" w:rsidR="00000000" w:rsidRPr="00000000">
        <w:rPr>
          <w:rtl w:val="0"/>
        </w:rPr>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práctica, este proceso resulta de una producción distribuida, en la que intervienen pares evaluadores, técnicos, miembros de CONEAU y, de manera indirecta, la propia institución evaluada a través de su autoevaluación y sus comentarios posteriores. Los pares, desde su propio saber experto y experiencia de gestión universitaria trabajan sobre guías, documentos previos, talleres, agendas de visita y formatos de informe. A su vez, el equipo técnico cumple un papel central de coordinación, acompañamiento y mediación. Su función no se limita a organizar la visita o compilar información, sino que también contribuye a encuadrar la mirada de los pares, moderar posibles sesgos derivados de sus propias trayectorias institucionales y orientar la evaluación hacia el proyecto de la universidad evaluada, antes que hacia el modelo de universidad del evaluador. Este aspecto fue señalado de manera recurrente en las entrevistas: Mientras que los pares tienden a mirar desde su propia experiencia universitaria y desde los criterios que traen de sus campos de actuación, los equipos técnicos operan como mediadores entre esa mirada experta, la normativa de CONEAU y la singularidad institucional de la universidad evaluada. En este sentido, el informe final no expresa simplemente “lo que piensan los pares”, sino una construcción institucional que combina saber experto, criterios normativos, experiencia acumulada, procedimientos técnicos y revisión colegiada.</w:t>
      </w:r>
    </w:p>
    <w:p w:rsidR="00000000" w:rsidDel="00000000" w:rsidP="00000000" w:rsidRDefault="00000000" w:rsidRPr="00000000" w14:paraId="00000048">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La</w:t>
      </w:r>
      <w:r w:rsidDel="00000000" w:rsidR="00000000" w:rsidRPr="00000000">
        <w:rPr>
          <w:rFonts w:ascii="Times New Roman" w:cs="Times New Roman" w:eastAsia="Times New Roman" w:hAnsi="Times New Roman"/>
          <w:i w:val="1"/>
          <w:iCs w:val="1"/>
          <w:rtl w:val="0"/>
        </w:rPr>
        <w:t xml:space="preserve"> evaluación de la tercera misión:</w:t>
      </w:r>
      <w:r w:rsidDel="00000000" w:rsidR="00000000" w:rsidRPr="00000000">
        <w:rPr>
          <w:rFonts w:ascii="Times New Roman" w:cs="Times New Roman" w:eastAsia="Times New Roman" w:hAnsi="Times New Roman"/>
          <w:i w:val="1"/>
          <w:iCs w:val="1"/>
          <w:rtl w:val="0"/>
        </w:rPr>
        <w:t xml:space="preserve"> entre lineamientos generales y baja estabilización de la función</w:t>
      </w:r>
    </w:p>
    <w:p w:rsidR="00000000" w:rsidDel="00000000" w:rsidP="00000000" w:rsidRDefault="00000000" w:rsidRPr="00000000" w14:paraId="00000049">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al área de VTT, a diferencia de los procesos de acreditación de carreras, donde existen estándares más precisos, la evaluación institucional se apoya en lineamientos generales y deja mayores márgenes de interpretación a los pares evaluadores. En el caso de la extensión, la vinculación y la transferencia, las entrevistas muestran que no siempre existen orientaciones específicas o criterios estabilizados con el mismo nivel de desarrollo que en otras funciones, como docencia, investigación, biblioteca o gestión económico-financiera. La VTT suele quedar comprendida dentro de un paraguas amplio de extensión o relación con el medio, con denominaciones variables según cada universidad. De hecho, los comentarios y recomendaciones no se realizan específicamente sobre la VTT sino que son más genéricas sobre la tercera misión, y en particular, sobre la extensión. </w:t>
      </w:r>
    </w:p>
    <w:p w:rsidR="00000000" w:rsidDel="00000000" w:rsidP="00000000" w:rsidRDefault="00000000" w:rsidRPr="00000000" w14:paraId="0000004A">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recomendaciones expresan qué aspectos de la VTT los pares y CONEAU consideran relevantes o mejorables, dentro de un procedimiento que orienta la mirada, ordena la información y jerarquiza las funciones universitarias. Esta mediación permite explicar tanto la recurrencia de observaciones sobre su formalización, institucionalización y articulación como la persistencia de cierta heterogeneidad en los modos de comprender esta función.</w:t>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Del análisis de las recomendaciones se observa, e</w:t>
      </w:r>
      <w:r w:rsidDel="00000000" w:rsidR="00000000" w:rsidRPr="00000000">
        <w:rPr>
          <w:rFonts w:ascii="Times New Roman" w:cs="Times New Roman" w:eastAsia="Times New Roman" w:hAnsi="Times New Roman"/>
          <w:rtl w:val="0"/>
        </w:rPr>
        <w:t xml:space="preserve">n primer lugar, que aquellas que recaen sobre VTT son menos numerosas que las referidas a otras funciones universitarias más consolidadas, en todos los períodos analizados. </w:t>
      </w:r>
      <w:r w:rsidDel="00000000" w:rsidR="00000000" w:rsidRPr="00000000">
        <w:rPr>
          <w:rtl w:val="0"/>
        </w:rPr>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y de forma reiterada en todos los períodos, éstas no se orientan a prescribir actividades específicas, sino a fortalecer condiciones institucionales básicas: crear áreas, formalizar políticas, definir responsables, aprobar normativas, asignar presupuesto, ordenar convenios, registrar actividades, articular con otras funciones y generar mecanismos de seguimiento. Esto responde a que, en la mayoría de las instituciones, las actividades de VTT se presentan como actividades dispersas, dependientes de proyectos o equipos específicos. En otros casos, las áreas –en particular de transferencia tecnológica– pueden aparecer organizadas a través de programas, normativas, estructuras, financiamiento y relaciones estables con actores externos. Esta dualidad podría incidir en la propensión a generar recomendaciones de consolidación del área, valorando o priorizando un modelo de VTT estructurado o transferencista sobre un modelo más flexible y </w:t>
      </w:r>
      <w:r w:rsidDel="00000000" w:rsidR="00000000" w:rsidRPr="00000000">
        <w:rPr>
          <w:rFonts w:ascii="Times New Roman" w:cs="Times New Roman" w:eastAsia="Times New Roman" w:hAnsi="Times New Roman"/>
          <w:rtl w:val="0"/>
        </w:rPr>
        <w:t xml:space="preserve">adaptativo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tercer lugar, la baja estabilización relativa de la función permite que convivan sentidos diversos sobre qué cuenta como vinculación, qué prácticas deben ser valorizadas y qué formas de relación con el entorno resultan legítimas. De hecho, en las entrevistas a los especialistas, esta dimensión es descripta como una función heterogénea, cuya institucionalización depende de las características propias de las universidades (</w:t>
      </w:r>
      <w:r w:rsidDel="00000000" w:rsidR="00000000" w:rsidRPr="00000000">
        <w:rPr>
          <w:rFonts w:ascii="Times New Roman" w:cs="Times New Roman" w:eastAsia="Times New Roman" w:hAnsi="Times New Roman"/>
          <w:rtl w:val="0"/>
        </w:rPr>
        <w:t xml:space="preserve">Estébanez, Di Bello y Versino, 2022).</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Discusión</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El abordaje de l</w:t>
      </w:r>
      <w:r w:rsidDel="00000000" w:rsidR="00000000" w:rsidRPr="00000000">
        <w:rPr>
          <w:rFonts w:ascii="Times New Roman" w:cs="Times New Roman" w:eastAsia="Times New Roman" w:hAnsi="Times New Roman"/>
          <w:i w:val="1"/>
          <w:iCs w:val="1"/>
          <w:rtl w:val="0"/>
        </w:rPr>
        <w:t xml:space="preserve">as recomendaciones en la construcción de sentido sobre la VTT</w:t>
      </w:r>
      <w:r w:rsidDel="00000000" w:rsidR="00000000" w:rsidRPr="00000000">
        <w:rPr>
          <w:rtl w:val="0"/>
        </w:rPr>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se indicó en la sección metodológica, por un lado, e</w:t>
      </w:r>
      <w:r w:rsidDel="00000000" w:rsidR="00000000" w:rsidRPr="00000000">
        <w:rPr>
          <w:rFonts w:ascii="Times New Roman" w:cs="Times New Roman" w:eastAsia="Times New Roman" w:hAnsi="Times New Roman"/>
          <w:rtl w:val="0"/>
        </w:rPr>
        <w:t xml:space="preserve">l análisis discursivo permitió comprender cómo las recomendaciones producen sentidos académicos institucionalmente mediados sobre la VTT: </w:t>
      </w:r>
      <w:r w:rsidDel="00000000" w:rsidR="00000000" w:rsidRPr="00000000">
        <w:rPr>
          <w:rFonts w:ascii="Times New Roman" w:cs="Times New Roman" w:eastAsia="Times New Roman" w:hAnsi="Times New Roman"/>
          <w:rtl w:val="0"/>
        </w:rPr>
        <w:t xml:space="preserve">No se trata únicamente de indicaciones técnicas destinadas a corregir déficits institucionales, sino de enunciados que nombran, jerarquizan, problematizan y legitiman ciertos modos de entender la VTT. Así, las recomendaciones construyen una definición a veces implícita de cuál debería ser la función de vinculación. </w:t>
      </w:r>
      <w:r w:rsidDel="00000000" w:rsidR="00000000" w:rsidRPr="00000000">
        <w:rPr>
          <w:rFonts w:ascii="Times New Roman" w:cs="Times New Roman" w:eastAsia="Times New Roman" w:hAnsi="Times New Roman"/>
          <w:rtl w:val="0"/>
        </w:rPr>
        <w:t xml:space="preserve">Por otro lado, la codificación sistemática de las 150 recomendaciones permitió identificar recurrencias, desplazamientos y adecuaciones entre esos sentidos y las orientaciones predominantes de las políticas públicas en distintos períodos históricos.</w:t>
      </w:r>
      <w:r w:rsidDel="00000000" w:rsidR="00000000" w:rsidRPr="00000000">
        <w:rPr>
          <w:rtl w:val="0"/>
        </w:rPr>
      </w:r>
    </w:p>
    <w:p w:rsidR="00000000" w:rsidDel="00000000" w:rsidP="00000000" w:rsidRDefault="00000000" w:rsidRPr="00000000" w14:paraId="00000052">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Sentidos predominantes de la VTT por período histórico</w:t>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Cuadro 1 permite precisar cuáles son los criterios utilizados en las recomendaciones con mayor frecuencia dentro de cada período y, por lo tanto, reconstruir los principales señalamientos sobre la</w:t>
      </w:r>
      <w:r w:rsidDel="00000000" w:rsidR="00000000" w:rsidRPr="00000000">
        <w:rPr>
          <w:rFonts w:ascii="Times New Roman" w:cs="Times New Roman" w:eastAsia="Times New Roman" w:hAnsi="Times New Roman"/>
          <w:rtl w:val="0"/>
        </w:rPr>
        <w:t xml:space="preserve"> tercera misión </w:t>
      </w:r>
      <w:r w:rsidDel="00000000" w:rsidR="00000000" w:rsidRPr="00000000">
        <w:rPr>
          <w:rFonts w:ascii="Times New Roman" w:cs="Times New Roman" w:eastAsia="Times New Roman" w:hAnsi="Times New Roman"/>
          <w:rtl w:val="0"/>
        </w:rPr>
        <w:t xml:space="preserve">en perspectiva histórica.</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Cuadro 1</w:t>
      </w:r>
      <w:r w:rsidDel="00000000" w:rsidR="00000000" w:rsidRPr="00000000">
        <w:rPr>
          <w:rFonts w:ascii="Times New Roman" w:cs="Times New Roman" w:eastAsia="Times New Roman" w:hAnsi="Times New Roman"/>
          <w:rtl w:val="0"/>
        </w:rPr>
        <w:t xml:space="preserve">. Porcentaje de aparición de los criterios con mayor frecuencia en las recomendaciones de cada período. </w:t>
      </w:r>
      <w:r w:rsidDel="00000000" w:rsidR="00000000" w:rsidRPr="00000000">
        <w:rPr>
          <w:rtl w:val="0"/>
        </w:rPr>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324960" cy="6399213"/>
            <wp:effectExtent b="0" l="0" r="0" t="0"/>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324960" cy="6399213"/>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Elaboración propia en base a la sistematización realizada. Ver Anexo.</w:t>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se adelantó, un criterio recurrente es el fortalecimiento institucional del área que aparece en todos los períodos. Esto tiene sentido en las primeras evaluaciones, que históricamente, recién comenzaban a consolidarse el área a partir de la sanción de la Ley de UVT. Luego, el señalamiento puede ser interpretado en relación con las propias características de la función. </w:t>
      </w:r>
      <w:r w:rsidDel="00000000" w:rsidR="00000000" w:rsidRPr="00000000">
        <w:rPr>
          <w:rtl w:val="0"/>
        </w:rPr>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el período 1990-2002, los criterios más frecuentes, sin considerar el tema de fortalecimiento organizacional, son transferencia tecnológica, prestación de servicios tecnológicos e identificación de demandas productivas. Estos criterios construyen un sentido de la VTT fuertemente asociado a la modernización, la profesionalización y la articulación con el sector productivo. La universidad es interpelada como una institución que debe organizar capacidades para transferir conocimientos, ofrecer servicios, detectar demandas y responder a necesidades externas y la tercera misión parece propicia para cumplir ese rol. La legitimidad de la función se apoya en su capacidad para vincular conocimiento académico con innovación, productividad y servicios especializados.</w:t>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en el período 2003-2015, se observan pocas evaluaciones: entre el año 2000 y 2010 no hay evaluaciones externas de universidades nacionales publicadas. L</w:t>
      </w:r>
      <w:r w:rsidDel="00000000" w:rsidR="00000000" w:rsidRPr="00000000">
        <w:rPr>
          <w:rFonts w:ascii="Times New Roman" w:cs="Times New Roman" w:eastAsia="Times New Roman" w:hAnsi="Times New Roman"/>
          <w:rtl w:val="0"/>
        </w:rPr>
        <w:t xml:space="preserve">os criterios más frecuentes se centran en el fortalecimiento institucional de la extensión, la vinculación y la transferencia tecnológica (casi el 60% de las observaciones). Luego se identifican otras recomendaciones relacionadas con la articulación con la comunidad y la integración docencia-investigación-extensión. </w:t>
      </w:r>
      <w:r w:rsidDel="00000000" w:rsidR="00000000" w:rsidRPr="00000000">
        <w:rPr>
          <w:rFonts w:ascii="Times New Roman" w:cs="Times New Roman" w:eastAsia="Times New Roman" w:hAnsi="Times New Roman"/>
          <w:rtl w:val="0"/>
        </w:rPr>
        <w:t xml:space="preserve">Estas observaciones sugieren una cierta ampliación del sentido de la tercera misión hacia una concepción más social, territorial e institucional. Cabe indicar que estas son las primeras evaluaciones que se dan en el marco del cambio de normativa (Res. 382/11). Las pautas de la resolución observan particularmente aspectos estructurales, pero también incluye una serie de nuevos criterios, considerando que la extensión y la vinculación deben evaluarse atendiendo a la inserción social, pertinencia, integración institucional, organización y recursos, procesos y resultados, articulación con docencia e investigación, y acciones de vinculación tecnológica, en línea con el proyecto institucional.</w:t>
      </w:r>
    </w:p>
    <w:p w:rsidR="00000000" w:rsidDel="00000000" w:rsidP="00000000" w:rsidRDefault="00000000" w:rsidRPr="00000000" w14:paraId="0000005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el período 2016-2019, las recomendaciones dan un mayor grado de especificación al fortalecimiento institucional proponiendo una mayor orientación a resultados y la medición estratégica de la función. Se encuentran recomendaciones relativas a la articulación estratégica con actores externos, las recomendaciones generales sobre extensión y vinculación, y la innovación social. La VTT aparece aquí como una función que debe ser planificada, monitoreada y evaluada. Se refuerza una concepción de la vinculación como práctica estratégica, en la que importan los resultados, la sistematización, la generación de indicadores y la orientación de las acciones hacia objetivos institucionales definidos. Este sentido no abandona la dimensión social, pero la reordena dentro de una lógica de gestión, planificación y medición.</w:t>
      </w:r>
    </w:p>
    <w:p w:rsidR="00000000" w:rsidDel="00000000" w:rsidP="00000000" w:rsidRDefault="00000000" w:rsidRPr="00000000" w14:paraId="0000005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período 2020-2023, además de las recomendaciones organizacionales generales que se repiten en todos los períodos, se presentan nuevos criterios vinculados con la movilización de capacidades científicas, el fortalecimiento de redes institucionales y el trabajo interdisciplinario. Este conjunto de categorías expresa un sentido de la VTT vinculado con la capacidad de la universidad para responder a problemas públicos complejos mediante la articulación de saberes, actores e instituciones, en un marco donde la pandemia de COVID-19 resultó relevante como orientadora de la agenda de investigación. La universidad aparece como un actor estratégico capaz de movilizar conocimiento científico, tecnológico y territorial frente a demandas sociales, sanitarias, productivas o estatales. </w:t>
      </w:r>
      <w:r w:rsidDel="00000000" w:rsidR="00000000" w:rsidRPr="00000000">
        <w:rPr>
          <w:rtl w:val="0"/>
        </w:rPr>
      </w:r>
    </w:p>
    <w:p w:rsidR="00000000" w:rsidDel="00000000" w:rsidP="00000000" w:rsidRDefault="00000000" w:rsidRPr="00000000" w14:paraId="0000005C">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Adecuación entre recomendaciones y períodos de política pública</w:t>
      </w:r>
      <w:r w:rsidDel="00000000" w:rsidR="00000000" w:rsidRPr="00000000">
        <w:rPr>
          <w:rtl w:val="0"/>
        </w:rPr>
      </w:r>
    </w:p>
    <w:p w:rsidR="00000000" w:rsidDel="00000000" w:rsidP="00000000" w:rsidRDefault="00000000" w:rsidRPr="00000000" w14:paraId="0000005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sistemático de las recomendaciones permite observar también en qué medida los sentidos presentes en los informes de evaluación externa dialogan con las orientaciones predominantes de las políticas públicas de VTT en cada período histórico. </w:t>
      </w:r>
      <w:r w:rsidDel="00000000" w:rsidR="00000000" w:rsidRPr="00000000">
        <w:rPr>
          <w:rFonts w:ascii="Times New Roman" w:cs="Times New Roman" w:eastAsia="Times New Roman" w:hAnsi="Times New Roman"/>
          <w:rtl w:val="0"/>
        </w:rPr>
        <w:t xml:space="preserve">Para ello, como se dijo, se elaboró una matriz de adecuación que clasifica cada recomendación según su grado de correspondencia con los criterios del período en que fue producida. Esta clasificación no supone afirmar una relación causal entre política pública y recomendación, sino identificar niveles de congruencia entre los lenguajes, prioridades y categorías presentes en ambos planos.</w:t>
      </w:r>
      <w:r w:rsidDel="00000000" w:rsidR="00000000" w:rsidRPr="00000000">
        <w:rPr>
          <w:rtl w:val="0"/>
        </w:rPr>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Cuadro 2</w:t>
      </w:r>
      <w:r w:rsidDel="00000000" w:rsidR="00000000" w:rsidRPr="00000000">
        <w:rPr>
          <w:rFonts w:ascii="Times New Roman" w:cs="Times New Roman" w:eastAsia="Times New Roman" w:hAnsi="Times New Roman"/>
          <w:rtl w:val="0"/>
        </w:rPr>
        <w:t xml:space="preserve">. Distribución en porcentaje de los niveles de adecuación por período en base a categorías identificadas en las recomendaciones y su evaluación según criterios del período. </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4247537" cy="2660253"/>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247537" cy="2660253"/>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Elaboración propia en base a la Matriz de evaluación de adecuación de criterios al </w:t>
      </w:r>
      <w:r w:rsidDel="00000000" w:rsidR="00000000" w:rsidRPr="00000000">
        <w:rPr>
          <w:rFonts w:ascii="Times New Roman" w:cs="Times New Roman" w:eastAsia="Times New Roman" w:hAnsi="Times New Roman"/>
          <w:sz w:val="20"/>
          <w:szCs w:val="20"/>
          <w:rtl w:val="0"/>
        </w:rPr>
        <w:t xml:space="preserve">período</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6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l Cuadro 2 muestra que, en todos los períodos analizados, las </w:t>
      </w:r>
      <w:r w:rsidDel="00000000" w:rsidR="00000000" w:rsidRPr="00000000">
        <w:rPr>
          <w:rFonts w:ascii="Times New Roman" w:cs="Times New Roman" w:eastAsia="Times New Roman" w:hAnsi="Times New Roman"/>
          <w:rtl w:val="0"/>
        </w:rPr>
        <w:t xml:space="preserve">categorías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identificadas </w:t>
      </w:r>
      <w:r w:rsidDel="00000000" w:rsidR="00000000" w:rsidRPr="00000000">
        <w:rPr>
          <w:rFonts w:ascii="Times New Roman" w:cs="Times New Roman" w:eastAsia="Times New Roman" w:hAnsi="Times New Roman"/>
          <w:rtl w:val="0"/>
        </w:rPr>
        <w:t xml:space="preserve">en las recomendaciones presentan niveles de adecuación mayoritariamente altos o muy altos respecto de las orientaciones (criterios) de política pública del período correspondiente, aunque con matices. </w:t>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recomendaciones del período 1990-</w:t>
      </w:r>
      <w:r w:rsidDel="00000000" w:rsidR="00000000" w:rsidRPr="00000000">
        <w:rPr>
          <w:rFonts w:ascii="Times New Roman" w:cs="Times New Roman" w:eastAsia="Times New Roman" w:hAnsi="Times New Roman"/>
          <w:rtl w:val="0"/>
        </w:rPr>
        <w:t xml:space="preserve">2002</w:t>
      </w:r>
      <w:r w:rsidDel="00000000" w:rsidR="00000000" w:rsidRPr="00000000">
        <w:rPr>
          <w:rFonts w:ascii="Times New Roman" w:cs="Times New Roman" w:eastAsia="Times New Roman" w:hAnsi="Times New Roman"/>
          <w:rtl w:val="0"/>
        </w:rPr>
        <w:t xml:space="preserve"> predominan categorías que se relacionan con criterios identificados con alta o muy alta adecuación a una agenda centrada en la la transferencia tecnológica, la prestación de servicios, la identificación de demandas productivas y la profesionalización de la gestión. Este resultado es consistente con un contexto de reformas estatales, incorporación de mecanismos de evaluación y promoción de instrumentos orientados a la vinculación con el sector productivo. En este período, la universidad aparece principalmente como proveedora de conocimientos, capacidades técnicas y servicios especializados para responder a demandas externas, especialmente empresariales y productivas.</w:t>
      </w:r>
      <w:r w:rsidDel="00000000" w:rsidR="00000000" w:rsidRPr="00000000">
        <w:rPr>
          <w:rFonts w:ascii="Times New Roman" w:cs="Times New Roman" w:eastAsia="Times New Roman" w:hAnsi="Times New Roman"/>
          <w:color w:val="9900ff"/>
          <w:rtl w:val="0"/>
        </w:rPr>
        <w:t xml:space="preserve"> </w:t>
      </w:r>
      <w:r w:rsidDel="00000000" w:rsidR="00000000" w:rsidRPr="00000000">
        <w:rPr>
          <w:rFonts w:ascii="Times New Roman" w:cs="Times New Roman" w:eastAsia="Times New Roman" w:hAnsi="Times New Roman"/>
          <w:rtl w:val="0"/>
        </w:rPr>
        <w:t xml:space="preserve">Cabe aclarar que en este período las normativas de CONEAU sobre la evaluación de la función no tenían el nivel de especificación que las de las otras funciones. </w:t>
      </w:r>
      <w:r w:rsidDel="00000000" w:rsidR="00000000" w:rsidRPr="00000000">
        <w:rPr>
          <w:rtl w:val="0"/>
        </w:rPr>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período 2003-2015 se observa una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adecuación significativa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ntre categorías expresadas en las recomendaciones analizadas y criterios identificados en las políticas del nuevo período, que desplaza el sentido predominante. En este período, las recomendaciones se vinculan con una ampliación de la VTT hacia la extensión, el compromiso social, el desarrollo local, la territorialización, la inclusión social y la integración entre docencia, investigación y extensión. La función deja de aparecer exclusivamente asociada a la transferencia hacia el sector productivo y comienza a ser interpretada como parte de una relación más amplia entre universidad, sociedad y territorio. Así, el sentido dominante de la VTT se aproxima a una concepción de universidad pública orientada a la construcción de capacidades colectivas y a la resolución de problemas sociales y </w:t>
      </w:r>
      <w:r w:rsidDel="00000000" w:rsidR="00000000" w:rsidRPr="00000000">
        <w:rPr>
          <w:rFonts w:ascii="Times New Roman" w:cs="Times New Roman" w:eastAsia="Times New Roman" w:hAnsi="Times New Roman"/>
          <w:rtl w:val="0"/>
        </w:rPr>
        <w:t xml:space="preserve">territoriales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período 20</w:t>
      </w:r>
      <w:r w:rsidDel="00000000" w:rsidR="00000000" w:rsidRPr="00000000">
        <w:rPr>
          <w:rFonts w:ascii="Times New Roman" w:cs="Times New Roman" w:eastAsia="Times New Roman" w:hAnsi="Times New Roman"/>
          <w:rtl w:val="0"/>
        </w:rPr>
        <w:t xml:space="preserve">16</w:t>
      </w:r>
      <w:r w:rsidDel="00000000" w:rsidR="00000000" w:rsidRPr="00000000">
        <w:rPr>
          <w:rFonts w:ascii="Times New Roman" w:cs="Times New Roman" w:eastAsia="Times New Roman" w:hAnsi="Times New Roman"/>
          <w:rtl w:val="0"/>
        </w:rPr>
        <w:t xml:space="preserve">-2019, la adecuación entre categorías y criterios sigue </w:t>
      </w:r>
      <w:r w:rsidDel="00000000" w:rsidR="00000000" w:rsidRPr="00000000">
        <w:rPr>
          <w:rFonts w:ascii="Times New Roman" w:cs="Times New Roman" w:eastAsia="Times New Roman" w:hAnsi="Times New Roman"/>
          <w:rtl w:val="0"/>
        </w:rPr>
        <w:t xml:space="preserve">siendo significativa</w:t>
      </w:r>
      <w:r w:rsidDel="00000000" w:rsidR="00000000" w:rsidRPr="00000000">
        <w:rPr>
          <w:rFonts w:ascii="Times New Roman" w:cs="Times New Roman" w:eastAsia="Times New Roman" w:hAnsi="Times New Roman"/>
          <w:rtl w:val="0"/>
        </w:rPr>
        <w:t xml:space="preserve">, aunque con una composición más heterogénea y con una mayor presencia de adecuaciones altas y medias que muy altas. Las recomendaciones incorporan con mayor fuerza categorías vinculadas con gestión institucional, planificación, articulación estratégica con actores externos, evaluación, seguimiento y medición de resultados. Este desplazamiento resulta congruente con una etapa en la que las políticas de vinculación incorporaron lenguajes asociados a la innovación, el emprendedurismo, la eficiencia y la medición del impacto. Sin embargo, la presencia relativamente menor de categorías como innovación social o emprendedurismo sugiere que las evaluaciones externas </w:t>
      </w:r>
      <w:r w:rsidDel="00000000" w:rsidR="00000000" w:rsidRPr="00000000">
        <w:rPr>
          <w:rFonts w:ascii="Times New Roman" w:cs="Times New Roman" w:eastAsia="Times New Roman" w:hAnsi="Times New Roman"/>
          <w:rtl w:val="0"/>
        </w:rPr>
        <w:t xml:space="preserve">incorporaron</w:t>
      </w:r>
      <w:r w:rsidDel="00000000" w:rsidR="00000000" w:rsidRPr="00000000">
        <w:rPr>
          <w:rFonts w:ascii="Times New Roman" w:cs="Times New Roman" w:eastAsia="Times New Roman" w:hAnsi="Times New Roman"/>
          <w:rtl w:val="0"/>
        </w:rPr>
        <w:t xml:space="preserve"> solo parcialmente los discursos </w:t>
      </w:r>
      <w:r w:rsidDel="00000000" w:rsidR="00000000" w:rsidRPr="00000000">
        <w:rPr>
          <w:rFonts w:ascii="Times New Roman" w:cs="Times New Roman" w:eastAsia="Times New Roman" w:hAnsi="Times New Roman"/>
          <w:rtl w:val="0"/>
        </w:rPr>
        <w:t xml:space="preserve">más específicos d</w:t>
      </w:r>
      <w:r w:rsidDel="00000000" w:rsidR="00000000" w:rsidRPr="00000000">
        <w:rPr>
          <w:rFonts w:ascii="Times New Roman" w:cs="Times New Roman" w:eastAsia="Times New Roman" w:hAnsi="Times New Roman"/>
          <w:rtl w:val="0"/>
        </w:rPr>
        <w:t xml:space="preserve">e esa agenda. </w:t>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en el período 2020-2023, el Cuadro 2 muestra una mayor presencia relativa de niveles medios de adecuación entre categorías que emergen de las recomendaciones y criterios de política. Esto puede interpretarse por adaptaciones propias del período que </w:t>
      </w:r>
      <w:r w:rsidDel="00000000" w:rsidR="00000000" w:rsidRPr="00000000">
        <w:rPr>
          <w:rFonts w:ascii="Times New Roman" w:cs="Times New Roman" w:eastAsia="Times New Roman" w:hAnsi="Times New Roman"/>
          <w:rtl w:val="0"/>
        </w:rPr>
        <w:t xml:space="preserve">estuvo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atravesado</w:t>
      </w:r>
      <w:r w:rsidDel="00000000" w:rsidR="00000000" w:rsidRPr="00000000">
        <w:rPr>
          <w:rFonts w:ascii="Times New Roman" w:cs="Times New Roman" w:eastAsia="Times New Roman" w:hAnsi="Times New Roman"/>
          <w:rtl w:val="0"/>
        </w:rPr>
        <w:t xml:space="preserve"> por la pandemia, y por políticas de reactivación del papel del Estado y la valorización de las capacidades científicas y universitarias para atender problemas públicos. Por otro lado, los informes de evaluación externa parecen incorporar esos sentidos de manera más parcial o mediada, probablemente porque los procesos de evaluación tienen una temporalidad más lenta que la de las coyunturas políticas. En este período aparecen categorías vinculadas con movilización de capacidades científicas, redes institucionales, trabajo interdisciplinario y resolución de problemas públicos, pero conviven con recomendaciones organizacionales más generales y provenientes de períodos previos. </w:t>
      </w:r>
      <w:r w:rsidDel="00000000" w:rsidR="00000000" w:rsidRPr="00000000">
        <w:rPr>
          <w:rtl w:val="0"/>
        </w:rPr>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Lectura transversal: desplazamientos, permanencias y tensiones</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comparación entre períodos</w:t>
      </w:r>
      <w:r w:rsidDel="00000000" w:rsidR="00000000" w:rsidRPr="00000000">
        <w:rPr>
          <w:rFonts w:ascii="Times New Roman" w:cs="Times New Roman" w:eastAsia="Times New Roman" w:hAnsi="Times New Roman"/>
          <w:rtl w:val="0"/>
        </w:rPr>
        <w:t xml:space="preserve"> permite identificar un desplazamiento</w:t>
      </w:r>
      <w:r w:rsidDel="00000000" w:rsidR="00000000" w:rsidRPr="00000000">
        <w:rPr>
          <w:rFonts w:ascii="Times New Roman" w:cs="Times New Roman" w:eastAsia="Times New Roman" w:hAnsi="Times New Roman"/>
          <w:rtl w:val="0"/>
        </w:rPr>
        <w:t xml:space="preserve"> general en los sentidos atribuidos a la VTT en consonancia con la mirada construida por las políticas de cada período.</w:t>
      </w:r>
      <w:r w:rsidDel="00000000" w:rsidR="00000000" w:rsidRPr="00000000">
        <w:rPr>
          <w:rFonts w:ascii="Times New Roman" w:cs="Times New Roman" w:eastAsia="Times New Roman" w:hAnsi="Times New Roman"/>
          <w:color w:val="9900ff"/>
          <w:rtl w:val="0"/>
        </w:rPr>
        <w:t xml:space="preserve"> </w:t>
      </w:r>
      <w:r w:rsidDel="00000000" w:rsidR="00000000" w:rsidRPr="00000000">
        <w:rPr>
          <w:rFonts w:ascii="Times New Roman" w:cs="Times New Roman" w:eastAsia="Times New Roman" w:hAnsi="Times New Roman"/>
          <w:rtl w:val="0"/>
        </w:rPr>
        <w:t xml:space="preserve">En los primeros años, las recomendaciones se acercan a una concepción centrada en la transferencia tecnológica, la prestación de servicios y la relación con demandas productivas. A partir de 2003, esa mirada se amplía hacia la extensión, el compromiso social, la territorialización y la integración de funciones. Entre 2016 y 2019, se refuerzan los lenguajes de gestión, planificación, resultados e impacto. Finalmente, entre 2020 y 2023, se incorporan sentidos vinculados con la movilización de capacidades científicas, la articulación de redes y la respuesta a problemas públicos.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estos desplazamientos no implican reemplazos completos. Más bien, los sentidos se acumulan, se superponen y se reordenan. La transferencia tecnológica no desaparece cuando crece la agenda territorial; la extensión social no desaparece cuando se incorpora la medición de resultados; la preocupación por la institucionalización atraviesa todos los períodos. Por ello, la VTT aparece como una función polisémica, en la que conviven sentidos productivos, sociales, territoriales, organizacionales y estratégicos.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Una de las permanencias más claras a lo largo del corpus es la preocupación por la institucionalización. Más allá del período histórico, muchas recomendaciones se orientan a fortalecer estructuras, ordenar políticas, formalizar áreas, mejorar registros, articular actividades y generar condiciones de sostenibilidad. Esta recurrencia permite introducir una hipótesis de homogeneización mediada en la que, como se dijo, la mediación ocurre institucionalmente </w:t>
      </w:r>
      <w:r w:rsidDel="00000000" w:rsidR="00000000" w:rsidRPr="00000000">
        <w:rPr>
          <w:rFonts w:ascii="Times New Roman" w:cs="Times New Roman" w:eastAsia="Times New Roman" w:hAnsi="Times New Roman"/>
          <w:rtl w:val="0"/>
        </w:rPr>
        <w:t xml:space="preserve">por los lineamien</w:t>
      </w:r>
      <w:r w:rsidDel="00000000" w:rsidR="00000000" w:rsidRPr="00000000">
        <w:rPr>
          <w:rFonts w:ascii="Times New Roman" w:cs="Times New Roman" w:eastAsia="Times New Roman" w:hAnsi="Times New Roman"/>
          <w:rtl w:val="0"/>
        </w:rPr>
        <w:t xml:space="preserve">tos de evaluación previos, la implicación del trabajo de los equipos técnicos, los formatos de los informes existentes y la propia revisión de la Comisión. En este sentido, la relación entre políticas públicas y recomendaciones debe ser leída como una relación mediada, no como una correspondencia directa. Las políticas públicas construyen marcos de sentido, promueven instrumentos, financian programas y jerarquizan determinadas formas de relación universidad-entorno. Las evaluaciones externas, a su vez, recogen parcialmente esos lenguajes, pero los traducen al registro propio de la evaluación institucional.</w:t>
      </w:r>
      <w:r w:rsidDel="00000000" w:rsidR="00000000" w:rsidRPr="00000000">
        <w:rPr>
          <w:rtl w:val="0"/>
        </w:rPr>
      </w:r>
    </w:p>
    <w:p w:rsidR="00000000" w:rsidDel="00000000" w:rsidP="00000000" w:rsidRDefault="00000000" w:rsidRPr="00000000" w14:paraId="0000006A">
      <w:pPr>
        <w:spacing w:after="24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B">
      <w:pPr>
        <w:spacing w:after="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permitió analizar el desplazamiento de los sentidos construidos sobre la vinculación y transferencia tecnológica en los informes de evaluación externa de CONEAU a universidades nacionales, considerando tanto las recomendaciones formuladas por los comités de pares como los documentos normativos y las entrevistas realizadas a actores relacionados con el proceso de evaluación. </w:t>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observa que, si bien </w:t>
      </w:r>
      <w:r w:rsidDel="00000000" w:rsidR="00000000" w:rsidRPr="00000000">
        <w:rPr>
          <w:rFonts w:ascii="Times New Roman" w:cs="Times New Roman" w:eastAsia="Times New Roman" w:hAnsi="Times New Roman"/>
          <w:rtl w:val="0"/>
        </w:rPr>
        <w:t xml:space="preserve">la VTT constituye una dimensión presente en las evaluaciones institucionales, presenta un un grado de centralidad menor respecto de la docencia y la investigación; y que se expresa enmarcada en la </w:t>
      </w:r>
      <w:r w:rsidDel="00000000" w:rsidR="00000000" w:rsidRPr="00000000">
        <w:rPr>
          <w:rFonts w:ascii="Times New Roman" w:cs="Times New Roman" w:eastAsia="Times New Roman" w:hAnsi="Times New Roman"/>
          <w:rtl w:val="0"/>
        </w:rPr>
        <w:t xml:space="preserve">tercera</w:t>
      </w:r>
      <w:r w:rsidDel="00000000" w:rsidR="00000000" w:rsidRPr="00000000">
        <w:rPr>
          <w:rFonts w:ascii="Times New Roman" w:cs="Times New Roman" w:eastAsia="Times New Roman" w:hAnsi="Times New Roman"/>
          <w:rtl w:val="0"/>
        </w:rPr>
        <w:t xml:space="preserve"> misión. Este dato da cuenta del lugar poco estabilizado y parcialmente subordinado que esta función ocupa en los procesos de evaluación externa. </w:t>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las </w:t>
      </w:r>
      <w:r w:rsidDel="00000000" w:rsidR="00000000" w:rsidRPr="00000000">
        <w:rPr>
          <w:rFonts w:ascii="Times New Roman" w:cs="Times New Roman" w:eastAsia="Times New Roman" w:hAnsi="Times New Roman"/>
          <w:rtl w:val="0"/>
        </w:rPr>
        <w:t xml:space="preserve">observaciones</w:t>
      </w:r>
      <w:r w:rsidDel="00000000" w:rsidR="00000000" w:rsidRPr="00000000">
        <w:rPr>
          <w:rFonts w:ascii="Times New Roman" w:cs="Times New Roman" w:eastAsia="Times New Roman" w:hAnsi="Times New Roman"/>
          <w:rtl w:val="0"/>
        </w:rPr>
        <w:t xml:space="preserve"> muestran una orientación persistente hacia la formalización del área, con recomendaciones relativas a crear estructuras, definir responsables, ordenar normativas, registrar y sistematizar actividades, planificar y evaluar acciones, generar mecanismos de seguimiento y evaluación. A nuestro juicio esta pretensión de institucionalización tensiona con la propia lógica flexible, situada y adaptativa que caracteriza las prácticas de vinculación y transferencia en las universidades (Álvarez, Grandoli y Xhardez, 2023). En este sentido, las normativas y la evaluación tienden de privilegiar modelos más estructurados de VTT, aún cuando uno de los aspectos más significativos de la función es su capacidad de responder a demandas heterogéneas y territoriales cambiantes. </w:t>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tercer lugar, el análisis permite sostener que </w:t>
      </w:r>
      <w:r w:rsidDel="00000000" w:rsidR="00000000" w:rsidRPr="00000000">
        <w:rPr>
          <w:rFonts w:ascii="Times New Roman" w:cs="Times New Roman" w:eastAsia="Times New Roman" w:hAnsi="Times New Roman"/>
          <w:rtl w:val="0"/>
        </w:rPr>
        <w:t xml:space="preserve">los sentidos presentes </w:t>
      </w:r>
      <w:r w:rsidDel="00000000" w:rsidR="00000000" w:rsidRPr="00000000">
        <w:rPr>
          <w:rFonts w:ascii="Times New Roman" w:cs="Times New Roman" w:eastAsia="Times New Roman" w:hAnsi="Times New Roman"/>
          <w:rtl w:val="0"/>
        </w:rPr>
        <w:t xml:space="preserve">en las recomendaciones no pueden ser leídos como la voz directa de los pares evaluadores ni de la aplicación directa de una normativa. Las recomendaciones son el resultado de una construcción institucional mediada por lineamientos normativos, guías, talleres, informes técnicos, formatos de escritura, procesos de revisión y decisiones de la Comisión. Por ello, condensan saberes académicos, pero bajo criterios normativos, experiencias institucionales y mediaciones organizacionales específicas de su propia producción. Esto nos permite proponer </w:t>
      </w:r>
      <w:r w:rsidDel="00000000" w:rsidR="00000000" w:rsidRPr="00000000">
        <w:rPr>
          <w:rFonts w:ascii="Times New Roman" w:cs="Times New Roman" w:eastAsia="Times New Roman" w:hAnsi="Times New Roman"/>
          <w:rtl w:val="0"/>
        </w:rPr>
        <w:t xml:space="preserve">una hipótesis de homogeneización mediada: La reiteración de formatos, tipo de recomendación, los criterios y modos de escritura contribuye a estabilizar un horizonte común sobre cómo debería organizarse la función. No obstante, esto</w:t>
      </w:r>
      <w:r w:rsidDel="00000000" w:rsidR="00000000" w:rsidRPr="00000000">
        <w:rPr>
          <w:rFonts w:ascii="Times New Roman" w:cs="Times New Roman" w:eastAsia="Times New Roman" w:hAnsi="Times New Roman"/>
          <w:rtl w:val="0"/>
        </w:rPr>
        <w:t xml:space="preserve"> no impone necesariamente un modelo único de vinculación y transferencia, dado que la evaluación institucional se declara orientada por el proyecto propio de cada universidad y por el respeto a su autonomía. </w:t>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cuarto lugar, el análisis de la adecuación de las recomendaciones a los diferentes períodos presenta, aunque con distinta intensidad, una consonancia entre los criterios identificados en la política pública y las categorías de las recomendaciones. En el ciclo neoliberal predominan sentidos vinculados con la modernización, la transferencia tecnológica y la articulación productiva; en el período de expansión estatal se amplían las referencias al compromiso social, la extensión y el desarrollo territorial; entre 2016 y 2019 (el de menor adecuación) se incorporan con mayor fuerza lenguajes de planificación, gestión, resultados y medición; y en el período 2020-2023 aparecen referencias a la movilización de capacidades científicas, las redes institucionales y la respuesta a problemas públicos.</w:t>
      </w:r>
      <w:r w:rsidDel="00000000" w:rsidR="00000000" w:rsidRPr="00000000">
        <w:rPr>
          <w:rtl w:val="0"/>
        </w:rPr>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se advierte que el alcance de este trabajo es acotado, en tanto que el análisis se centró en los sentidos construidos en las recomendaciones, en su relación con los períodos de política pública y en las mediaciones institucionales del proceso evaluativo. Este trabajo no permite determinar si dichas recomendaciones produjeron efectos concretos en las universidades evaluadas, ni en qué medida fueron retomadas, resistidas, reinterpretadas o transformadas en políticas institucionales. </w:t>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Interrogantes co</w:t>
      </w:r>
      <w:r w:rsidDel="00000000" w:rsidR="00000000" w:rsidRPr="00000000">
        <w:rPr>
          <w:rFonts w:ascii="Times New Roman" w:cs="Times New Roman" w:eastAsia="Times New Roman" w:hAnsi="Times New Roman"/>
          <w:rtl w:val="0"/>
        </w:rPr>
        <w:t xml:space="preserve">mo ¿estas recomendaciones, tuvieron un efecto en las prácticas de la VTT de estas universidades? </w:t>
      </w:r>
      <w:r w:rsidDel="00000000" w:rsidR="00000000" w:rsidRPr="00000000">
        <w:rPr>
          <w:rFonts w:ascii="Times New Roman" w:cs="Times New Roman" w:eastAsia="Times New Roman" w:hAnsi="Times New Roman"/>
          <w:rtl w:val="0"/>
        </w:rPr>
        <w:t xml:space="preserve">¿qué implicancias tiene las políticas sobre la construcción de sentidos de la VTT? ¿las políticas impregnaron o no las recomendaciones? </w:t>
      </w:r>
      <w:r w:rsidDel="00000000" w:rsidR="00000000" w:rsidRPr="00000000">
        <w:rPr>
          <w:rFonts w:ascii="Times New Roman" w:cs="Times New Roman" w:eastAsia="Times New Roman" w:hAnsi="Times New Roman"/>
          <w:rtl w:val="0"/>
        </w:rPr>
        <w:t xml:space="preserve">excede</w:t>
      </w:r>
      <w:r w:rsidDel="00000000" w:rsidR="00000000" w:rsidRPr="00000000">
        <w:rPr>
          <w:rFonts w:ascii="Times New Roman" w:cs="Times New Roman" w:eastAsia="Times New Roman" w:hAnsi="Times New Roman"/>
          <w:rtl w:val="0"/>
        </w:rPr>
        <w:t xml:space="preserve">n los objetivos de esta ponencia y abren una línea futura de investigación orientada a analizar los usos, apropiaciones e impactos de las recomendaciones en las instituciones universitarias.</w:t>
      </w:r>
    </w:p>
    <w:p w:rsidR="00000000" w:rsidDel="00000000" w:rsidP="00000000" w:rsidRDefault="00000000" w:rsidRPr="00000000" w14:paraId="00000073">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Álvarez, M., Grandoli, E. y Xhardez. (2023) Vinculación universidad-entorno en el contexto de pandemia. Análisis de una experiencia público-privada a partir de la emergencia sanitaria por COVID-19 en Ciencia, Docencia y Tecnología Vol 34, Nº69</w:t>
      </w:r>
    </w:p>
    <w:p w:rsidR="00000000" w:rsidDel="00000000" w:rsidP="00000000" w:rsidRDefault="00000000" w:rsidRPr="00000000" w14:paraId="0000007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Alvarez, M., Grandoli, M.E. y Xhardez, V. (2025) </w:t>
      </w:r>
      <w:r w:rsidDel="00000000" w:rsidR="00000000" w:rsidRPr="00000000">
        <w:rPr>
          <w:rFonts w:ascii="Times New Roman" w:cs="Times New Roman" w:eastAsia="Times New Roman" w:hAnsi="Times New Roman"/>
          <w:rtl w:val="0"/>
        </w:rPr>
        <w:t xml:space="preserve">Tercera Misión Universitaria en Argentina: Continuidades y rupturas en las políticas nacionales durante el período 1990-2019. En Revista de Educación Año XVI N°36 pp.383-404</w:t>
      </w:r>
    </w:p>
    <w:p w:rsidR="00000000" w:rsidDel="00000000" w:rsidP="00000000" w:rsidRDefault="00000000" w:rsidRPr="00000000" w14:paraId="00000077">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Alvarez, M., Grandoli, M.E. y Xhardez, V. (en evaluación) Políticas nacionales de promoción de la vinculación tecnológica en los últimos 35 años: continuidades, rupturas y tensiones. En Ucronías</w:t>
      </w:r>
    </w:p>
    <w:p w:rsidR="00000000" w:rsidDel="00000000" w:rsidP="00000000" w:rsidRDefault="00000000" w:rsidRPr="00000000" w14:paraId="0000007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Arocena, R., y Sutz, J. (2000). La universidad latinoamericana del futuro. Tendencias, escenarios, alternativas. Colección UDAL.</w:t>
      </w:r>
    </w:p>
    <w:p w:rsidR="00000000" w:rsidDel="00000000" w:rsidP="00000000" w:rsidRDefault="00000000" w:rsidRPr="00000000" w14:paraId="0000007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Bacchi, C. (2012). Why study problematizations? Making politics visible. </w:t>
      </w:r>
      <w:r w:rsidDel="00000000" w:rsidR="00000000" w:rsidRPr="00000000">
        <w:rPr>
          <w:rFonts w:ascii="Times New Roman" w:cs="Times New Roman" w:eastAsia="Times New Roman" w:hAnsi="Times New Roman"/>
          <w:i w:val="1"/>
          <w:iCs w:val="1"/>
          <w:rtl w:val="0"/>
        </w:rPr>
        <w:t xml:space="preserve">Open Journal of Political Science, 2</w:t>
      </w:r>
      <w:r w:rsidDel="00000000" w:rsidR="00000000" w:rsidRPr="00000000">
        <w:rPr>
          <w:rFonts w:ascii="Times New Roman" w:cs="Times New Roman" w:eastAsia="Times New Roman" w:hAnsi="Times New Roman"/>
          <w:rtl w:val="0"/>
        </w:rPr>
        <w:t xml:space="preserve">(1), 1–8. </w:t>
      </w:r>
      <w:r w:rsidDel="00000000" w:rsidR="00000000" w:rsidRPr="00000000">
        <w:rPr>
          <w:rtl w:val="0"/>
        </w:rPr>
      </w:r>
    </w:p>
    <w:p w:rsidR="00000000" w:rsidDel="00000000" w:rsidP="00000000" w:rsidRDefault="00000000" w:rsidRPr="00000000" w14:paraId="0000007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Bourdieu, P. (2008). </w:t>
      </w:r>
      <w:r w:rsidDel="00000000" w:rsidR="00000000" w:rsidRPr="00000000">
        <w:rPr>
          <w:rFonts w:ascii="Times New Roman" w:cs="Times New Roman" w:eastAsia="Times New Roman" w:hAnsi="Times New Roman"/>
          <w:i w:val="1"/>
          <w:iCs w:val="1"/>
          <w:rtl w:val="0"/>
        </w:rPr>
        <w:t xml:space="preserve">¿Qué significa hablar? Economía de los intercambios lingüísticos</w:t>
      </w:r>
      <w:r w:rsidDel="00000000" w:rsidR="00000000" w:rsidRPr="00000000">
        <w:rPr>
          <w:rFonts w:ascii="Times New Roman" w:cs="Times New Roman" w:eastAsia="Times New Roman" w:hAnsi="Times New Roman"/>
          <w:rtl w:val="0"/>
        </w:rPr>
        <w:t xml:space="preserve">. Akal. </w:t>
      </w:r>
    </w:p>
    <w:p w:rsidR="00000000" w:rsidDel="00000000" w:rsidP="00000000" w:rsidRDefault="00000000" w:rsidRPr="00000000" w14:paraId="0000007B">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Castro Martínez, E., y Vega Jurado, J. (2009). La tercera misión de las universidades: una revisión de la literatura. Revista Iberoamericana de Ciencia, Tecnología y Sociedad, 4(12), 83-107.</w:t>
      </w:r>
    </w:p>
    <w:p w:rsidR="00000000" w:rsidDel="00000000" w:rsidP="00000000" w:rsidRDefault="00000000" w:rsidRPr="00000000" w14:paraId="0000007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Casali, H. (2025) Funcionamiento de incubadoras universitarias de empresas como parte del ecosistema emprendedor. Estudio de casos múltiples. </w:t>
      </w:r>
      <w:r w:rsidDel="00000000" w:rsidR="00000000" w:rsidRPr="00000000">
        <w:rPr>
          <w:rFonts w:ascii="Times New Roman" w:cs="Times New Roman" w:eastAsia="Times New Roman" w:hAnsi="Times New Roman"/>
          <w:i w:val="1"/>
          <w:iCs w:val="1"/>
          <w:rtl w:val="0"/>
        </w:rPr>
        <w:t xml:space="preserve">Argentina business &amp; technology review </w:t>
      </w:r>
      <w:r w:rsidDel="00000000" w:rsidR="00000000" w:rsidRPr="00000000">
        <w:rPr>
          <w:rFonts w:ascii="Times New Roman" w:cs="Times New Roman" w:eastAsia="Times New Roman" w:hAnsi="Times New Roman"/>
          <w:rtl w:val="0"/>
        </w:rPr>
        <w:t xml:space="preserve">Vol I. </w:t>
      </w:r>
    </w:p>
    <w:p w:rsidR="00000000" w:rsidDel="00000000" w:rsidP="00000000" w:rsidRDefault="00000000" w:rsidRPr="00000000" w14:paraId="0000007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Clark, B. (1998). The Entrepreneurial University: Demand and Response. </w:t>
      </w:r>
      <w:r w:rsidDel="00000000" w:rsidR="00000000" w:rsidRPr="00000000">
        <w:rPr>
          <w:rFonts w:ascii="Times New Roman" w:cs="Times New Roman" w:eastAsia="Times New Roman" w:hAnsi="Times New Roman"/>
          <w:i w:val="1"/>
          <w:iCs w:val="1"/>
          <w:rtl w:val="0"/>
        </w:rPr>
        <w:t xml:space="preserve">Tertiary Education and Management</w:t>
      </w:r>
      <w:r w:rsidDel="00000000" w:rsidR="00000000" w:rsidRPr="00000000">
        <w:rPr>
          <w:rFonts w:ascii="Times New Roman" w:cs="Times New Roman" w:eastAsia="Times New Roman" w:hAnsi="Times New Roman"/>
          <w:rtl w:val="0"/>
        </w:rPr>
        <w:t xml:space="preserve">, Vol. 4, No. 1. pp. 5-16.</w:t>
      </w:r>
    </w:p>
    <w:p w:rsidR="00000000" w:rsidDel="00000000" w:rsidP="00000000" w:rsidRDefault="00000000" w:rsidRPr="00000000" w14:paraId="000000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Dias Sobrinho, J. (2003). </w:t>
      </w:r>
      <w:r w:rsidDel="00000000" w:rsidR="00000000" w:rsidRPr="00000000">
        <w:rPr>
          <w:rFonts w:ascii="Times New Roman" w:cs="Times New Roman" w:eastAsia="Times New Roman" w:hAnsi="Times New Roman"/>
          <w:i w:val="1"/>
          <w:iCs w:val="1"/>
          <w:rtl w:val="0"/>
        </w:rPr>
        <w:t xml:space="preserve">Avaliação: políticas educacionais e reformas da educação superior</w:t>
      </w:r>
      <w:r w:rsidDel="00000000" w:rsidR="00000000" w:rsidRPr="00000000">
        <w:rPr>
          <w:rFonts w:ascii="Times New Roman" w:cs="Times New Roman" w:eastAsia="Times New Roman" w:hAnsi="Times New Roman"/>
          <w:rtl w:val="0"/>
        </w:rPr>
        <w:t xml:space="preserve">. Cortez.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Estébanez, M.; Di Bello, M.; Versino, M. (2022). Universidad y «entornos»: reflexiones sobre la vinculación y el diseño de políticas universitarias en Argentina. Revista reflexiones, 101 (1). En Memoria Académica. Disponible en: </w:t>
      </w:r>
      <w:hyperlink r:id="rId12">
        <w:r w:rsidDel="00000000" w:rsidR="00000000" w:rsidRPr="00000000">
          <w:rPr>
            <w:rFonts w:ascii="Times New Roman" w:cs="Times New Roman" w:eastAsia="Times New Roman" w:hAnsi="Times New Roman"/>
            <w:rtl w:val="0"/>
          </w:rPr>
          <w:t xml:space="preserve">https://www.memoria.fahce.unlp.edu.ar/art_revistas/pr.15876/pr.15876.pdf</w:t>
        </w:r>
      </w:hyperlink>
      <w:r w:rsidDel="00000000" w:rsidR="00000000" w:rsidRPr="00000000">
        <w:rPr>
          <w:rtl w:val="0"/>
        </w:rPr>
      </w:r>
    </w:p>
    <w:p w:rsidR="00000000" w:rsidDel="00000000" w:rsidP="00000000" w:rsidRDefault="00000000" w:rsidRPr="00000000" w14:paraId="0000008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Etzkowitz, H. and Leydesdorff, L. (2000) The Dynamics of Innovation: From National Systems and “Mode 2” to a Triple Helix of University-Industry-Government Relations. Research Policy, 29, 109-123. http://dx.doi.org/10.1016/S0048-7333(99)00055-4</w:t>
      </w:r>
    </w:p>
    <w:p w:rsidR="00000000" w:rsidDel="00000000" w:rsidP="00000000" w:rsidRDefault="00000000" w:rsidRPr="00000000" w14:paraId="0000008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Gómez Arn, J. N. (2019). Desafíos de la evaluación institucional en el aseguramiento de la calidad de la extensión universitaria. </w:t>
      </w:r>
      <w:r w:rsidDel="00000000" w:rsidR="00000000" w:rsidRPr="00000000">
        <w:rPr>
          <w:rFonts w:ascii="Times New Roman" w:cs="Times New Roman" w:eastAsia="Times New Roman" w:hAnsi="Times New Roman"/>
          <w:i w:val="1"/>
          <w:iCs w:val="1"/>
          <w:rtl w:val="0"/>
        </w:rPr>
        <w:t xml:space="preserve">Revista Argentina de Educación Superior, 11</w:t>
      </w:r>
      <w:r w:rsidDel="00000000" w:rsidR="00000000" w:rsidRPr="00000000">
        <w:rPr>
          <w:rFonts w:ascii="Times New Roman" w:cs="Times New Roman" w:eastAsia="Times New Roman" w:hAnsi="Times New Roman"/>
          <w:rtl w:val="0"/>
        </w:rPr>
        <w:t xml:space="preserve">(18), 136–149. </w:t>
      </w:r>
    </w:p>
    <w:p w:rsidR="00000000" w:rsidDel="00000000" w:rsidP="00000000" w:rsidRDefault="00000000" w:rsidRPr="00000000" w14:paraId="0000008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Hill, C. y Laurence, E. (2004) Governance and Public Management, an Introduction. En </w:t>
      </w:r>
      <w:r w:rsidDel="00000000" w:rsidR="00000000" w:rsidRPr="00000000">
        <w:rPr>
          <w:rFonts w:ascii="Times New Roman" w:cs="Times New Roman" w:eastAsia="Times New Roman" w:hAnsi="Times New Roman"/>
          <w:i w:val="1"/>
          <w:iCs w:val="1"/>
          <w:rtl w:val="0"/>
        </w:rPr>
        <w:t xml:space="preserve">Journal of Policy Analysis and Management</w:t>
      </w:r>
      <w:r w:rsidDel="00000000" w:rsidR="00000000" w:rsidRPr="00000000">
        <w:rPr>
          <w:rFonts w:ascii="Times New Roman" w:cs="Times New Roman" w:eastAsia="Times New Roman" w:hAnsi="Times New Roman"/>
          <w:rtl w:val="0"/>
        </w:rPr>
        <w:t xml:space="preserve">, (23) 1, pp. 3-11</w:t>
      </w:r>
    </w:p>
    <w:p w:rsidR="00000000" w:rsidDel="00000000" w:rsidP="00000000" w:rsidRDefault="00000000" w:rsidRPr="00000000" w14:paraId="0000008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López, A. (2005). Los fundamentos de la Nueva Gestión Pública: lógica privada y poder tecnocrático en el Estado mínimo. In M. Thwaites Rey y A. López (Eds.), </w:t>
      </w:r>
      <w:r w:rsidDel="00000000" w:rsidR="00000000" w:rsidRPr="00000000">
        <w:rPr>
          <w:rFonts w:ascii="Times New Roman" w:cs="Times New Roman" w:eastAsia="Times New Roman" w:hAnsi="Times New Roman"/>
          <w:i w:val="1"/>
          <w:iCs w:val="1"/>
          <w:rtl w:val="0"/>
        </w:rPr>
        <w:t xml:space="preserve">Entre tecnócratas globalizados y políticos clientelistas. Derrotero del ajuste neoliberal en el Estado argentino</w:t>
      </w:r>
      <w:r w:rsidDel="00000000" w:rsidR="00000000" w:rsidRPr="00000000">
        <w:rPr>
          <w:rFonts w:ascii="Times New Roman" w:cs="Times New Roman" w:eastAsia="Times New Roman" w:hAnsi="Times New Roman"/>
          <w:rtl w:val="0"/>
        </w:rPr>
        <w:t xml:space="preserve"> (pp. 69–88). Prometeo.</w:t>
      </w:r>
    </w:p>
    <w:p w:rsidR="00000000" w:rsidDel="00000000" w:rsidP="00000000" w:rsidRDefault="00000000" w:rsidRPr="00000000" w14:paraId="0000008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López, A. (2007). </w:t>
      </w:r>
      <w:r w:rsidDel="00000000" w:rsidR="00000000" w:rsidRPr="00000000">
        <w:rPr>
          <w:rFonts w:ascii="Times New Roman" w:cs="Times New Roman" w:eastAsia="Times New Roman" w:hAnsi="Times New Roman"/>
          <w:i w:val="1"/>
          <w:iCs w:val="1"/>
          <w:rtl w:val="0"/>
        </w:rPr>
        <w:t xml:space="preserve">Desarrollo Institucional y Reforma del Estado. Indicadores de gestión para el monitoreo de las políticas de modernización en el sector público: Revisión teórica y propuesta para su elaboración</w:t>
      </w:r>
      <w:r w:rsidDel="00000000" w:rsidR="00000000" w:rsidRPr="00000000">
        <w:rPr>
          <w:rFonts w:ascii="Times New Roman" w:cs="Times New Roman" w:eastAsia="Times New Roman" w:hAnsi="Times New Roman"/>
          <w:rtl w:val="0"/>
        </w:rPr>
        <w:t xml:space="preserve">. INAP. http://biblioteca.clacso.edu.ar/Argentina/inap/20171117034605/pdf_395.pdf</w:t>
      </w:r>
    </w:p>
    <w:p w:rsidR="00000000" w:rsidDel="00000000" w:rsidP="00000000" w:rsidRDefault="00000000" w:rsidRPr="00000000" w14:paraId="0000008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(2017). Equilibrios y tensiones en dos décadas de acreditación universitaria en Argentina: Aportes para un modelo conceptual. </w:t>
      </w:r>
      <w:r w:rsidDel="00000000" w:rsidR="00000000" w:rsidRPr="00000000">
        <w:rPr>
          <w:rFonts w:ascii="Times New Roman" w:cs="Times New Roman" w:eastAsia="Times New Roman" w:hAnsi="Times New Roman"/>
          <w:i w:val="1"/>
          <w:iCs w:val="1"/>
          <w:rtl w:val="0"/>
        </w:rPr>
        <w:t xml:space="preserve">Revista Educación, 41</w:t>
      </w:r>
      <w:r w:rsidDel="00000000" w:rsidR="00000000" w:rsidRPr="00000000">
        <w:rPr>
          <w:rFonts w:ascii="Times New Roman" w:cs="Times New Roman" w:eastAsia="Times New Roman" w:hAnsi="Times New Roman"/>
          <w:rtl w:val="0"/>
        </w:rPr>
        <w:t xml:space="preserve">(2).</w:t>
      </w:r>
      <w:hyperlink r:id="rId13">
        <w:r w:rsidDel="00000000" w:rsidR="00000000" w:rsidRPr="00000000">
          <w:rPr>
            <w:rFonts w:ascii="Times New Roman" w:cs="Times New Roman" w:eastAsia="Times New Roman" w:hAnsi="Times New Roman"/>
            <w:rtl w:val="0"/>
          </w:rPr>
          <w:t xml:space="preserve"> </w:t>
        </w:r>
      </w:hyperlink>
      <w:hyperlink r:id="rId14">
        <w:r w:rsidDel="00000000" w:rsidR="00000000" w:rsidRPr="00000000">
          <w:rPr>
            <w:rFonts w:ascii="Times New Roman" w:cs="Times New Roman" w:eastAsia="Times New Roman" w:hAnsi="Times New Roman"/>
            <w:color w:val="1155cc"/>
            <w:u w:val="single"/>
            <w:rtl w:val="0"/>
          </w:rPr>
          <w:t xml:space="preserve">https://doi.org/10.15517/revedu.v41i2.21354</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Giménez, G., Rodríguez, W., &amp; Mazzeo, I. (2022). Implicancias del aseguramiento de la calidad (AC) en las universidades argentinas. </w:t>
      </w:r>
      <w:r w:rsidDel="00000000" w:rsidR="00000000" w:rsidRPr="00000000">
        <w:rPr>
          <w:rFonts w:ascii="Times New Roman" w:cs="Times New Roman" w:eastAsia="Times New Roman" w:hAnsi="Times New Roman"/>
          <w:i w:val="1"/>
          <w:iCs w:val="1"/>
          <w:rtl w:val="0"/>
        </w:rPr>
        <w:t xml:space="preserve">Revista Educación Superior y Sociedad, 34</w:t>
      </w:r>
      <w:r w:rsidDel="00000000" w:rsidR="00000000" w:rsidRPr="00000000">
        <w:rPr>
          <w:rFonts w:ascii="Times New Roman" w:cs="Times New Roman" w:eastAsia="Times New Roman" w:hAnsi="Times New Roman"/>
          <w:rtl w:val="0"/>
        </w:rPr>
        <w:t xml:space="preserve">(1), 104–130.</w:t>
      </w:r>
      <w:hyperlink r:id="rId15">
        <w:r w:rsidDel="00000000" w:rsidR="00000000" w:rsidRPr="00000000">
          <w:rPr>
            <w:rFonts w:ascii="Times New Roman" w:cs="Times New Roman" w:eastAsia="Times New Roman" w:hAnsi="Times New Roman"/>
            <w:rtl w:val="0"/>
          </w:rPr>
          <w:t xml:space="preserve"> </w:t>
        </w:r>
      </w:hyperlink>
      <w:hyperlink r:id="rId16">
        <w:r w:rsidDel="00000000" w:rsidR="00000000" w:rsidRPr="00000000">
          <w:rPr>
            <w:rFonts w:ascii="Times New Roman" w:cs="Times New Roman" w:eastAsia="Times New Roman" w:hAnsi="Times New Roman"/>
            <w:color w:val="1155cc"/>
            <w:u w:val="single"/>
            <w:rtl w:val="0"/>
          </w:rPr>
          <w:t xml:space="preserve">https://doi.org/10.54674/ess.v34i1.577</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Mazzeo, I. D., Pontes, A. P. F. S., &amp; Geglio, P. C. (2026). Evaluación y acreditación en instituciones de educación superior: Regulación en Brasil y Argentina. </w:t>
      </w:r>
      <w:r w:rsidDel="00000000" w:rsidR="00000000" w:rsidRPr="00000000">
        <w:rPr>
          <w:rFonts w:ascii="Times New Roman" w:cs="Times New Roman" w:eastAsia="Times New Roman" w:hAnsi="Times New Roman"/>
          <w:i w:val="1"/>
          <w:iCs w:val="1"/>
          <w:rtl w:val="0"/>
        </w:rPr>
        <w:t xml:space="preserve">Revista Práxis Educacional, 22</w:t>
      </w:r>
      <w:r w:rsidDel="00000000" w:rsidR="00000000" w:rsidRPr="00000000">
        <w:rPr>
          <w:rFonts w:ascii="Times New Roman" w:cs="Times New Roman" w:eastAsia="Times New Roman" w:hAnsi="Times New Roman"/>
          <w:rtl w:val="0"/>
        </w:rPr>
        <w:t xml:space="preserve">(53), e18678. https://doi.org/10.22481/praxisedu.v22i53.18678 </w:t>
      </w:r>
    </w:p>
    <w:p w:rsidR="00000000" w:rsidDel="00000000" w:rsidP="00000000" w:rsidRDefault="00000000" w:rsidRPr="00000000" w14:paraId="00000088">
      <w:pPr>
        <w:spacing w:after="200" w:line="240"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Molas-Gallart, J., Salter, A., Patel, P., Scott, A., y Duran, X. (2002). Measuring third stream activities: Final report to the Russell Group of Universities. Science and Technology Policy Research (SPRU), University of Sussex.</w:t>
      </w:r>
      <w:hyperlink r:id="rId17">
        <w:r w:rsidDel="00000000" w:rsidR="00000000" w:rsidRPr="00000000">
          <w:rPr>
            <w:rFonts w:ascii="Times New Roman" w:cs="Times New Roman" w:eastAsia="Times New Roman" w:hAnsi="Times New Roman"/>
            <w:rtl w:val="0"/>
          </w:rPr>
          <w:t xml:space="preserve"> </w:t>
        </w:r>
      </w:hyperlink>
      <w:hyperlink r:id="rId18">
        <w:r w:rsidDel="00000000" w:rsidR="00000000" w:rsidRPr="00000000">
          <w:rPr>
            <w:rFonts w:ascii="Times New Roman" w:cs="Times New Roman" w:eastAsia="Times New Roman" w:hAnsi="Times New Roman"/>
            <w:u w:val="single"/>
            <w:rtl w:val="0"/>
          </w:rPr>
          <w:t xml:space="preserve">https://doi.org/10.13140/2.1.3518.2404</w:t>
        </w:r>
      </w:hyperlink>
      <w:r w:rsidDel="00000000" w:rsidR="00000000" w:rsidRPr="00000000">
        <w:rPr>
          <w:rtl w:val="0"/>
        </w:rPr>
      </w:r>
    </w:p>
    <w:p w:rsidR="00000000" w:rsidDel="00000000" w:rsidP="00000000" w:rsidRDefault="00000000" w:rsidRPr="00000000" w14:paraId="0000008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Salinas, L. (2024). Análisis de los procesos de evaluación institucional y de acreditación en la educación superior de Argentina. </w:t>
      </w:r>
      <w:r w:rsidDel="00000000" w:rsidR="00000000" w:rsidRPr="00000000">
        <w:rPr>
          <w:rFonts w:ascii="Times New Roman" w:cs="Times New Roman" w:eastAsia="Times New Roman" w:hAnsi="Times New Roman"/>
          <w:i w:val="1"/>
          <w:iCs w:val="1"/>
          <w:rtl w:val="0"/>
        </w:rPr>
        <w:t xml:space="preserve">Debate Universitario, 16</w:t>
      </w:r>
      <w:r w:rsidDel="00000000" w:rsidR="00000000" w:rsidRPr="00000000">
        <w:rPr>
          <w:rFonts w:ascii="Times New Roman" w:cs="Times New Roman" w:eastAsia="Times New Roman" w:hAnsi="Times New Roman"/>
          <w:rtl w:val="0"/>
        </w:rPr>
        <w:t xml:space="preserve">(25), 46–60.</w:t>
      </w:r>
      <w:hyperlink r:id="rId19">
        <w:r w:rsidDel="00000000" w:rsidR="00000000" w:rsidRPr="00000000">
          <w:rPr>
            <w:rFonts w:ascii="Times New Roman" w:cs="Times New Roman" w:eastAsia="Times New Roman" w:hAnsi="Times New Roman"/>
            <w:rtl w:val="0"/>
          </w:rPr>
          <w:t xml:space="preserve"> </w:t>
        </w:r>
      </w:hyperlink>
      <w:hyperlink r:id="rId20">
        <w:r w:rsidDel="00000000" w:rsidR="00000000" w:rsidRPr="00000000">
          <w:rPr>
            <w:rFonts w:ascii="Times New Roman" w:cs="Times New Roman" w:eastAsia="Times New Roman" w:hAnsi="Times New Roman"/>
            <w:color w:val="1155cc"/>
            <w:u w:val="single"/>
            <w:rtl w:val="0"/>
          </w:rPr>
          <w:t xml:space="preserve">https://doi.org/10.59471/debate2024306</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8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Schneider, C, y Roca, A. (2018) El legado reformista en las nuevas universidades del conurbano : inclusión, democracia, conocimiento- Avellaneda : Undav Ediciones ; José C. Paz : UNPaz ; Moreno : Universidad Nacional de Moreno ; Hurlingham : Universidad Nacional de Hurlingham ; Florencio Varela : Universidad Nacional Arturo Jauretche. </w:t>
      </w:r>
    </w:p>
    <w:p w:rsidR="00000000" w:rsidDel="00000000" w:rsidP="00000000" w:rsidRDefault="00000000" w:rsidRPr="00000000" w14:paraId="0000008B">
      <w:pPr>
        <w:spacing w:after="20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Tünnermann, C. (2000). La pertinencia de la educación superior. Conferencia Regional de Educación Superior en América Latina y el Caribe. UNESCO.</w:t>
      </w:r>
    </w:p>
    <w:p w:rsidR="00000000" w:rsidDel="00000000" w:rsidP="00000000" w:rsidRDefault="00000000" w:rsidRPr="00000000" w14:paraId="0000008C">
      <w:pPr>
        <w:spacing w:after="20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Vasilachis de Gialdino, I. (Coord.). (2006). </w:t>
      </w:r>
      <w:r w:rsidDel="00000000" w:rsidR="00000000" w:rsidRPr="00000000">
        <w:rPr>
          <w:rFonts w:ascii="Times New Roman" w:cs="Times New Roman" w:eastAsia="Times New Roman" w:hAnsi="Times New Roman"/>
          <w:i w:val="1"/>
          <w:iCs w:val="1"/>
          <w:rtl w:val="0"/>
        </w:rPr>
        <w:t xml:space="preserve">Estrategias de investigación cualitativa</w:t>
      </w:r>
      <w:r w:rsidDel="00000000" w:rsidR="00000000" w:rsidRPr="00000000">
        <w:rPr>
          <w:rFonts w:ascii="Times New Roman" w:cs="Times New Roman" w:eastAsia="Times New Roman" w:hAnsi="Times New Roman"/>
          <w:rtl w:val="0"/>
        </w:rPr>
        <w:t xml:space="preserve">. Gedisa.</w:t>
      </w:r>
    </w:p>
    <w:p w:rsidR="00000000" w:rsidDel="00000000" w:rsidP="00000000" w:rsidRDefault="00000000" w:rsidRPr="00000000" w14:paraId="0000008D">
      <w:pPr>
        <w:spacing w:line="24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8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ANEXOS </w:t>
      </w:r>
    </w:p>
    <w:p w:rsidR="00000000" w:rsidDel="00000000" w:rsidP="00000000" w:rsidRDefault="00000000" w:rsidRPr="00000000" w14:paraId="00000090">
      <w:pPr>
        <w:numPr>
          <w:ilvl w:val="0"/>
          <w:numId w:val="1"/>
        </w:numPr>
        <w:spacing w:line="240" w:lineRule="auto"/>
        <w:ind w:left="720" w:hanging="360"/>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Taxonomías analíticas (categorías ) a partir de la lectura de las recomendaciones, organizadas por ejes. </w:t>
      </w:r>
      <w:r w:rsidDel="00000000" w:rsidR="00000000" w:rsidRPr="00000000">
        <w:rPr>
          <w:rtl w:val="0"/>
        </w:rPr>
      </w:r>
    </w:p>
    <w:sdt>
      <w:sdtPr>
        <w:lock w:val="contentLocked"/>
        <w:id w:val="1010615295"/>
        <w:tag w:val="goog_rdk_0"/>
      </w:sdtPr>
      <w:sdtContent>
        <w:tbl>
          <w:tblPr>
            <w:tblStyle w:val="Table1"/>
            <w:tblW w:w="84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3015"/>
            <w:gridCol w:w="3645"/>
            <w:tblGridChange w:id="0">
              <w:tblGrid>
                <w:gridCol w:w="1800"/>
                <w:gridCol w:w="3015"/>
                <w:gridCol w:w="36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Eje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Categorías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Definición / Contenido </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Gobernanza e Institucionali- zación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Fortalecimiento institucional</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Creación o consolidación de estructuras organizacionales</w:t>
                  <w:tab/>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Política institucional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Definición de lineamientos, estrategias y orientaciones institucionales.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Gestión y planificación</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Planificación estratégica, programación y gestión de actividades.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Evaluación y seguimiento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Monitoreo, indicadores, evaluación de resultados y mejora continua.</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Normativa y reglamentación</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Reglamentos, procedimientos y marcos normativos internos.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Vinculación y transferencia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Transferencia tecnológica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Transferencia de conocimiento, tecnologías y capacidades.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Vinculación universidad-entorno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Articulación general con actores externos.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Vinculación universidad-empresa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Relaciones con empresas y sectores productivos.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Prestación de servicios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Servicios tecnológicos, consultorías y asistencia técnica.</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Identificación de demandas</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Detección de necesidades del entorno.</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Gestión de la propiedad intelectual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Patentes, licencias, royalties y protección de resultados.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Extensión y compromiso social</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Compromiso social y extensión</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Actividades extensionistas y trabajo con comunidades.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Desarrollo territorial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Desarrollo local y regional.</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Inclusión social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Acciones dirigidas a poblaciones vulnerables o ampliación de derechos.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de problemas públicos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Intervenciones orientadas a problemáticas sociales complejas.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Articulación de funciones universitarias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Integración de funciones universitarias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Articulación entre docencia, investigación y extensión.</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Curricularización de la extensión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Integración de actividades extensionistas a la formación.</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Formación y capacitación</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Capacitación de estudiantes, docentes, graduados o actores externos.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Redes y comunicación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Redes y articulación institucional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Convenios, asociaciones y trabajo colaborativo.</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Articulación con gobiernos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Relaciones con organismos públicos.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Comunicación y difusión</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Visibilización y circulación de actividades y resultados.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Vinculación con graduados</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Participación y seguimiento de graduados.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Innovación y desarrollo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Innovación social</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Soluciones innovadoras a problemas sociales.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Emprendedurismo</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Creación de emprendimientos y cultura emprendedora.</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Movilización de capacidades científicas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Aplicación de capacidades de investigación para responder a demandas sociales, productivas o gubernamentales.</w:t>
                </w:r>
              </w:p>
            </w:tc>
          </w:tr>
        </w:tbl>
      </w:sdtContent>
    </w:sdt>
    <w:p w:rsidR="00000000" w:rsidDel="00000000" w:rsidP="00000000" w:rsidRDefault="00000000" w:rsidRPr="00000000" w14:paraId="000000E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Matriz de categorías elaborada </w:t>
      </w:r>
      <w:r w:rsidDel="00000000" w:rsidR="00000000" w:rsidRPr="00000000">
        <w:rPr>
          <w:rFonts w:ascii="Times New Roman" w:cs="Times New Roman" w:eastAsia="Times New Roman" w:hAnsi="Times New Roman"/>
          <w:sz w:val="20"/>
          <w:szCs w:val="20"/>
          <w:rtl w:val="0"/>
        </w:rPr>
        <w:t xml:space="preserve">con apoyo de IA (ChatGPT 5) </w:t>
      </w:r>
      <w:r w:rsidDel="00000000" w:rsidR="00000000" w:rsidRPr="00000000">
        <w:rPr>
          <w:rFonts w:ascii="Times New Roman" w:cs="Times New Roman" w:eastAsia="Times New Roman" w:hAnsi="Times New Roman"/>
          <w:sz w:val="20"/>
          <w:szCs w:val="20"/>
          <w:rtl w:val="0"/>
        </w:rPr>
        <w:t xml:space="preserve">a partir del corpus de recomendaciones (realizada de manera manual) y revisada y ajustada a partir de la discusión entre las autoras de esta ponencia. </w:t>
      </w:r>
    </w:p>
    <w:p w:rsidR="00000000" w:rsidDel="00000000" w:rsidP="00000000" w:rsidRDefault="00000000" w:rsidRPr="00000000" w14:paraId="000000EB">
      <w:pPr>
        <w:spacing w:line="24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EC">
      <w:pPr>
        <w:numPr>
          <w:ilvl w:val="0"/>
          <w:numId w:val="1"/>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Matriz de evaluación de adecuación de criterios al período</w:t>
      </w:r>
      <w:r w:rsidDel="00000000" w:rsidR="00000000" w:rsidRPr="00000000">
        <w:rPr>
          <w:rFonts w:ascii="Times New Roman" w:cs="Times New Roman" w:eastAsia="Times New Roman" w:hAnsi="Times New Roman"/>
          <w:rtl w:val="0"/>
        </w:rPr>
        <w:t xml:space="preserve"> </w:t>
      </w:r>
    </w:p>
    <w:sdt>
      <w:sdtPr>
        <w:lock w:val="contentLocked"/>
        <w:id w:val="-1820083863"/>
        <w:tag w:val="goog_rdk_1"/>
      </w:sdtPr>
      <w:sdtContent>
        <w:tbl>
          <w:tblPr>
            <w:tblStyle w:val="Table2"/>
            <w:tblW w:w="84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05"/>
            <w:gridCol w:w="1350"/>
            <w:gridCol w:w="5505"/>
            <w:tblGridChange w:id="0">
              <w:tblGrid>
                <w:gridCol w:w="1605"/>
                <w:gridCol w:w="1350"/>
                <w:gridCol w:w="55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Valoración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Criterios </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el ciclo neoliberal, 1990-2002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Muy Alto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transferencia tecnológica</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vinculación universidad-empresa</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prestación de servicios tecnológicos</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identificación de demandas productivas</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profesionalización de la gestión</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eficiencia organizacional</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mecanismos de evaluación y planificación</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creación o fortalecimiento de estructuras de vinculación</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formalización de políticas institucionales</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coordinación de actividades de extensión y transferencia</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fortalecimiento de capacidades organizacionales</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recomendaciones generales de extensión sin referencia clara al entorno productivo</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Bajo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enfoques centrados exclusivamente en participación comunitaria o transformación social sin articulación con agendas de modernización</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Muy bajo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la expansión estatal, 2003-2015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Muy Alto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extensión universitaria</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articulación con comunidades</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desarrollo local</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inclusión social</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territorialización</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integración docencia-investigación-extensión</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fortalecimiento institucional de la extensión</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proyectos orientados a resolver problemas sociales</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vinculación tecnológica articulada con necesidades territoriales</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fortalecimiento de áreas institucionales de vinculación y extensión</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curricularización de la extensión</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recomendaciones generales de gestión o planificación</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Bajo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énfasis exclusivo en rentabilidad o generación de ingresos</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Muy bajo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(iii) la incorporación de agendas de innovación social y emprendedurismo, 2016-2019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Muy Alto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innovación social</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impacto verificable</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emprendedurismo</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incubación de proyectos</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medición de resultados</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curricularización de la extensión</w:t>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articulación estratégica con actores externos</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fortalecimiento institucional orientado a resultados</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vinculación con objetivos estratégicos institucionales</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recomendaciones generales sobre extensión y vinculación</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Bajo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enfoques exclusivamente asistencialistas sin referencia a innovación, impacto o articulación estratégica</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Muy bajo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la rearticulación del sistema científico-universitario, 2020-2023</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Muy Alto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de problemas públicos</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articulación territorial</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trabajo interdisciplinario</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movilización de capacidades científicas</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articulación con gobiernos y organizaciones</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impacto social</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atención de demandas complejas</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fortalecimiento de redes institucionales</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vinculación con actores territoriales</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recomendaciones organizacionales generales</w:t>
                </w: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Bajo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enfoques desvinculados de problemas sociales o territoriales concretos</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Muy bajo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bl>
      </w:sdtContent>
    </w:sdt>
    <w:p w:rsidR="00000000" w:rsidDel="00000000" w:rsidP="00000000" w:rsidRDefault="00000000" w:rsidRPr="00000000" w14:paraId="000001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No se incluye la etapa </w:t>
      </w:r>
      <w:r w:rsidDel="00000000" w:rsidR="00000000" w:rsidRPr="00000000">
        <w:rPr>
          <w:rFonts w:ascii="Times New Roman" w:cs="Times New Roman" w:eastAsia="Times New Roman" w:hAnsi="Times New Roman"/>
          <w:i w:val="1"/>
          <w:iCs w:val="1"/>
          <w:rtl w:val="0"/>
        </w:rPr>
        <w:t xml:space="preserve">(v) la retracción del financiamiento público a partir de 2024</w:t>
      </w:r>
      <w:r w:rsidDel="00000000" w:rsidR="00000000" w:rsidRPr="00000000">
        <w:rPr>
          <w:rFonts w:ascii="Times New Roman" w:cs="Times New Roman" w:eastAsia="Times New Roman" w:hAnsi="Times New Roman"/>
          <w:rtl w:val="0"/>
        </w:rPr>
        <w:t xml:space="preserve"> ya que se encuentra por fuera del período de las recomendaciones publicadas. </w:t>
      </w:r>
    </w:p>
    <w:p w:rsidR="00000000" w:rsidDel="00000000" w:rsidP="00000000" w:rsidRDefault="00000000" w:rsidRPr="00000000" w14:paraId="000001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Matriz elaborada a partir del artículo Alvarez </w:t>
      </w:r>
      <w:r w:rsidDel="00000000" w:rsidR="00000000" w:rsidRPr="00000000">
        <w:rPr>
          <w:rFonts w:ascii="Times New Roman" w:cs="Times New Roman" w:eastAsia="Times New Roman" w:hAnsi="Times New Roman"/>
          <w:sz w:val="20"/>
          <w:szCs w:val="20"/>
          <w:rtl w:val="0"/>
        </w:rPr>
        <w:t xml:space="preserve">et al.</w:t>
      </w:r>
      <w:r w:rsidDel="00000000" w:rsidR="00000000" w:rsidRPr="00000000">
        <w:rPr>
          <w:rFonts w:ascii="Times New Roman" w:cs="Times New Roman" w:eastAsia="Times New Roman" w:hAnsi="Times New Roman"/>
          <w:sz w:val="20"/>
          <w:szCs w:val="20"/>
          <w:rtl w:val="0"/>
        </w:rPr>
        <w:t xml:space="preserve"> (2025) con apoyo de IA (ChatGPT 5) y ajustada de manera manual a partir de la discusión del resultado entre las autoras de este paper.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5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spacing w:line="24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53">
      <w:pPr>
        <w:numPr>
          <w:ilvl w:val="0"/>
          <w:numId w:val="1"/>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Escala de Adecuación de la recomendación al período </w:t>
      </w:r>
    </w:p>
    <w:sdt>
      <w:sdtPr>
        <w:lock w:val="contentLocked"/>
        <w:id w:val="-1196558368"/>
        <w:tag w:val="goog_rdk_2"/>
      </w:sdtPr>
      <w:sdtContent>
        <w:tbl>
          <w:tblPr>
            <w:tblStyle w:val="Table3"/>
            <w:tblW w:w="84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7275"/>
            <w:tblGridChange w:id="0">
              <w:tblGrid>
                <w:gridCol w:w="1215"/>
                <w:gridCol w:w="72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Muy alto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xpresa de manera directa uno o varios de los criterios centrales identificados para el período y es plenamente consistente con sus instrumentos, discursos y formas de intervención.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rtl w:val="0"/>
                  </w:rPr>
                  <w:t xml:space="preserve">e encuentra claramente alineada con los criterios predominantes del período, aunque no constituye uno de sus ejes principales.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rtl w:val="0"/>
                  </w:rPr>
                  <w:t xml:space="preserve">s compatible con el período, pero refiere a aspectos generales de gestión o institucionalización que podrían encontrarse en más de un período.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Bajo / Muy bajo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t>
                </w:r>
                <w:r w:rsidDel="00000000" w:rsidR="00000000" w:rsidRPr="00000000">
                  <w:rPr>
                    <w:rFonts w:ascii="Times New Roman" w:cs="Times New Roman" w:eastAsia="Times New Roman" w:hAnsi="Times New Roman"/>
                    <w:rtl w:val="0"/>
                  </w:rPr>
                  <w:t xml:space="preserve">iene una relación débil o inconsistente con los criterios dominantes del período o remite a aspectos secundarios.</w:t>
                </w:r>
                <w:r w:rsidDel="00000000" w:rsidR="00000000" w:rsidRPr="00000000">
                  <w:rPr>
                    <w:rtl w:val="0"/>
                  </w:rPr>
                </w:r>
              </w:p>
            </w:tc>
          </w:tr>
        </w:tbl>
      </w:sdtContent>
    </w:sdt>
    <w:p w:rsidR="00000000" w:rsidDel="00000000" w:rsidP="00000000" w:rsidRDefault="00000000" w:rsidRPr="00000000" w14:paraId="0000015C">
      <w:pPr>
        <w:spacing w:line="240" w:lineRule="auto"/>
        <w:jc w:val="left"/>
        <w:rPr>
          <w:rFonts w:ascii="Times New Roman" w:cs="Times New Roman" w:eastAsia="Times New Roman" w:hAnsi="Times New Roman"/>
        </w:rPr>
      </w:pPr>
      <w:r w:rsidDel="00000000" w:rsidR="00000000" w:rsidRPr="00000000">
        <w:rPr>
          <w:rtl w:val="0"/>
        </w:rPr>
      </w:r>
    </w:p>
    <w:sectPr>
      <w:headerReference r:id="rId21" w:type="default"/>
      <w:footerReference r:id="rId2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59471/debate2024306" TargetMode="External"/><Relationship Id="rId11" Type="http://schemas.openxmlformats.org/officeDocument/2006/relationships/image" Target="media/image1.png"/><Relationship Id="rId22" Type="http://schemas.openxmlformats.org/officeDocument/2006/relationships/footer" Target="footer1.xml"/><Relationship Id="rId10" Type="http://schemas.openxmlformats.org/officeDocument/2006/relationships/image" Target="media/image4.png"/><Relationship Id="rId21" Type="http://schemas.openxmlformats.org/officeDocument/2006/relationships/header" Target="header1.xml"/><Relationship Id="rId13" Type="http://schemas.openxmlformats.org/officeDocument/2006/relationships/hyperlink" Target="https://doi.org/10.15517/revedu.v41i2.21354" TargetMode="External"/><Relationship Id="rId12" Type="http://schemas.openxmlformats.org/officeDocument/2006/relationships/hyperlink" Target="https://www.memoria.fahce.unlp.edu.ar/art_revistas/pr.15876/pr.15876.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perezhernandez@untref.edu.ar" TargetMode="External"/><Relationship Id="rId15" Type="http://schemas.openxmlformats.org/officeDocument/2006/relationships/hyperlink" Target="https://doi.org/10.54674/ess.v34i1.577" TargetMode="External"/><Relationship Id="rId14" Type="http://schemas.openxmlformats.org/officeDocument/2006/relationships/hyperlink" Target="https://doi.org/10.15517/revedu.v41i2.21354" TargetMode="External"/><Relationship Id="rId17" Type="http://schemas.openxmlformats.org/officeDocument/2006/relationships/hyperlink" Target="https://doi.org/10.13140/2.1.3518.2404" TargetMode="External"/><Relationship Id="rId16" Type="http://schemas.openxmlformats.org/officeDocument/2006/relationships/hyperlink" Target="https://doi.org/10.54674/ess.v34i1.577" TargetMode="External"/><Relationship Id="rId5" Type="http://schemas.openxmlformats.org/officeDocument/2006/relationships/styles" Target="styles.xml"/><Relationship Id="rId19" Type="http://schemas.openxmlformats.org/officeDocument/2006/relationships/hyperlink" Target="https://doi.org/10.59471/debate2024306" TargetMode="External"/><Relationship Id="rId6" Type="http://schemas.openxmlformats.org/officeDocument/2006/relationships/customXml" Target="../customXML/item1.xml"/><Relationship Id="rId18" Type="http://schemas.openxmlformats.org/officeDocument/2006/relationships/hyperlink" Target="https://doi.org/10.13140/2.1.3518.2404" TargetMode="External"/><Relationship Id="rId7" Type="http://schemas.openxmlformats.org/officeDocument/2006/relationships/hyperlink" Target="mailto:vxhardez@untref.edu.ar" TargetMode="External"/><Relationship Id="rId8" Type="http://schemas.openxmlformats.org/officeDocument/2006/relationships/hyperlink" Target="mailto:malvarez@untref.edu.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EOB7vTS+zb+b3bumDWxo2mbnhw==">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