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A874" w14:textId="77777777" w:rsidR="00624CFA" w:rsidRPr="00624CFA" w:rsidRDefault="00624CFA" w:rsidP="00624CFA">
      <w:pPr>
        <w:jc w:val="center"/>
        <w:rPr>
          <w:rFonts w:ascii="Times New Roman" w:hAnsi="Times New Roman" w:cs="Times New Roman"/>
          <w:lang w:val="es-AR"/>
        </w:rPr>
      </w:pPr>
      <w:r w:rsidRPr="00624CFA">
        <w:rPr>
          <w:rFonts w:ascii="Times New Roman" w:hAnsi="Times New Roman" w:cs="Times New Roman"/>
          <w:b/>
          <w:bCs/>
          <w:lang w:val="es-AR"/>
        </w:rPr>
        <w:t>Gestión integral de las plazas de La Matanza como bienes culturales y activos territoriales</w:t>
      </w:r>
    </w:p>
    <w:p w14:paraId="43C49479" w14:textId="77777777" w:rsidR="005F3B2E" w:rsidRPr="00BA642E" w:rsidRDefault="005F3B2E" w:rsidP="001923DC">
      <w:pPr>
        <w:jc w:val="center"/>
        <w:rPr>
          <w:rFonts w:ascii="Times New Roman" w:hAnsi="Times New Roman" w:cs="Times New Roman"/>
        </w:rPr>
      </w:pPr>
    </w:p>
    <w:p w14:paraId="7FD5488C" w14:textId="77777777" w:rsidR="00624CFA" w:rsidRDefault="00624CFA" w:rsidP="005F3B2E">
      <w:pPr>
        <w:spacing w:after="0" w:line="240" w:lineRule="auto"/>
        <w:jc w:val="right"/>
        <w:rPr>
          <w:rFonts w:ascii="Times New Roman" w:hAnsi="Times New Roman" w:cs="Times New Roman"/>
        </w:rPr>
      </w:pPr>
    </w:p>
    <w:p w14:paraId="63E3160A" w14:textId="1C629DFC" w:rsidR="00624CFA" w:rsidRPr="00BA642E" w:rsidRDefault="00624CFA" w:rsidP="00624CFA">
      <w:pPr>
        <w:spacing w:after="0" w:line="240" w:lineRule="auto"/>
        <w:jc w:val="right"/>
        <w:rPr>
          <w:rFonts w:ascii="Times New Roman" w:hAnsi="Times New Roman" w:cs="Times New Roman"/>
        </w:rPr>
      </w:pPr>
      <w:r>
        <w:rPr>
          <w:rFonts w:ascii="Times New Roman" w:hAnsi="Times New Roman" w:cs="Times New Roman"/>
        </w:rPr>
        <w:t>Tobar Ver</w:t>
      </w:r>
      <w:r w:rsidR="008B5C60">
        <w:rPr>
          <w:rFonts w:ascii="Times New Roman" w:hAnsi="Times New Roman" w:cs="Times New Roman"/>
        </w:rPr>
        <w:t>ó</w:t>
      </w:r>
      <w:r>
        <w:rPr>
          <w:rFonts w:ascii="Times New Roman" w:hAnsi="Times New Roman" w:cs="Times New Roman"/>
        </w:rPr>
        <w:t>nica Vanesa</w:t>
      </w:r>
    </w:p>
    <w:p w14:paraId="19D17CA4" w14:textId="77777777" w:rsidR="00624CFA" w:rsidRPr="00BA642E" w:rsidRDefault="00624CFA" w:rsidP="00624CFA">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14A74E7C" w14:textId="77777777" w:rsidR="00624CFA" w:rsidRPr="00BA642E" w:rsidRDefault="00624CFA" w:rsidP="00624CFA">
      <w:pPr>
        <w:spacing w:after="0" w:line="240" w:lineRule="auto"/>
        <w:jc w:val="right"/>
        <w:rPr>
          <w:rFonts w:ascii="Times New Roman" w:hAnsi="Times New Roman" w:cs="Times New Roman"/>
        </w:rPr>
      </w:pPr>
      <w:r>
        <w:rPr>
          <w:rFonts w:ascii="Times New Roman" w:hAnsi="Times New Roman" w:cs="Times New Roman"/>
        </w:rPr>
        <w:t>vtobar@unlam.edu.ar</w:t>
      </w:r>
    </w:p>
    <w:p w14:paraId="0BD44AC1" w14:textId="77777777" w:rsidR="00624CFA" w:rsidRDefault="00624CFA" w:rsidP="005F3B2E">
      <w:pPr>
        <w:spacing w:after="0" w:line="240" w:lineRule="auto"/>
        <w:jc w:val="right"/>
        <w:rPr>
          <w:rFonts w:ascii="Times New Roman" w:hAnsi="Times New Roman" w:cs="Times New Roman"/>
        </w:rPr>
      </w:pPr>
    </w:p>
    <w:p w14:paraId="4E738780" w14:textId="717AB9A5" w:rsidR="005F3B2E" w:rsidRPr="00BA642E" w:rsidRDefault="00E36031" w:rsidP="005F3B2E">
      <w:pPr>
        <w:spacing w:after="0" w:line="240" w:lineRule="auto"/>
        <w:jc w:val="right"/>
        <w:rPr>
          <w:rFonts w:ascii="Times New Roman" w:hAnsi="Times New Roman" w:cs="Times New Roman"/>
        </w:rPr>
      </w:pPr>
      <w:r>
        <w:rPr>
          <w:rFonts w:ascii="Times New Roman" w:hAnsi="Times New Roman" w:cs="Times New Roman"/>
        </w:rPr>
        <w:t>Sancci Adrián</w:t>
      </w:r>
      <w:r w:rsidR="002C090D">
        <w:rPr>
          <w:rFonts w:ascii="Times New Roman" w:hAnsi="Times New Roman" w:cs="Times New Roman"/>
        </w:rPr>
        <w:t xml:space="preserve"> Sergio</w:t>
      </w:r>
    </w:p>
    <w:p w14:paraId="6C2AECCA" w14:textId="207A9D6E" w:rsidR="005F3B2E" w:rsidRPr="00BA642E" w:rsidRDefault="00E36031"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2B79A10" w14:textId="5B79711F" w:rsidR="00624CFA" w:rsidRDefault="00624CFA" w:rsidP="00624CFA">
      <w:pPr>
        <w:spacing w:after="0" w:line="240" w:lineRule="auto"/>
        <w:jc w:val="right"/>
        <w:rPr>
          <w:rFonts w:ascii="Times New Roman" w:hAnsi="Times New Roman" w:cs="Times New Roman"/>
        </w:rPr>
      </w:pPr>
      <w:hyperlink r:id="rId7" w:history="1">
        <w:r w:rsidRPr="006B4CED">
          <w:rPr>
            <w:rStyle w:val="Hipervnculo"/>
            <w:rFonts w:ascii="Times New Roman" w:hAnsi="Times New Roman" w:cs="Times New Roman"/>
          </w:rPr>
          <w:t>asancci@unlam.edu.ar</w:t>
        </w:r>
      </w:hyperlink>
    </w:p>
    <w:p w14:paraId="65403315" w14:textId="77777777" w:rsidR="00624CFA" w:rsidRDefault="00624CFA" w:rsidP="00624CFA">
      <w:pPr>
        <w:spacing w:after="0" w:line="240" w:lineRule="auto"/>
        <w:jc w:val="right"/>
        <w:rPr>
          <w:rFonts w:ascii="Times New Roman" w:hAnsi="Times New Roman" w:cs="Times New Roman"/>
        </w:rPr>
      </w:pPr>
    </w:p>
    <w:p w14:paraId="3F6986E9" w14:textId="35C4F142" w:rsidR="005F3B2E" w:rsidRPr="00BA642E" w:rsidRDefault="00101BAB" w:rsidP="00624CFA">
      <w:pPr>
        <w:spacing w:after="0" w:line="240" w:lineRule="auto"/>
        <w:jc w:val="right"/>
        <w:rPr>
          <w:rFonts w:ascii="Times New Roman" w:hAnsi="Times New Roman" w:cs="Times New Roman"/>
        </w:rPr>
      </w:pPr>
      <w:r>
        <w:rPr>
          <w:rFonts w:ascii="Times New Roman" w:hAnsi="Times New Roman" w:cs="Times New Roman"/>
        </w:rPr>
        <w:t>Polola Laura Cristina</w:t>
      </w:r>
    </w:p>
    <w:p w14:paraId="4209FDEE" w14:textId="77777777" w:rsidR="002C090D" w:rsidRPr="00BA642E" w:rsidRDefault="002C090D" w:rsidP="002C090D">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1B43FD84" w14:textId="37361293" w:rsidR="001923DC" w:rsidRDefault="00FA6C95" w:rsidP="00FA6C95">
      <w:pPr>
        <w:spacing w:after="0" w:line="240" w:lineRule="auto"/>
        <w:jc w:val="right"/>
        <w:rPr>
          <w:rFonts w:ascii="Times New Roman" w:hAnsi="Times New Roman" w:cs="Times New Roman"/>
        </w:rPr>
      </w:pPr>
      <w:r>
        <w:rPr>
          <w:rFonts w:ascii="Times New Roman" w:hAnsi="Times New Roman" w:cs="Times New Roman"/>
        </w:rPr>
        <w:t xml:space="preserve">                                                                                                     </w:t>
      </w:r>
      <w:hyperlink r:id="rId8" w:history="1">
        <w:r w:rsidR="004A6755" w:rsidRPr="00DC0F86">
          <w:rPr>
            <w:rStyle w:val="Hipervnculo"/>
            <w:rFonts w:ascii="Times New Roman" w:hAnsi="Times New Roman" w:cs="Times New Roman"/>
          </w:rPr>
          <w:t>lpolola@unlam.edu.ar</w:t>
        </w:r>
      </w:hyperlink>
    </w:p>
    <w:p w14:paraId="5E343C10" w14:textId="77777777" w:rsidR="00FA6C95" w:rsidRPr="00BA642E" w:rsidRDefault="00FA6C95" w:rsidP="001923DC">
      <w:pPr>
        <w:jc w:val="center"/>
        <w:rPr>
          <w:rFonts w:ascii="Times New Roman" w:hAnsi="Times New Roman" w:cs="Times New Roman"/>
        </w:rPr>
      </w:pPr>
    </w:p>
    <w:p w14:paraId="714018CD" w14:textId="4B434501" w:rsidR="00BA642E" w:rsidRPr="007B5B5F" w:rsidRDefault="00BA642E" w:rsidP="0080632C">
      <w:pPr>
        <w:jc w:val="center"/>
        <w:rPr>
          <w:rFonts w:ascii="Times New Roman" w:hAnsi="Times New Roman" w:cs="Times New Roman"/>
          <w:b/>
          <w:bCs/>
          <w:color w:val="EE0000"/>
        </w:rPr>
      </w:pPr>
      <w:r w:rsidRPr="007B5B5F">
        <w:rPr>
          <w:rFonts w:ascii="Times New Roman" w:hAnsi="Times New Roman" w:cs="Times New Roman"/>
          <w:b/>
          <w:bCs/>
          <w:color w:val="EE0000"/>
        </w:rPr>
        <w:t>.</w:t>
      </w:r>
    </w:p>
    <w:p w14:paraId="7B9027E2" w14:textId="77777777" w:rsidR="00BA642E" w:rsidRPr="00BA642E" w:rsidRDefault="00BA642E" w:rsidP="005F3B2E">
      <w:pPr>
        <w:rPr>
          <w:rFonts w:ascii="Times New Roman" w:hAnsi="Times New Roman" w:cs="Times New Roman"/>
          <w:b/>
          <w:bCs/>
        </w:rPr>
      </w:pPr>
    </w:p>
    <w:p w14:paraId="273EF086" w14:textId="1F5F3261" w:rsidR="004331E0" w:rsidRPr="00A608BC" w:rsidRDefault="00BA642E" w:rsidP="004331E0">
      <w:pPr>
        <w:spacing w:line="240" w:lineRule="auto"/>
        <w:jc w:val="both"/>
        <w:rPr>
          <w:rFonts w:ascii="Times New Roman" w:hAnsi="Times New Roman" w:cs="Times New Roman"/>
          <w:lang w:val="es-AR"/>
        </w:rPr>
      </w:pPr>
      <w:r w:rsidRPr="00A608BC">
        <w:rPr>
          <w:rFonts w:ascii="Times New Roman" w:hAnsi="Times New Roman" w:cs="Times New Roman"/>
          <w:b/>
          <w:bCs/>
          <w:lang w:val="es-AR"/>
        </w:rPr>
        <w:t>Resumen:</w:t>
      </w:r>
      <w:r w:rsidR="007B5B5F" w:rsidRPr="00A608BC">
        <w:rPr>
          <w:rFonts w:ascii="Times New Roman" w:hAnsi="Times New Roman" w:cs="Times New Roman"/>
          <w:b/>
          <w:bCs/>
          <w:lang w:val="es-AR"/>
        </w:rPr>
        <w:t xml:space="preserve"> </w:t>
      </w:r>
    </w:p>
    <w:p w14:paraId="35F2BA5F" w14:textId="5E3F6429" w:rsidR="00624CFA" w:rsidRPr="00624CFA" w:rsidRDefault="00624CFA" w:rsidP="00624CFA">
      <w:pPr>
        <w:spacing w:line="240" w:lineRule="auto"/>
        <w:jc w:val="both"/>
        <w:rPr>
          <w:rFonts w:ascii="Times New Roman" w:hAnsi="Times New Roman" w:cs="Times New Roman"/>
          <w:lang w:val="es-AR"/>
        </w:rPr>
      </w:pPr>
      <w:r w:rsidRPr="00624CFA">
        <w:rPr>
          <w:rFonts w:ascii="Times New Roman" w:hAnsi="Times New Roman" w:cs="Times New Roman"/>
          <w:lang w:val="es-AR"/>
        </w:rPr>
        <w:t>El proyecto de investigación titulado “Entre historia, memoria y patrimonio: las plazas del Partido de La Matanza como bienes culturales” se inscribe en el programa “Modelos dinámicos para una ciencia participativa: Políticas Territoriales para el Desarrollo Socioeconómico Regional” del Departamento de Ciencias Económicas de la Universidad Nacional de La Matanza. Su objetivo general consiste en la puesta en valor de las plazas matanceras como bienes culturales vivos, integrando dimensiones históricas, sociales, económicas y jurídicas para proponer un enfoque de gestión que fortalezca su preservación, accesibilidad y contribución al bienestar comunitario. La problemática abordada radica en que estos espacios públicos suelen ser percibidos únicamente como elementos urbanísticos o recreativos, lo que invisibiliza su dimensión como patrimonio cotidiano y portador de memoria colectiva. Esta visión fragmentada limita la aplicación de políticas públicas integrales y genera tensiones jurídicas entre el uso común y las concesiones privadas, así como una valoración económica insuficiente que no contempla los beneficios sociales, culturales y ambientales. Desde el marco teórico, la investigación se apoya en conceptos como la “fábrica del patrimonio” de Heinich</w:t>
      </w:r>
      <w:r w:rsidR="0080632C">
        <w:rPr>
          <w:rFonts w:ascii="Times New Roman" w:hAnsi="Times New Roman" w:cs="Times New Roman"/>
          <w:lang w:val="es-AR"/>
        </w:rPr>
        <w:t xml:space="preserve"> (2014)</w:t>
      </w:r>
      <w:r w:rsidRPr="00624CFA">
        <w:rPr>
          <w:rFonts w:ascii="Times New Roman" w:hAnsi="Times New Roman" w:cs="Times New Roman"/>
          <w:lang w:val="es-AR"/>
        </w:rPr>
        <w:t xml:space="preserve"> y el “patrimonio cotidiano” de Guitián, incorporando además el “balance social” propuesto por </w:t>
      </w:r>
      <w:r w:rsidR="00365D93" w:rsidRPr="00624CFA">
        <w:rPr>
          <w:rFonts w:ascii="Times New Roman" w:hAnsi="Times New Roman" w:cs="Times New Roman"/>
          <w:lang w:val="es-AR"/>
        </w:rPr>
        <w:t>Perissé</w:t>
      </w:r>
      <w:r w:rsidR="00365D93">
        <w:rPr>
          <w:rFonts w:ascii="Times New Roman" w:hAnsi="Times New Roman" w:cs="Times New Roman"/>
          <w:lang w:val="es-AR"/>
        </w:rPr>
        <w:t xml:space="preserve"> (</w:t>
      </w:r>
      <w:r w:rsidR="0080632C">
        <w:rPr>
          <w:rFonts w:ascii="Times New Roman" w:hAnsi="Times New Roman" w:cs="Times New Roman"/>
          <w:lang w:val="es-AR"/>
        </w:rPr>
        <w:t>2018)</w:t>
      </w:r>
      <w:r w:rsidRPr="00624CFA">
        <w:rPr>
          <w:rFonts w:ascii="Times New Roman" w:hAnsi="Times New Roman" w:cs="Times New Roman"/>
          <w:lang w:val="es-AR"/>
        </w:rPr>
        <w:t xml:space="preserve"> como una herramienta para medir de manera integral el valor económico, social y cultural que estos bienes generan. La metodología adoptada es de carácter exploratorio con un enfoque </w:t>
      </w:r>
      <w:r w:rsidR="00365D93" w:rsidRPr="008B5C60">
        <w:rPr>
          <w:rFonts w:ascii="Times New Roman" w:hAnsi="Times New Roman" w:cs="Times New Roman"/>
          <w:lang w:val="es-AR"/>
        </w:rPr>
        <w:t>cu</w:t>
      </w:r>
      <w:r w:rsidR="008B5C60" w:rsidRPr="008B5C60">
        <w:rPr>
          <w:rFonts w:ascii="Times New Roman" w:hAnsi="Times New Roman" w:cs="Times New Roman"/>
          <w:lang w:val="es-AR"/>
        </w:rPr>
        <w:t>ali</w:t>
      </w:r>
      <w:r w:rsidR="008B5C60">
        <w:rPr>
          <w:rFonts w:ascii="Times New Roman" w:hAnsi="Times New Roman" w:cs="Times New Roman"/>
          <w:lang w:val="es-AR"/>
        </w:rPr>
        <w:t>tativo</w:t>
      </w:r>
      <w:r w:rsidR="008B5C60" w:rsidRPr="008B5C60">
        <w:rPr>
          <w:rFonts w:ascii="Times New Roman" w:hAnsi="Times New Roman" w:cs="Times New Roman"/>
          <w:lang w:val="es-AR"/>
        </w:rPr>
        <w:t xml:space="preserve"> y </w:t>
      </w:r>
      <w:r w:rsidRPr="008B5C60">
        <w:rPr>
          <w:rFonts w:ascii="Times New Roman" w:hAnsi="Times New Roman" w:cs="Times New Roman"/>
          <w:lang w:val="es-AR"/>
        </w:rPr>
        <w:t>cuantitativo, centrándose</w:t>
      </w:r>
      <w:r w:rsidRPr="00624CFA">
        <w:rPr>
          <w:rFonts w:ascii="Times New Roman" w:hAnsi="Times New Roman" w:cs="Times New Roman"/>
          <w:lang w:val="es-AR"/>
        </w:rPr>
        <w:t xml:space="preserve"> en una muestra de dieciséis plazas representativas, una por cada localidad del partido, seleccionadas por su carácter fundacional y papel en la configuración urbana. El equipo interdisciplinario, conformado por investigadores de las áreas de historia, economía y </w:t>
      </w:r>
      <w:r w:rsidRPr="00624CFA">
        <w:rPr>
          <w:rFonts w:ascii="Times New Roman" w:hAnsi="Times New Roman" w:cs="Times New Roman"/>
          <w:lang w:val="es-AR"/>
        </w:rPr>
        <w:lastRenderedPageBreak/>
        <w:t xml:space="preserve">derecho, lleva a cabo relevamientos documentales, observación participante, inventarios de bienes culturales y análisis del marco normativo vigente. El estudio busca identificar vacancias conceptuales y de gestión que restringen la apropiación ciudadana y la equidad territorial. Entre los resultados esperados se destaca la creación de una base de datos georreferenciada de acceso público que sistematice las características y condiciones de las plazas, sirviendo como insumo estratégico para la planificación municipal y la toma de decisiones basada en evidencia territorial. Asimismo, el proyecto prevé la formación de recursos humanos mediante la incorporación de estudiantes y la transferencia de resultados a organismos gubernamentales y organizaciones de la sociedad civil. En última instancia, esta investigación se propone consolidar el vínculo entre la universidad y su entorno, promoviendo una gestión sostenible del espacio público que </w:t>
      </w:r>
      <w:r w:rsidRPr="007F6A5A">
        <w:rPr>
          <w:rFonts w:ascii="Times New Roman" w:hAnsi="Times New Roman" w:cs="Times New Roman"/>
          <w:lang w:val="es-AR"/>
        </w:rPr>
        <w:t>garantice el derecho y el</w:t>
      </w:r>
      <w:r w:rsidRPr="00624CFA">
        <w:rPr>
          <w:rFonts w:ascii="Times New Roman" w:hAnsi="Times New Roman" w:cs="Times New Roman"/>
          <w:lang w:val="es-AR"/>
        </w:rPr>
        <w:t xml:space="preserve"> fortalecimiento de la identidad colectiva en el territorio.</w:t>
      </w:r>
    </w:p>
    <w:p w14:paraId="3EB59DEC" w14:textId="63706227" w:rsidR="00624CFA" w:rsidRPr="00624CFA" w:rsidRDefault="00BA642E" w:rsidP="00624CFA">
      <w:pPr>
        <w:spacing w:line="240" w:lineRule="auto"/>
        <w:jc w:val="both"/>
        <w:rPr>
          <w:rFonts w:ascii="Times New Roman" w:hAnsi="Times New Roman" w:cs="Times New Roman"/>
          <w:lang w:val="es-AR"/>
        </w:rPr>
      </w:pPr>
      <w:r w:rsidRPr="007B5B5F">
        <w:rPr>
          <w:rFonts w:ascii="Times New Roman" w:hAnsi="Times New Roman" w:cs="Times New Roman"/>
          <w:b/>
          <w:bCs/>
        </w:rPr>
        <w:t>Palabras clave</w:t>
      </w:r>
      <w:r w:rsidR="008E16CF">
        <w:rPr>
          <w:rFonts w:ascii="Times New Roman" w:hAnsi="Times New Roman" w:cs="Times New Roman"/>
          <w:b/>
          <w:bCs/>
        </w:rPr>
        <w:t xml:space="preserve">: </w:t>
      </w:r>
      <w:r w:rsidR="00624CFA" w:rsidRPr="00624CFA">
        <w:rPr>
          <w:rFonts w:ascii="Times New Roman" w:hAnsi="Times New Roman" w:cs="Times New Roman"/>
          <w:lang w:val="es-AR"/>
        </w:rPr>
        <w:t>Patrimonio Urbano, Gestión Territorial, Espacio Públic</w:t>
      </w:r>
      <w:r w:rsidR="00624CFA">
        <w:rPr>
          <w:rFonts w:ascii="Times New Roman" w:hAnsi="Times New Roman" w:cs="Times New Roman"/>
          <w:lang w:val="es-AR"/>
        </w:rPr>
        <w:t>o</w:t>
      </w:r>
    </w:p>
    <w:p w14:paraId="4A8252B6" w14:textId="58783A81" w:rsidR="008E16CF" w:rsidRPr="009A7EB5" w:rsidRDefault="008E16CF" w:rsidP="008E16CF">
      <w:pPr>
        <w:spacing w:line="240" w:lineRule="auto"/>
        <w:jc w:val="both"/>
        <w:rPr>
          <w:rFonts w:ascii="Times New Roman" w:hAnsi="Times New Roman" w:cs="Times New Roman"/>
          <w:lang w:val="es-AR"/>
        </w:rPr>
      </w:pPr>
    </w:p>
    <w:p w14:paraId="2994BAB3" w14:textId="04ABFC18" w:rsidR="00BA642E" w:rsidRPr="007B5B5F" w:rsidRDefault="00BA642E" w:rsidP="007B5B5F">
      <w:pPr>
        <w:spacing w:line="240" w:lineRule="auto"/>
        <w:jc w:val="both"/>
        <w:rPr>
          <w:rFonts w:ascii="Times New Roman" w:hAnsi="Times New Roman" w:cs="Times New Roman"/>
          <w:b/>
          <w:bCs/>
        </w:rPr>
      </w:pPr>
    </w:p>
    <w:p w14:paraId="6A5547A1" w14:textId="36B7FAC2" w:rsidR="00BA642E"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614338CF" w14:textId="77777777" w:rsidR="00624CFA" w:rsidRPr="00624CFA" w:rsidRDefault="00624CFA" w:rsidP="00A117AB">
      <w:pPr>
        <w:spacing w:line="240" w:lineRule="auto"/>
        <w:jc w:val="both"/>
        <w:rPr>
          <w:rFonts w:ascii="Times New Roman" w:hAnsi="Times New Roman" w:cs="Times New Roman"/>
          <w:lang w:val="es-AR"/>
        </w:rPr>
      </w:pPr>
      <w:r w:rsidRPr="00624CFA">
        <w:rPr>
          <w:rFonts w:ascii="Times New Roman" w:hAnsi="Times New Roman" w:cs="Times New Roman"/>
          <w:lang w:val="es-AR"/>
        </w:rPr>
        <w:t>Las plazas públicas del Partido de La Matanza constituyen territorios dinámicos donde se interceptan la historia fundacional, la planificación del Estado y las prácticas sociales de la comunidad. Lejos de ser meros espacios de descanso pasivo o pulmones verdes aislados, estas áreas representan documentos históricos vivos que condensan las tensiones y transformaciones del crecimiento del conurbano bonaerense. A diferencia de los cascos urbanos de la era colonial, la urbanización del distrito cobró fuerza a mediados del siglo XIX y experimentó una expansión masiva en el siglo XX, dando lugar a una configuración espacial que no fue homogénea. En este sentido, la investigación identifica tres lógicas de ocupación: los centros cívicos tradicionales del siglo XIX (como San Justo en 1858), las plazas vinculadas a la expansión ferroviaria (como Ramos Mejía o Gregorio de Laferrere) y las planificaciones monumentales e integradoras de mediados del siglo XX, cuyo máximo exponente es Ciudad Evita.</w:t>
      </w:r>
    </w:p>
    <w:p w14:paraId="47141FD1" w14:textId="3B05238C" w:rsidR="00624CFA" w:rsidRPr="00624CFA" w:rsidRDefault="00624CFA" w:rsidP="00A117AB">
      <w:pPr>
        <w:spacing w:line="240" w:lineRule="auto"/>
        <w:jc w:val="both"/>
        <w:rPr>
          <w:rFonts w:ascii="Times New Roman" w:hAnsi="Times New Roman" w:cs="Times New Roman"/>
          <w:lang w:val="es-AR"/>
        </w:rPr>
      </w:pPr>
      <w:r w:rsidRPr="00624CFA">
        <w:rPr>
          <w:rFonts w:ascii="Times New Roman" w:hAnsi="Times New Roman" w:cs="Times New Roman"/>
          <w:lang w:val="es-AR"/>
        </w:rPr>
        <w:t xml:space="preserve">La problemática central de este estudio, radicado en el Departamento de Ciencias Económicas de la Universidad Nacional de La Matanza (UNLaM), surge de la percepción limitada de estos espacios, los cuales suelen ser abordados únicamente bajo criterios urbanísticos o higienistas. Esta visión invisibiliza su dimensión como patrimonio cotidiano, un concepto que Dyna Guitián (2007) utiliza para aludir a los espacios comunes donde se entrelazan la vida social y la memoria colectiva. Persiste, por tanto, una vacancia conceptual y de gestión que restringe el reconocimiento de la plaza como un activo comunitario capaz de generar valor social y simbólico. </w:t>
      </w:r>
      <w:r w:rsidR="00546F25">
        <w:rPr>
          <w:rFonts w:ascii="Times New Roman" w:hAnsi="Times New Roman" w:cs="Times New Roman"/>
          <w:lang w:val="es-AR"/>
        </w:rPr>
        <w:t>S</w:t>
      </w:r>
      <w:r w:rsidRPr="00624CFA">
        <w:rPr>
          <w:rFonts w:ascii="Times New Roman" w:hAnsi="Times New Roman" w:cs="Times New Roman"/>
          <w:lang w:val="es-AR"/>
        </w:rPr>
        <w:t xml:space="preserve">e propone integrar estas dimensiones para responder a un vacío en la investigación local sobre la relación </w:t>
      </w:r>
      <w:r w:rsidRPr="00546F25">
        <w:rPr>
          <w:rFonts w:ascii="Times New Roman" w:hAnsi="Times New Roman" w:cs="Times New Roman"/>
          <w:lang w:val="es-AR"/>
        </w:rPr>
        <w:t>entre el espacio público y los procesos de construcción de identidad barrial</w:t>
      </w:r>
      <w:r w:rsidR="00546F25" w:rsidRPr="00546F25">
        <w:rPr>
          <w:rFonts w:ascii="Times New Roman" w:hAnsi="Times New Roman" w:cs="Times New Roman"/>
          <w:lang w:val="es-AR"/>
        </w:rPr>
        <w:t xml:space="preserve">; por ello </w:t>
      </w:r>
      <w:r w:rsidR="00546F25">
        <w:rPr>
          <w:rFonts w:ascii="Times New Roman" w:hAnsi="Times New Roman" w:cs="Times New Roman"/>
        </w:rPr>
        <w:t>e</w:t>
      </w:r>
      <w:r w:rsidR="00546F25" w:rsidRPr="00546F25">
        <w:rPr>
          <w:rFonts w:ascii="Times New Roman" w:hAnsi="Times New Roman" w:cs="Times New Roman"/>
        </w:rPr>
        <w:t>l trabajo sostiene que las plazas funcionan como activos territoriales multidimensionales cuya gestión requiere un modelo de valoración integral socioeconómico-jurídico.”</w:t>
      </w:r>
      <w:r w:rsidR="00546F25">
        <w:rPr>
          <w:rFonts w:ascii="Times New Roman" w:hAnsi="Times New Roman" w:cs="Times New Roman"/>
          <w:lang w:val="es-AR"/>
        </w:rPr>
        <w:t xml:space="preserve"> </w:t>
      </w:r>
    </w:p>
    <w:p w14:paraId="6A157043" w14:textId="3CD1033B" w:rsidR="00624CFA" w:rsidRPr="00624CFA" w:rsidRDefault="00624CFA" w:rsidP="00A117AB">
      <w:pPr>
        <w:spacing w:line="240" w:lineRule="auto"/>
        <w:jc w:val="both"/>
        <w:rPr>
          <w:rFonts w:ascii="Times New Roman" w:hAnsi="Times New Roman" w:cs="Times New Roman"/>
          <w:lang w:val="es-AR"/>
        </w:rPr>
      </w:pPr>
      <w:r w:rsidRPr="00624CFA">
        <w:rPr>
          <w:rFonts w:ascii="Times New Roman" w:hAnsi="Times New Roman" w:cs="Times New Roman"/>
          <w:lang w:val="es-AR"/>
        </w:rPr>
        <w:t xml:space="preserve">Desde la perspectiva económica, el análisis tradicional ha operado bajo una dualidad de valuación: por un lado, la valuación fiscal basada en criterios administrativos estatales y, por otro, la valuación comercial que mide el impacto en el mercado inmobiliario </w:t>
      </w:r>
      <w:r w:rsidRPr="00624CFA">
        <w:rPr>
          <w:rFonts w:ascii="Times New Roman" w:hAnsi="Times New Roman" w:cs="Times New Roman"/>
          <w:lang w:val="es-AR"/>
        </w:rPr>
        <w:lastRenderedPageBreak/>
        <w:t>circundante. Ninguna de estas métricas captura de manera integral los beneficios sociales, culturales y ambientales que estos bienes generan para la comunidad. Por ello, se vuelve imperativo adoptar herramientas como el Balance Social y el Marco de Reporte Integrado (IFRS</w:t>
      </w:r>
      <w:r w:rsidR="0080632C">
        <w:rPr>
          <w:rFonts w:ascii="Times New Roman" w:hAnsi="Times New Roman" w:cs="Times New Roman"/>
          <w:lang w:val="es-AR"/>
        </w:rPr>
        <w:t xml:space="preserve"> 2021</w:t>
      </w:r>
      <w:r w:rsidRPr="00624CFA">
        <w:rPr>
          <w:rFonts w:ascii="Times New Roman" w:hAnsi="Times New Roman" w:cs="Times New Roman"/>
          <w:lang w:val="es-AR"/>
        </w:rPr>
        <w:t>), que permiten cuantificar cómo el capital humano, social, natural y cultural contribuye al bienestar territorial y a la equidad social. Esta necesidad de "reconocimiento" contable es fundamental, ya que, como sostiene la doctrina, "no es factible administrar los recursos si se los ignora".</w:t>
      </w:r>
    </w:p>
    <w:p w14:paraId="5380A44A" w14:textId="1B5468D0" w:rsidR="00624CFA" w:rsidRPr="00624CFA" w:rsidRDefault="00624CFA" w:rsidP="00A117AB">
      <w:pPr>
        <w:spacing w:line="240" w:lineRule="auto"/>
        <w:jc w:val="both"/>
        <w:rPr>
          <w:rFonts w:ascii="Times New Roman" w:hAnsi="Times New Roman" w:cs="Times New Roman"/>
          <w:lang w:val="es-AR"/>
        </w:rPr>
      </w:pPr>
      <w:r w:rsidRPr="00624CFA">
        <w:rPr>
          <w:rFonts w:ascii="Times New Roman" w:hAnsi="Times New Roman" w:cs="Times New Roman"/>
          <w:lang w:val="es-AR"/>
        </w:rPr>
        <w:t>Asimismo, la dimensión jurídica de las plazas como bienes del dominio público municipal</w:t>
      </w:r>
      <w:r w:rsidR="00A117AB">
        <w:rPr>
          <w:rFonts w:ascii="Times New Roman" w:hAnsi="Times New Roman" w:cs="Times New Roman"/>
          <w:lang w:val="es-AR"/>
        </w:rPr>
        <w:t xml:space="preserve">, </w:t>
      </w:r>
      <w:r w:rsidRPr="00624CFA">
        <w:rPr>
          <w:rFonts w:ascii="Times New Roman" w:hAnsi="Times New Roman" w:cs="Times New Roman"/>
          <w:lang w:val="es-AR"/>
        </w:rPr>
        <w:t>inalienables e imprescriptibles</w:t>
      </w:r>
      <w:r w:rsidR="00A117AB">
        <w:rPr>
          <w:rFonts w:ascii="Times New Roman" w:hAnsi="Times New Roman" w:cs="Times New Roman"/>
          <w:lang w:val="es-AR"/>
        </w:rPr>
        <w:t xml:space="preserve">, </w:t>
      </w:r>
      <w:r w:rsidRPr="00624CFA">
        <w:rPr>
          <w:rFonts w:ascii="Times New Roman" w:hAnsi="Times New Roman" w:cs="Times New Roman"/>
          <w:lang w:val="es-AR"/>
        </w:rPr>
        <w:t>convive con tensiones cotidianas derivadas de las concesiones y permisos de uso parcial, como ferias de la economía social o juegos recreativos. Estas prácticas ponen en debate la equidad en el acceso y el derecho ciudadano al espacio público frente a las lógicas económicas de aprovechamiento privado. En este escenario, la investigación también evalúa la accesibilidad física y simbólica, considerando que la distribución desigual de estos espacios en las dieciséis localidades del partido es un indicador directo de la calidad de vida de sus habitantes.</w:t>
      </w:r>
    </w:p>
    <w:p w14:paraId="092B7E95" w14:textId="77777777" w:rsidR="00624CFA" w:rsidRPr="00624CFA" w:rsidRDefault="00624CFA" w:rsidP="00A117AB">
      <w:pPr>
        <w:spacing w:line="240" w:lineRule="auto"/>
        <w:jc w:val="both"/>
        <w:rPr>
          <w:rFonts w:ascii="Times New Roman" w:hAnsi="Times New Roman" w:cs="Times New Roman"/>
          <w:lang w:val="es-AR"/>
        </w:rPr>
      </w:pPr>
      <w:r w:rsidRPr="00624CFA">
        <w:rPr>
          <w:rFonts w:ascii="Times New Roman" w:hAnsi="Times New Roman" w:cs="Times New Roman"/>
          <w:lang w:val="es-AR"/>
        </w:rPr>
        <w:t>Finalmente, el papel de las plazas como escenarios de memoria colectiva se materializa en los monumentos conmemorativos, destacándose especialmente aquellos vinculados a la Guerra de Malvinas. Estos hitos no solo rememoran hechos históricos, sino que actúan como nodos de cohesión que transmiten valores y refuerzan el sentido de pertenencia. A través de un enfoque interdisciplinario que une la historia, el derecho y la economía, este proyecto busca sistematizar estos datos en una base de datos georreferenciada de acceso público, transformando la teoría patrimonial en una herramienta técnica de transferencia para la mejora de la gestión pública territorial</w:t>
      </w:r>
    </w:p>
    <w:p w14:paraId="64A3C97B" w14:textId="77777777" w:rsidR="00624CFA" w:rsidRPr="00624CFA" w:rsidRDefault="00624CFA" w:rsidP="00A117AB">
      <w:pPr>
        <w:spacing w:line="240" w:lineRule="auto"/>
        <w:jc w:val="both"/>
        <w:rPr>
          <w:rFonts w:ascii="Times New Roman" w:hAnsi="Times New Roman" w:cs="Times New Roman"/>
          <w:lang w:val="es-AR"/>
        </w:rPr>
      </w:pPr>
    </w:p>
    <w:p w14:paraId="2FD138AD" w14:textId="58B75EEC" w:rsidR="005F3B2E" w:rsidRDefault="005F3B2E" w:rsidP="00973252">
      <w:pPr>
        <w:spacing w:line="240" w:lineRule="auto"/>
        <w:rPr>
          <w:rFonts w:ascii="Times New Roman" w:hAnsi="Times New Roman" w:cs="Times New Roman"/>
          <w:b/>
          <w:bCs/>
        </w:rPr>
      </w:pPr>
      <w:r w:rsidRPr="007B5B5F">
        <w:rPr>
          <w:rFonts w:ascii="Times New Roman" w:hAnsi="Times New Roman" w:cs="Times New Roman"/>
          <w:b/>
          <w:bCs/>
        </w:rPr>
        <w:t>Desarrollo</w:t>
      </w:r>
    </w:p>
    <w:p w14:paraId="66804712" w14:textId="77777777" w:rsidR="0080632C" w:rsidRPr="0080632C" w:rsidRDefault="0080632C" w:rsidP="0080632C">
      <w:pPr>
        <w:spacing w:line="240" w:lineRule="auto"/>
        <w:jc w:val="both"/>
        <w:rPr>
          <w:rFonts w:ascii="Times New Roman" w:hAnsi="Times New Roman" w:cs="Times New Roman"/>
          <w:lang w:val="es-AR"/>
        </w:rPr>
      </w:pPr>
      <w:r w:rsidRPr="0080632C">
        <w:rPr>
          <w:rFonts w:ascii="Times New Roman" w:hAnsi="Times New Roman" w:cs="Times New Roman"/>
          <w:lang w:val="es-AR"/>
        </w:rPr>
        <w:t>Para operativizar el análisis de las plazas del Partido de La Matanza como bienes culturales, esta investigación adopta un enfoque interdisciplinario que busca superar la visión tradicional del espacio público como un mero elemento urbanístico o higienista. Siguiendo la noción de la "fábrica del patrimonio" propuesta por Heinich (2014), se entiende que el valor de estos espacios no es una cualidad intrínseca, sino el resultado de procesos sociales e institucionales que legitiman y otorgan valor simbólico a determinados lugares. En este marco, las plazas se constituyen como campos de disputa por el sentido, donde intervienen actores públicos, privados y comunitarios, redefiniendo constantemente su función social y su lugar en la identidad barrial.</w:t>
      </w:r>
    </w:p>
    <w:p w14:paraId="62335C9F" w14:textId="51A554A1" w:rsidR="0080632C" w:rsidRPr="0080632C" w:rsidRDefault="0080632C" w:rsidP="0080632C">
      <w:pPr>
        <w:spacing w:line="240" w:lineRule="auto"/>
        <w:jc w:val="both"/>
        <w:rPr>
          <w:rFonts w:ascii="Times New Roman" w:hAnsi="Times New Roman" w:cs="Times New Roman"/>
          <w:lang w:val="es-AR"/>
        </w:rPr>
      </w:pPr>
      <w:r w:rsidRPr="0080632C">
        <w:rPr>
          <w:rFonts w:ascii="Times New Roman" w:hAnsi="Times New Roman" w:cs="Times New Roman"/>
          <w:lang w:val="es-AR"/>
        </w:rPr>
        <w:t>Bajo esta perspectiva, el concepto de "patrimonio cotidiano" de Dyna Guitián (2007) resulta central para reconocer que en estos espacios comunes se entrelazan de manera inseparable la infraestructura material</w:t>
      </w:r>
      <w:r>
        <w:rPr>
          <w:rFonts w:ascii="Times New Roman" w:hAnsi="Times New Roman" w:cs="Times New Roman"/>
          <w:lang w:val="es-AR"/>
        </w:rPr>
        <w:t xml:space="preserve">, </w:t>
      </w:r>
      <w:r w:rsidRPr="0080632C">
        <w:rPr>
          <w:rFonts w:ascii="Times New Roman" w:hAnsi="Times New Roman" w:cs="Times New Roman"/>
          <w:lang w:val="es-AR"/>
        </w:rPr>
        <w:t>como el diseño y el equipamiento</w:t>
      </w:r>
      <w:r>
        <w:rPr>
          <w:rFonts w:ascii="Times New Roman" w:hAnsi="Times New Roman" w:cs="Times New Roman"/>
          <w:lang w:val="es-AR"/>
        </w:rPr>
        <w:t xml:space="preserve">, </w:t>
      </w:r>
      <w:r w:rsidRPr="0080632C">
        <w:rPr>
          <w:rFonts w:ascii="Times New Roman" w:hAnsi="Times New Roman" w:cs="Times New Roman"/>
          <w:lang w:val="es-AR"/>
        </w:rPr>
        <w:t>con las dimensiones inmateriales representadas por los usos, las costumbres y la memoria colectiva de los vecinos. Las plazas matanceras no son solo áreas verdes; son escenarios dinámicos de interacción social y cohesión comunitaria donde la vida cotidiana se transforma en historia compartida.</w:t>
      </w:r>
    </w:p>
    <w:p w14:paraId="67752CDB" w14:textId="77777777" w:rsidR="0080632C" w:rsidRPr="0080632C" w:rsidRDefault="0080632C" w:rsidP="0080632C">
      <w:pPr>
        <w:spacing w:line="240" w:lineRule="auto"/>
        <w:jc w:val="both"/>
        <w:rPr>
          <w:rFonts w:ascii="Times New Roman" w:hAnsi="Times New Roman" w:cs="Times New Roman"/>
          <w:lang w:val="es-AR"/>
        </w:rPr>
      </w:pPr>
      <w:r w:rsidRPr="0080632C">
        <w:rPr>
          <w:rFonts w:ascii="Times New Roman" w:hAnsi="Times New Roman" w:cs="Times New Roman"/>
          <w:lang w:val="es-AR"/>
        </w:rPr>
        <w:t>Por consiguiente, el abordaje del desarrollo se estructura mediante una triangulación metodológica que articula las dimensiones histórica, jurídica, económica y social del objeto de estudio. Esta integración permite comprender a la plaza como un activo territorial dinámico con capacidad de generar valor social y simbólico para el conjunto de la sociedad. El primer eje de este análisis se centra en la reconstrucción de la identidad y la evolución de estos espacios, reconociéndolos como documentos históricos vivos que han condensado las tensiones y transformaciones del crecimiento del conurbano</w:t>
      </w:r>
    </w:p>
    <w:p w14:paraId="5248B74B" w14:textId="77777777" w:rsidR="0080632C" w:rsidRPr="007B5B5F" w:rsidRDefault="0080632C" w:rsidP="00973252">
      <w:pPr>
        <w:spacing w:line="240" w:lineRule="auto"/>
        <w:rPr>
          <w:rFonts w:ascii="Times New Roman" w:hAnsi="Times New Roman" w:cs="Times New Roman"/>
          <w:b/>
          <w:bCs/>
        </w:rPr>
      </w:pPr>
    </w:p>
    <w:p w14:paraId="5D851DB3" w14:textId="77777777" w:rsidR="00624CFA" w:rsidRPr="00C67622" w:rsidRDefault="00624CFA" w:rsidP="00624CFA">
      <w:pPr>
        <w:pStyle w:val="Prrafodelista"/>
        <w:numPr>
          <w:ilvl w:val="0"/>
          <w:numId w:val="15"/>
        </w:numPr>
        <w:spacing w:after="0" w:line="240" w:lineRule="auto"/>
        <w:jc w:val="both"/>
        <w:rPr>
          <w:rFonts w:ascii="Times New Roman" w:hAnsi="Times New Roman" w:cs="Times New Roman"/>
          <w:b/>
          <w:bCs/>
          <w:color w:val="000000"/>
          <w:lang w:val="es-AR" w:eastAsia="es-AR"/>
          <w14:ligatures w14:val="none"/>
        </w:rPr>
      </w:pPr>
      <w:r w:rsidRPr="00C67622">
        <w:rPr>
          <w:rFonts w:ascii="Times New Roman" w:hAnsi="Times New Roman" w:cs="Times New Roman"/>
          <w:b/>
          <w:bCs/>
          <w:color w:val="000000"/>
          <w:lang w:val="es-AR" w:eastAsia="es-AR"/>
          <w14:ligatures w14:val="none"/>
        </w:rPr>
        <w:t>Los espacios públicos durante el proceso de urbanización de La Matanza </w:t>
      </w:r>
    </w:p>
    <w:p w14:paraId="3411EB8D" w14:textId="77777777" w:rsidR="00624CFA" w:rsidRPr="00A117AB" w:rsidRDefault="00624CFA" w:rsidP="00A117AB">
      <w:pPr>
        <w:spacing w:line="240" w:lineRule="auto"/>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La normativa y los decretos de las décadas de 1940 y 1950 constituye un insumo fundamental para la reconstrucción de la evolución histórica de las plazas, una de las tareas centrales asignadas a los investigadores del Instituto Histórico en el marco del proyecto. Estos registros documentales permiten trazar el paso de una concepción puramente higienista a una de gestión sistemática y simbólica del espacio público.</w:t>
      </w:r>
    </w:p>
    <w:p w14:paraId="2E86623B" w14:textId="77777777" w:rsidR="00624CFA" w:rsidRPr="00A117AB" w:rsidRDefault="00624CFA" w:rsidP="00A117AB">
      <w:pPr>
        <w:spacing w:line="240" w:lineRule="auto"/>
        <w:ind w:firstLine="720"/>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A continuación, se integra esta cronología dentro del marco analítico del proyecto de investigación:</w:t>
      </w:r>
    </w:p>
    <w:p w14:paraId="74733B63" w14:textId="77777777" w:rsidR="00624CFA" w:rsidRPr="00C67622" w:rsidRDefault="00624CFA" w:rsidP="00A117AB">
      <w:pPr>
        <w:spacing w:after="0" w:line="240" w:lineRule="auto"/>
        <w:jc w:val="both"/>
        <w:rPr>
          <w:rFonts w:ascii="Times New Roman" w:hAnsi="Times New Roman" w:cs="Times New Roman"/>
          <w:b/>
          <w:bCs/>
          <w:color w:val="000000"/>
          <w:lang w:val="es-AR" w:eastAsia="es-AR"/>
          <w14:ligatures w14:val="none"/>
        </w:rPr>
      </w:pPr>
      <w:r w:rsidRPr="00C67622">
        <w:rPr>
          <w:rFonts w:ascii="Times New Roman" w:hAnsi="Times New Roman" w:cs="Times New Roman"/>
          <w:b/>
          <w:bCs/>
          <w:color w:val="000000"/>
          <w:lang w:val="es-AR" w:eastAsia="es-AR"/>
          <w14:ligatures w14:val="none"/>
        </w:rPr>
        <w:t>La consolidación de las plazas como activos institucionales y cívicos</w:t>
      </w:r>
    </w:p>
    <w:p w14:paraId="03BA2986" w14:textId="77777777" w:rsidR="00624CFA" w:rsidRPr="00C67622" w:rsidRDefault="00624CFA" w:rsidP="00A117AB">
      <w:pPr>
        <w:spacing w:line="240" w:lineRule="auto"/>
        <w:ind w:firstLine="720"/>
        <w:jc w:val="both"/>
        <w:rPr>
          <w:rFonts w:ascii="Times New Roman" w:hAnsi="Times New Roman" w:cs="Times New Roman"/>
          <w:color w:val="000000"/>
          <w:lang w:val="es-AR" w:eastAsia="es-AR"/>
          <w14:ligatures w14:val="none"/>
        </w:rPr>
      </w:pPr>
      <w:r w:rsidRPr="00C67622">
        <w:rPr>
          <w:rFonts w:ascii="Times New Roman" w:hAnsi="Times New Roman" w:cs="Times New Roman"/>
          <w:color w:val="000000"/>
          <w:lang w:val="es-AR" w:eastAsia="es-AR"/>
          <w14:ligatures w14:val="none"/>
        </w:rPr>
        <w:t xml:space="preserve">El análisis de la documentación municipal revela que, si bien muchas plazas del partido poseen un origen decimonónico vinculado a los trazados ferroviarios o centros cívicos, fue durante las décadas de 1940 y 1950 cuando adquirieron una presencia protagónica en las políticas públicas locales. El Decreto Municipal N.º 37 de 1942, referido al Parque Municipal de Ramos Mejía, es un hito que demuestra una temprana profesionalización de la gestión de los espacios verdes, al prever infraestructura específica para su cuidado y mantenimiento </w:t>
      </w:r>
    </w:p>
    <w:p w14:paraId="17D7A42B" w14:textId="42C4DA6E" w:rsidR="00624CFA" w:rsidRPr="00C67622" w:rsidRDefault="00624CFA" w:rsidP="00A117AB">
      <w:pPr>
        <w:spacing w:line="240" w:lineRule="auto"/>
        <w:ind w:firstLine="720"/>
        <w:jc w:val="both"/>
        <w:rPr>
          <w:rFonts w:ascii="Times New Roman" w:hAnsi="Times New Roman" w:cs="Times New Roman"/>
          <w:color w:val="000000"/>
          <w:lang w:val="es-AR" w:eastAsia="es-AR"/>
          <w14:ligatures w14:val="none"/>
        </w:rPr>
      </w:pPr>
      <w:r w:rsidRPr="00C67622">
        <w:rPr>
          <w:rFonts w:ascii="Times New Roman" w:hAnsi="Times New Roman" w:cs="Times New Roman"/>
          <w:color w:val="000000"/>
          <w:lang w:val="es-AR" w:eastAsia="es-AR"/>
          <w14:ligatures w14:val="none"/>
        </w:rPr>
        <w:t>Esta etapa coincide con el fortalecimiento de las plazas como “lugares de memoria” y ámbitos de representación de la identidad nacional en el territorio. La serie de decretos emitidos entre 1944 y 1945 para la inauguración del Monumento al General José de San Martín en la plaza central de San Justo evidencia cómo el Estado local utilizó estos espacios para materializar relatos colectivos y rituales comunitarios. La designación oficial como “Plaza Mayor General José de San Martín” en 1945 no fue un acto meramente administrativo, sino un proceso de legitimación simbólica que se encuadra en lo que la teoría define como la “fábrica del patrimonio”.</w:t>
      </w:r>
    </w:p>
    <w:p w14:paraId="46C1B8B9" w14:textId="77777777" w:rsidR="00624CFA" w:rsidRPr="00C67622" w:rsidRDefault="00624CFA" w:rsidP="00A117AB">
      <w:pPr>
        <w:spacing w:after="0" w:line="240" w:lineRule="auto"/>
        <w:jc w:val="both"/>
        <w:rPr>
          <w:rFonts w:ascii="Times New Roman" w:hAnsi="Times New Roman" w:cs="Times New Roman"/>
          <w:b/>
          <w:bCs/>
          <w:color w:val="000000"/>
          <w:lang w:val="es-AR" w:eastAsia="es-AR"/>
          <w14:ligatures w14:val="none"/>
        </w:rPr>
      </w:pPr>
      <w:r w:rsidRPr="00C67622">
        <w:rPr>
          <w:rFonts w:ascii="Times New Roman" w:hAnsi="Times New Roman" w:cs="Times New Roman"/>
          <w:b/>
          <w:bCs/>
          <w:color w:val="000000"/>
          <w:lang w:val="es-AR" w:eastAsia="es-AR"/>
          <w14:ligatures w14:val="none"/>
        </w:rPr>
        <w:t>Equipamiento recreativo y modernización de la infraestructura</w:t>
      </w:r>
    </w:p>
    <w:p w14:paraId="10D86667" w14:textId="0B785A68" w:rsidR="00624CFA" w:rsidRPr="00C67622" w:rsidRDefault="00624CFA" w:rsidP="00FA2698">
      <w:pPr>
        <w:spacing w:line="240" w:lineRule="auto"/>
        <w:ind w:firstLine="720"/>
        <w:jc w:val="both"/>
        <w:rPr>
          <w:rFonts w:ascii="Times New Roman" w:hAnsi="Times New Roman" w:cs="Times New Roman"/>
          <w:color w:val="000000"/>
          <w:lang w:val="es-AR" w:eastAsia="es-AR"/>
          <w14:ligatures w14:val="none"/>
        </w:rPr>
      </w:pPr>
      <w:r w:rsidRPr="00C67622">
        <w:rPr>
          <w:rFonts w:ascii="Times New Roman" w:hAnsi="Times New Roman" w:cs="Times New Roman"/>
          <w:color w:val="000000"/>
          <w:lang w:val="es-AR" w:eastAsia="es-AR"/>
          <w14:ligatures w14:val="none"/>
        </w:rPr>
        <w:t>Paralelamente a su función cívica, las plazas comenzaron a ser gestionadas como ámbitos de convivencia y recreación vecinal. El Decreto N.º 66 de 1945, que dispuso la instalación de juegos infantiles en todas las plazas públicas, representa un antecedente directo de las políticas actuales de accesibilidad y diseño universal. Este equipamiento inicial transformó la dimensión material del patrimonio cotidiano, permitiendo que la plaza cumpliera de manera efectiva su función de promover el bienestar comunitario.</w:t>
      </w:r>
    </w:p>
    <w:p w14:paraId="58DD450C" w14:textId="77777777" w:rsidR="00624CFA" w:rsidRPr="00A117AB" w:rsidRDefault="00624CFA" w:rsidP="00FA2698">
      <w:pPr>
        <w:spacing w:line="240" w:lineRule="auto"/>
        <w:ind w:firstLine="720"/>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Durante la década de 1950, la inversión en infraestructura se diversificó, abarcando desde la señalización y celebraciones patrióticas (Decretos de 1950-1951) hasta obras civiles complejas en 1956 que incluyeron veredas, senderos, iluminación y sistemas de riego en localidades como González Catán, Ramos Mejía y Tapiales. Estas mejoras materiales resultan críticas para el análisis económico del proyecto, ya que representan la formación del capital público acumulado cuya depreciación o mantenimiento se busca medir hoy a través de herramientas como el Balance Social</w:t>
      </w:r>
    </w:p>
    <w:p w14:paraId="3C714643" w14:textId="77777777" w:rsidR="00624CFA" w:rsidRPr="00A117AB" w:rsidRDefault="00624CFA" w:rsidP="00A117AB">
      <w:pPr>
        <w:spacing w:line="240" w:lineRule="auto"/>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El crecimiento acelerado del distrito durante la segunda mitad del siglo XX obligó al Estado local a expandir la creación de áreas verdes hacia las localidades de urbanización más reciente. La consolidación de loteos residenciales y barrios populares hizo imperativo el diseño de espacios que garantizaran el encuentro social y el bienestar vecinal.  En este sentido, la década de 1980 marcó un hito en la "fábrica del patrimonio" institucional de La Matanza, mediante una activa política de denominación y puesta en valor de estos predios. Entre las intervenciones normativas más destacadas de este periodo se encuentran:</w:t>
      </w:r>
    </w:p>
    <w:p w14:paraId="60A15E9E" w14:textId="77777777" w:rsidR="00624CFA" w:rsidRPr="00A117AB" w:rsidRDefault="00624CFA" w:rsidP="00A117AB">
      <w:pPr>
        <w:numPr>
          <w:ilvl w:val="0"/>
          <w:numId w:val="17"/>
        </w:numPr>
        <w:spacing w:after="0" w:line="240" w:lineRule="auto"/>
        <w:ind w:left="714" w:hanging="357"/>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 xml:space="preserve">Reconocimiento de figuras históricas y sociales: La designación de la “Plaza Eva Perón” en Gregorio de Laferrere (Ord. 7857/1984) y la “Plaza Presidente Perón” en Lomas del Mirador (Ord. 7965/1984) </w:t>
      </w:r>
    </w:p>
    <w:p w14:paraId="29B7AAEB" w14:textId="77777777" w:rsidR="00624CFA" w:rsidRPr="00A117AB" w:rsidRDefault="00624CFA" w:rsidP="00A117AB">
      <w:pPr>
        <w:numPr>
          <w:ilvl w:val="0"/>
          <w:numId w:val="17"/>
        </w:numPr>
        <w:spacing w:after="0" w:line="240" w:lineRule="auto"/>
        <w:ind w:left="714" w:hanging="357"/>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Consolidación de la Memoria Colectiva: La creación de la plaza “Malvinas Argentinas” en Villa Celina (Ord. 7961/1984), que refuerza la función del espacio público como un lugar de memoria (Nora, 1984).</w:t>
      </w:r>
    </w:p>
    <w:p w14:paraId="0624B2D8" w14:textId="77777777" w:rsidR="00624CFA" w:rsidRPr="00A117AB" w:rsidRDefault="00624CFA" w:rsidP="00A117AB">
      <w:pPr>
        <w:numPr>
          <w:ilvl w:val="0"/>
          <w:numId w:val="17"/>
        </w:numPr>
        <w:spacing w:after="0" w:line="240" w:lineRule="auto"/>
        <w:ind w:left="714" w:hanging="357"/>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 xml:space="preserve">Expansión territorial de derechos: La institucionalización de espacios como la “Plaza 8 de Octubre” (Laferrere), la plaza “17 de Agosto” (Isidro Casanova), la plaza “20 de Junio” (Rafael Castillo), la “Plaza de la Comunidad Organizada” (González Catán) y la plaza “El Ombú” en Ciudad Evita </w:t>
      </w:r>
    </w:p>
    <w:p w14:paraId="48EDC828" w14:textId="77777777" w:rsidR="00624CFA" w:rsidRPr="00A117AB" w:rsidRDefault="00624CFA" w:rsidP="00624CFA">
      <w:pPr>
        <w:ind w:left="720"/>
        <w:jc w:val="both"/>
        <w:rPr>
          <w:rFonts w:ascii="Times New Roman" w:hAnsi="Times New Roman" w:cs="Times New Roman"/>
          <w:color w:val="000000"/>
          <w:lang w:val="es-AR" w:eastAsia="es-AR"/>
          <w14:ligatures w14:val="none"/>
        </w:rPr>
      </w:pPr>
    </w:p>
    <w:p w14:paraId="65248F81" w14:textId="77777777" w:rsidR="00624CFA" w:rsidRPr="00A117AB" w:rsidRDefault="00624CFA" w:rsidP="00C2620F">
      <w:pPr>
        <w:spacing w:line="240" w:lineRule="auto"/>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La historiografía local confirma que estas áreas nunca fueron percibidas por la comunidad como simples terrenos baldíos o pulmones vegetales, sino como patrimonio cotidiano (Guitián, 2007).  Enrique (2010) documenta, por ejemplo, cómo la Plaza Carlos Gardel del barrio San Alberto se convirtió en un motor de encuentro vecinal desde la década de 1950, mientras que la plaza central de Isidro Casanova ha sido históricamente el epicentro de mejoras urbanas y festejos comunitarios impulsados por la acción conjunta de vecinos y autoridades.</w:t>
      </w:r>
    </w:p>
    <w:p w14:paraId="46A2340F" w14:textId="5D676860" w:rsidR="00624CFA" w:rsidRDefault="00624CFA" w:rsidP="00C2620F">
      <w:pPr>
        <w:spacing w:line="240" w:lineRule="auto"/>
        <w:jc w:val="both"/>
        <w:rPr>
          <w:rFonts w:ascii="Times New Roman" w:hAnsi="Times New Roman" w:cs="Times New Roman"/>
          <w:color w:val="000000"/>
          <w:lang w:val="es-AR" w:eastAsia="es-AR"/>
          <w14:ligatures w14:val="none"/>
        </w:rPr>
      </w:pPr>
      <w:r w:rsidRPr="00A117AB">
        <w:rPr>
          <w:rFonts w:ascii="Times New Roman" w:hAnsi="Times New Roman" w:cs="Times New Roman"/>
          <w:color w:val="000000"/>
          <w:lang w:val="es-AR" w:eastAsia="es-AR"/>
          <w14:ligatures w14:val="none"/>
        </w:rPr>
        <w:t xml:space="preserve">Asimismo, autores </w:t>
      </w:r>
      <w:r w:rsidRPr="0036188A">
        <w:rPr>
          <w:rFonts w:ascii="Times New Roman" w:hAnsi="Times New Roman" w:cs="Times New Roman"/>
          <w:color w:val="000000"/>
          <w:lang w:val="es-AR" w:eastAsia="es-AR"/>
          <w14:ligatures w14:val="none"/>
        </w:rPr>
        <w:t>como Giménez (2000) destacan</w:t>
      </w:r>
      <w:r w:rsidRPr="00A117AB">
        <w:rPr>
          <w:rFonts w:ascii="Times New Roman" w:hAnsi="Times New Roman" w:cs="Times New Roman"/>
          <w:color w:val="000000"/>
          <w:lang w:val="es-AR" w:eastAsia="es-AR"/>
          <w14:ligatures w14:val="none"/>
        </w:rPr>
        <w:t xml:space="preserve"> que estos espacios verdes se integraron profundamente en la identidad local de cada barrio. Esta relevancia simbólica no puede disociarse de los fuertes entramados asociativos del conurbano; las plazas se han desarrollado en estrecho vínculo con sociedades de fomento, clubes y bibliotecas populares, conformando un tejido de sociabilidad que define la vida en el territorio </w:t>
      </w:r>
      <w:r w:rsidRPr="00B61861">
        <w:rPr>
          <w:rFonts w:ascii="Times New Roman" w:hAnsi="Times New Roman" w:cs="Times New Roman"/>
          <w:color w:val="000000"/>
          <w:lang w:val="es-AR" w:eastAsia="es-AR"/>
          <w14:ligatures w14:val="none"/>
        </w:rPr>
        <w:t>(Armus y Bohoslavsky, 2015)</w:t>
      </w:r>
      <w:r w:rsidR="004028AF" w:rsidRPr="00B61861">
        <w:rPr>
          <w:rFonts w:ascii="Times New Roman" w:hAnsi="Times New Roman" w:cs="Times New Roman"/>
          <w:color w:val="000000"/>
          <w:lang w:val="es-AR" w:eastAsia="es-AR"/>
          <w14:ligatures w14:val="none"/>
        </w:rPr>
        <w:t xml:space="preserve">. </w:t>
      </w:r>
      <w:r w:rsidRPr="00B61861">
        <w:rPr>
          <w:rFonts w:ascii="Times New Roman" w:hAnsi="Times New Roman" w:cs="Times New Roman"/>
          <w:color w:val="000000"/>
          <w:lang w:val="es-AR" w:eastAsia="es-AR"/>
          <w14:ligatures w14:val="none"/>
        </w:rPr>
        <w:t xml:space="preserve"> En última</w:t>
      </w:r>
      <w:r w:rsidRPr="00A117AB">
        <w:rPr>
          <w:rFonts w:ascii="Times New Roman" w:hAnsi="Times New Roman" w:cs="Times New Roman"/>
          <w:color w:val="000000"/>
          <w:lang w:val="es-AR" w:eastAsia="es-AR"/>
          <w14:ligatures w14:val="none"/>
        </w:rPr>
        <w:t xml:space="preserve"> instancia, la plaza matancera se erige como un activo territorial donde la memoria comunitaria y la gestión pública convergen para garantizar el derecho a la ciudad</w:t>
      </w:r>
    </w:p>
    <w:p w14:paraId="61215DFF" w14:textId="77777777" w:rsidR="007F6A5A" w:rsidRPr="00A117AB" w:rsidRDefault="007F6A5A" w:rsidP="00C2620F">
      <w:pPr>
        <w:spacing w:line="240" w:lineRule="auto"/>
        <w:jc w:val="both"/>
        <w:rPr>
          <w:rFonts w:ascii="Times New Roman" w:hAnsi="Times New Roman" w:cs="Times New Roman"/>
          <w:color w:val="000000"/>
          <w:lang w:val="es-AR" w:eastAsia="es-AR"/>
          <w14:ligatures w14:val="none"/>
        </w:rPr>
      </w:pPr>
    </w:p>
    <w:p w14:paraId="4C04F568" w14:textId="77777777" w:rsidR="00A117AB" w:rsidRPr="00A117AB" w:rsidRDefault="00A117AB" w:rsidP="00C2620F">
      <w:pPr>
        <w:jc w:val="both"/>
        <w:rPr>
          <w:rFonts w:ascii="Times New Roman" w:hAnsi="Times New Roman" w:cs="Times New Roman"/>
          <w:color w:val="000000"/>
          <w:lang w:val="es-AR" w:eastAsia="es-AR"/>
          <w14:ligatures w14:val="none"/>
        </w:rPr>
      </w:pPr>
    </w:p>
    <w:p w14:paraId="321F0406" w14:textId="77777777" w:rsidR="00624CFA" w:rsidRPr="00B73D29" w:rsidRDefault="00624CFA" w:rsidP="00624CFA">
      <w:pPr>
        <w:pStyle w:val="Prrafodelista"/>
        <w:numPr>
          <w:ilvl w:val="0"/>
          <w:numId w:val="15"/>
        </w:numPr>
        <w:shd w:val="clear" w:color="auto" w:fill="FFFFFF"/>
        <w:spacing w:after="0" w:line="240" w:lineRule="auto"/>
        <w:rPr>
          <w:rFonts w:ascii="Times New Roman" w:hAnsi="Times New Roman" w:cs="Times New Roman"/>
          <w:b/>
          <w:bCs/>
          <w:color w:val="000000"/>
          <w:lang w:val="es-AR" w:eastAsia="es-AR"/>
          <w14:ligatures w14:val="none"/>
        </w:rPr>
      </w:pPr>
      <w:r w:rsidRPr="00B73D29">
        <w:rPr>
          <w:rFonts w:ascii="Times New Roman" w:hAnsi="Times New Roman" w:cs="Times New Roman"/>
          <w:b/>
          <w:bCs/>
          <w:color w:val="000000"/>
          <w:lang w:val="es-AR" w:eastAsia="es-AR"/>
          <w14:ligatures w14:val="none"/>
        </w:rPr>
        <w:t xml:space="preserve">La "fábrica del patrimonio" </w:t>
      </w:r>
    </w:p>
    <w:p w14:paraId="32CC98AB" w14:textId="359E0EA3" w:rsidR="00624CFA" w:rsidRPr="00624CFA" w:rsidRDefault="00624CFA" w:rsidP="00C2620F">
      <w:pPr>
        <w:shd w:val="clear" w:color="auto" w:fill="FFFFFF"/>
        <w:spacing w:line="240" w:lineRule="auto"/>
        <w:jc w:val="both"/>
        <w:rPr>
          <w:rFonts w:ascii="Times New Roman" w:eastAsia="Calibri" w:hAnsi="Times New Roman" w:cs="Times New Roman"/>
        </w:rPr>
      </w:pPr>
      <w:r w:rsidRPr="00624CFA">
        <w:rPr>
          <w:rFonts w:ascii="Times New Roman" w:eastAsia="Calibri" w:hAnsi="Times New Roman" w:cs="Times New Roman"/>
        </w:rPr>
        <w:t xml:space="preserve">Para que esta concepción teórica de la "fábrica del patrimonio" se traduzca en una herramienta de gestión efectiva en el territorio de La Matanza, es </w:t>
      </w:r>
      <w:r w:rsidR="007525B8">
        <w:rPr>
          <w:rFonts w:ascii="Times New Roman" w:eastAsia="Calibri" w:hAnsi="Times New Roman" w:cs="Times New Roman"/>
        </w:rPr>
        <w:t>preciso</w:t>
      </w:r>
      <w:r w:rsidRPr="00624CFA">
        <w:rPr>
          <w:rFonts w:ascii="Times New Roman" w:eastAsia="Calibri" w:hAnsi="Times New Roman" w:cs="Times New Roman"/>
        </w:rPr>
        <w:t xml:space="preserve"> adoptar un enfoque interdisciplinario que capture la complejidad del espacio público. El estudio de las plazas seleccionadas no puede limitarse a una descripción física; debe comprenderse como una triangulación entre lo que el espacio </w:t>
      </w:r>
      <w:r w:rsidRPr="00624CFA">
        <w:rPr>
          <w:rFonts w:ascii="Times New Roman" w:eastAsia="Calibri" w:hAnsi="Times New Roman" w:cs="Times New Roman"/>
          <w:i/>
          <w:iCs/>
        </w:rPr>
        <w:t>fue</w:t>
      </w:r>
      <w:r w:rsidRPr="00624CFA">
        <w:rPr>
          <w:rFonts w:ascii="Times New Roman" w:eastAsia="Calibri" w:hAnsi="Times New Roman" w:cs="Times New Roman"/>
        </w:rPr>
        <w:t xml:space="preserve"> (historia), lo que </w:t>
      </w:r>
      <w:r w:rsidRPr="00624CFA">
        <w:rPr>
          <w:rFonts w:ascii="Times New Roman" w:eastAsia="Calibri" w:hAnsi="Times New Roman" w:cs="Times New Roman"/>
          <w:i/>
          <w:iCs/>
        </w:rPr>
        <w:t>está permitido</w:t>
      </w:r>
      <w:r w:rsidRPr="00624CFA">
        <w:rPr>
          <w:rFonts w:ascii="Times New Roman" w:eastAsia="Calibri" w:hAnsi="Times New Roman" w:cs="Times New Roman"/>
        </w:rPr>
        <w:t xml:space="preserve"> (derecho), lo que </w:t>
      </w:r>
      <w:r w:rsidRPr="00624CFA">
        <w:rPr>
          <w:rFonts w:ascii="Times New Roman" w:eastAsia="Calibri" w:hAnsi="Times New Roman" w:cs="Times New Roman"/>
          <w:i/>
          <w:iCs/>
        </w:rPr>
        <w:t>vale para la comunidad</w:t>
      </w:r>
      <w:r w:rsidRPr="00624CFA">
        <w:rPr>
          <w:rFonts w:ascii="Times New Roman" w:eastAsia="Calibri" w:hAnsi="Times New Roman" w:cs="Times New Roman"/>
        </w:rPr>
        <w:t xml:space="preserve"> (economía) y cómo se </w:t>
      </w:r>
      <w:r w:rsidRPr="00624CFA">
        <w:rPr>
          <w:rFonts w:ascii="Times New Roman" w:eastAsia="Calibri" w:hAnsi="Times New Roman" w:cs="Times New Roman"/>
          <w:i/>
          <w:iCs/>
        </w:rPr>
        <w:t>habita</w:t>
      </w:r>
      <w:r w:rsidRPr="00624CFA">
        <w:rPr>
          <w:rFonts w:ascii="Times New Roman" w:eastAsia="Calibri" w:hAnsi="Times New Roman" w:cs="Times New Roman"/>
        </w:rPr>
        <w:t xml:space="preserve"> (dimensión social). Por consiguiente, la investigación desglosa el análisis en cuatro dimensiones integradas que permiten operativizar la puesta en valor de estos activos comunitarios</w:t>
      </w:r>
    </w:p>
    <w:p w14:paraId="6E0993B0" w14:textId="77777777" w:rsidR="00624CFA" w:rsidRPr="00624CFA" w:rsidRDefault="00624CFA" w:rsidP="00624CFA">
      <w:pPr>
        <w:shd w:val="clear" w:color="auto" w:fill="FFFFFF"/>
        <w:jc w:val="both"/>
        <w:rPr>
          <w:rFonts w:ascii="Times New Roman" w:eastAsia="Calibri" w:hAnsi="Times New Roman" w:cs="Times New Roman"/>
          <w:b/>
          <w:bCs/>
          <w:lang w:val="es-AR"/>
        </w:rPr>
      </w:pPr>
    </w:p>
    <w:p w14:paraId="0073B04A" w14:textId="77777777" w:rsidR="00624CFA" w:rsidRPr="00624CFA" w:rsidRDefault="00624CFA" w:rsidP="00C2620F">
      <w:pPr>
        <w:shd w:val="clear" w:color="auto" w:fill="FFFFFF"/>
        <w:ind w:firstLine="709"/>
        <w:jc w:val="both"/>
        <w:rPr>
          <w:rFonts w:ascii="Times New Roman" w:eastAsia="Calibri" w:hAnsi="Times New Roman" w:cs="Times New Roman"/>
          <w:lang w:val="es-AR"/>
        </w:rPr>
      </w:pPr>
      <w:r w:rsidRPr="00624CFA">
        <w:rPr>
          <w:rFonts w:ascii="Times New Roman" w:eastAsia="Calibri" w:hAnsi="Times New Roman" w:cs="Times New Roman"/>
          <w:b/>
          <w:bCs/>
          <w:lang w:val="es-AR"/>
        </w:rPr>
        <w:t>1. La dimensión histórico-cultural y la "fábrica del patrimonio"</w:t>
      </w:r>
      <w:r w:rsidRPr="00624CFA">
        <w:rPr>
          <w:rFonts w:ascii="Times New Roman" w:eastAsia="Calibri" w:hAnsi="Times New Roman" w:cs="Times New Roman"/>
          <w:lang w:val="es-AR"/>
        </w:rPr>
        <w:t xml:space="preserve"> </w:t>
      </w:r>
    </w:p>
    <w:p w14:paraId="713EC957" w14:textId="77777777" w:rsidR="00624CFA" w:rsidRPr="00624CFA" w:rsidRDefault="00624CFA" w:rsidP="00B73D29">
      <w:pPr>
        <w:pStyle w:val="Prrafodelista"/>
        <w:shd w:val="clear" w:color="auto" w:fill="FFFFFF"/>
        <w:spacing w:after="0" w:line="240" w:lineRule="auto"/>
        <w:ind w:left="0"/>
        <w:jc w:val="both"/>
        <w:rPr>
          <w:rFonts w:ascii="Times New Roman" w:eastAsia="Calibri" w:hAnsi="Times New Roman" w:cs="Times New Roman"/>
          <w:lang w:val="es-AR"/>
        </w:rPr>
      </w:pPr>
      <w:r w:rsidRPr="00624CFA">
        <w:rPr>
          <w:rFonts w:ascii="Times New Roman" w:eastAsia="Calibri" w:hAnsi="Times New Roman" w:cs="Times New Roman"/>
          <w:lang w:val="es-AR"/>
        </w:rPr>
        <w:t>El estudio del patrimonio cultural ha dejado de referirse exclusivamente a monumentos excepcionales para incorporar los espacios y prácticas cotidianas donde se configura la vida social. Bajo esta perspectiva, las plazas se revalorizan como ámbitos donde se expresa la memoria colectiva y la identidad territorial. La noción de “fábrica del patrimonio” explica cómo las sociedades producen y legitiman sus bienes patrimoniales a través de procesos institucionales y sociales que otorgan valor simbólico a determinados objetos o lugares. El patrimonio se constituye como un campo de disputa por el sentido, donde intervienen actores públicos, privados y comunitarios.</w:t>
      </w:r>
    </w:p>
    <w:p w14:paraId="10BF133C" w14:textId="77777777" w:rsidR="00624CFA" w:rsidRPr="00624CFA" w:rsidRDefault="00624CFA" w:rsidP="00A117AB">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En el contexto de La Matanza, el concepto de "patrimonio cotidiano" de Dyna Guitián permite reconocer que en las plazas confluyen dimensiones materiales (infraestructura, diseño) e inmateriales (usos, costumbres y memoria). Las plazas han evolucionado según tres lógicas distintas en el distrito:</w:t>
      </w:r>
    </w:p>
    <w:p w14:paraId="0D5190C9" w14:textId="77777777" w:rsidR="00624CFA" w:rsidRPr="00C2620F" w:rsidRDefault="00624CFA" w:rsidP="00624CFA">
      <w:pPr>
        <w:numPr>
          <w:ilvl w:val="0"/>
          <w:numId w:val="18"/>
        </w:numPr>
        <w:shd w:val="clear" w:color="auto" w:fill="FFFFFF"/>
        <w:spacing w:after="0" w:line="240" w:lineRule="auto"/>
        <w:ind w:left="0" w:firstLine="0"/>
        <w:jc w:val="both"/>
        <w:rPr>
          <w:rFonts w:ascii="Times New Roman" w:eastAsia="Calibri" w:hAnsi="Times New Roman" w:cs="Times New Roman"/>
          <w:lang w:val="es-AR"/>
        </w:rPr>
      </w:pPr>
      <w:r w:rsidRPr="00C2620F">
        <w:rPr>
          <w:rFonts w:ascii="Times New Roman" w:eastAsia="Calibri" w:hAnsi="Times New Roman" w:cs="Times New Roman"/>
          <w:lang w:val="es-AR"/>
        </w:rPr>
        <w:t xml:space="preserve">Centros Cívicos Tradicionales: </w:t>
      </w:r>
      <w:r w:rsidRPr="00C2620F">
        <w:rPr>
          <w:rFonts w:ascii="Times New Roman" w:eastAsia="Calibri" w:hAnsi="Times New Roman" w:cs="Times New Roman"/>
        </w:rPr>
        <w:t xml:space="preserve">El caso paradigmático es la Plaza General San Martín de San Justo (1858). Su origen como "Plaza de las Carretas" respondía a una necesidad comercial de intercambio, pero su consolidación definitiva la posicionó como el corazón político y religioso del partido. Esta plaza se caracteriza por un perfil cívico-institucional donde el espacio está condicionado por la cercanía de los tres pilares del orden local: el Palacio Municipal, la Iglesia Catedral y la Escuela N°1 </w:t>
      </w:r>
    </w:p>
    <w:p w14:paraId="0D2C140A" w14:textId="77777777" w:rsidR="00624CFA" w:rsidRPr="00C2620F" w:rsidRDefault="00624CFA" w:rsidP="00624CFA">
      <w:pPr>
        <w:numPr>
          <w:ilvl w:val="0"/>
          <w:numId w:val="18"/>
        </w:numPr>
        <w:shd w:val="clear" w:color="auto" w:fill="FFFFFF"/>
        <w:spacing w:after="0" w:line="240" w:lineRule="auto"/>
        <w:ind w:left="0" w:firstLine="0"/>
        <w:jc w:val="both"/>
        <w:rPr>
          <w:rFonts w:ascii="Times New Roman" w:eastAsia="Calibri" w:hAnsi="Times New Roman" w:cs="Times New Roman"/>
          <w:lang w:val="es-AR"/>
        </w:rPr>
      </w:pPr>
      <w:r w:rsidRPr="00C2620F">
        <w:rPr>
          <w:rFonts w:ascii="Times New Roman" w:eastAsia="Calibri" w:hAnsi="Times New Roman" w:cs="Times New Roman"/>
          <w:lang w:val="es-AR"/>
        </w:rPr>
        <w:t xml:space="preserve">Expansión Ferroviaria: </w:t>
      </w:r>
      <w:r w:rsidRPr="00C2620F">
        <w:rPr>
          <w:rFonts w:ascii="Times New Roman" w:eastAsia="Calibri" w:hAnsi="Times New Roman" w:cs="Times New Roman"/>
        </w:rPr>
        <w:t>Estas plazas, surgidas a fines del siglo XIX y principios del XX, nacieron ligadas al loteo de antiguas chacras y la conectividad del tren. Ejemplos como la plaza Manuel Belgrano de Ramos Mejía (1871) o la Juan Domingo Perón de Gregorio de Laferrere (1911) funcionan hoy como potentes nodos de apropiación masiva. En el caso de Laferrere, el espacio ha mutado hacia un perfil de economía popular, donde las ferias barriales y el flujo peatonal masivo derivado del centro comercial y la estación ferroviaria redefinen constantemente el uso del suelo público</w:t>
      </w:r>
    </w:p>
    <w:p w14:paraId="6F096CC4" w14:textId="779903FD" w:rsidR="00624CFA" w:rsidRDefault="00624CFA" w:rsidP="00624CFA">
      <w:pPr>
        <w:numPr>
          <w:ilvl w:val="0"/>
          <w:numId w:val="18"/>
        </w:numPr>
        <w:shd w:val="clear" w:color="auto" w:fill="FFFFFF"/>
        <w:spacing w:after="0" w:line="240" w:lineRule="auto"/>
        <w:ind w:left="0" w:firstLine="0"/>
        <w:jc w:val="both"/>
        <w:rPr>
          <w:rFonts w:ascii="Times New Roman" w:eastAsia="Calibri" w:hAnsi="Times New Roman" w:cs="Times New Roman"/>
          <w:lang w:val="es-AR"/>
        </w:rPr>
      </w:pPr>
      <w:r w:rsidRPr="00C2620F">
        <w:rPr>
          <w:rFonts w:ascii="Times New Roman" w:eastAsia="Calibri" w:hAnsi="Times New Roman" w:cs="Times New Roman"/>
          <w:lang w:val="es-AR"/>
        </w:rPr>
        <w:t>Plazas Planificadas y Rurales: Planificadas</w:t>
      </w:r>
      <w:r w:rsidR="007525B8">
        <w:rPr>
          <w:rFonts w:ascii="Times New Roman" w:eastAsia="Calibri" w:hAnsi="Times New Roman" w:cs="Times New Roman"/>
          <w:lang w:val="es-AR"/>
        </w:rPr>
        <w:t xml:space="preserve"> como</w:t>
      </w:r>
      <w:r w:rsidRPr="00C2620F">
        <w:rPr>
          <w:rFonts w:ascii="Times New Roman" w:eastAsia="Calibri" w:hAnsi="Times New Roman" w:cs="Times New Roman"/>
          <w:lang w:val="es-AR"/>
        </w:rPr>
        <w:t xml:space="preserve"> </w:t>
      </w:r>
      <w:r w:rsidR="007525B8">
        <w:rPr>
          <w:rFonts w:ascii="Times New Roman" w:eastAsia="Calibri" w:hAnsi="Times New Roman" w:cs="Times New Roman"/>
          <w:lang w:val="es-AR"/>
        </w:rPr>
        <w:t>l</w:t>
      </w:r>
      <w:r w:rsidRPr="00C2620F">
        <w:rPr>
          <w:rFonts w:ascii="Times New Roman" w:eastAsia="Calibri" w:hAnsi="Times New Roman" w:cs="Times New Roman"/>
          <w:lang w:val="es-AR"/>
        </w:rPr>
        <w:t xml:space="preserve">a Plaza de Ciudad Evita (1948-1953) es destacada en las fuentes por su especial valor arquitectónico y simbólico. Al ser diseñada dentro de un proyecto urbanístico monumental de planificación social, mantiene hasta hoy un sentido de pertenencia vecinal único que refuerza la cohesión de la comunidad. </w:t>
      </w:r>
      <w:r w:rsidR="007525B8">
        <w:rPr>
          <w:rFonts w:ascii="Times New Roman" w:eastAsia="Calibri" w:hAnsi="Times New Roman" w:cs="Times New Roman"/>
          <w:lang w:val="es-AR"/>
        </w:rPr>
        <w:t>Las r</w:t>
      </w:r>
      <w:r w:rsidRPr="00C2620F">
        <w:rPr>
          <w:rFonts w:ascii="Times New Roman" w:eastAsia="Calibri" w:hAnsi="Times New Roman" w:cs="Times New Roman"/>
          <w:lang w:val="es-AR"/>
        </w:rPr>
        <w:t>urales</w:t>
      </w:r>
      <w:r w:rsidR="007525B8">
        <w:rPr>
          <w:rFonts w:ascii="Times New Roman" w:eastAsia="Calibri" w:hAnsi="Times New Roman" w:cs="Times New Roman"/>
          <w:lang w:val="es-AR"/>
        </w:rPr>
        <w:t xml:space="preserve"> como </w:t>
      </w:r>
      <w:r w:rsidRPr="00C2620F">
        <w:rPr>
          <w:rFonts w:ascii="Times New Roman" w:eastAsia="Calibri" w:hAnsi="Times New Roman" w:cs="Times New Roman"/>
          <w:lang w:val="es-AR"/>
        </w:rPr>
        <w:t xml:space="preserve">la </w:t>
      </w:r>
      <w:r w:rsidR="007525B8">
        <w:rPr>
          <w:rFonts w:ascii="Times New Roman" w:eastAsia="Calibri" w:hAnsi="Times New Roman" w:cs="Times New Roman"/>
          <w:lang w:val="es-AR"/>
        </w:rPr>
        <w:t>p</w:t>
      </w:r>
      <w:r w:rsidRPr="00C2620F">
        <w:rPr>
          <w:rFonts w:ascii="Times New Roman" w:eastAsia="Calibri" w:hAnsi="Times New Roman" w:cs="Times New Roman"/>
          <w:lang w:val="es-AR"/>
        </w:rPr>
        <w:t>laza de 20 de Junio</w:t>
      </w:r>
      <w:r w:rsidR="007525B8">
        <w:rPr>
          <w:rFonts w:ascii="Times New Roman" w:eastAsia="Calibri" w:hAnsi="Times New Roman" w:cs="Times New Roman"/>
          <w:lang w:val="es-AR"/>
        </w:rPr>
        <w:t>, e</w:t>
      </w:r>
      <w:r w:rsidR="007525B8" w:rsidRPr="00C2620F">
        <w:rPr>
          <w:rFonts w:ascii="Times New Roman" w:eastAsia="Calibri" w:hAnsi="Times New Roman" w:cs="Times New Roman"/>
          <w:lang w:val="es-AR"/>
        </w:rPr>
        <w:t xml:space="preserve">n contraste, </w:t>
      </w:r>
      <w:r w:rsidRPr="00C2620F">
        <w:rPr>
          <w:rFonts w:ascii="Times New Roman" w:eastAsia="Calibri" w:hAnsi="Times New Roman" w:cs="Times New Roman"/>
          <w:lang w:val="es-AR"/>
        </w:rPr>
        <w:t>representa el extremo de la periferia, preservando aún una fisonomía y dinámica de pueblo rural, lo que permite analizar un tipo de patrimonio cotidiano menos densamente intervenido que el de las zonas centrales</w:t>
      </w:r>
    </w:p>
    <w:p w14:paraId="537A678D" w14:textId="77777777" w:rsidR="00B73D29" w:rsidRDefault="00B73D29" w:rsidP="00B73D29">
      <w:pPr>
        <w:shd w:val="clear" w:color="auto" w:fill="FFFFFF"/>
        <w:spacing w:after="0" w:line="240" w:lineRule="auto"/>
        <w:jc w:val="both"/>
        <w:rPr>
          <w:rFonts w:ascii="Times New Roman" w:eastAsia="Calibri" w:hAnsi="Times New Roman" w:cs="Times New Roman"/>
          <w:lang w:val="es-AR"/>
        </w:rPr>
      </w:pPr>
    </w:p>
    <w:p w14:paraId="42DDD059" w14:textId="77777777" w:rsidR="00B73D29" w:rsidRDefault="00B73D29" w:rsidP="00B73D29">
      <w:pPr>
        <w:shd w:val="clear" w:color="auto" w:fill="FFFFFF"/>
        <w:spacing w:after="0" w:line="240" w:lineRule="auto"/>
        <w:jc w:val="both"/>
        <w:rPr>
          <w:rFonts w:ascii="Times New Roman" w:eastAsia="Calibri" w:hAnsi="Times New Roman" w:cs="Times New Roman"/>
          <w:lang w:val="es-AR"/>
        </w:rPr>
      </w:pPr>
    </w:p>
    <w:p w14:paraId="01ABBD53" w14:textId="77777777" w:rsidR="00C2620F" w:rsidRDefault="00C2620F" w:rsidP="00C2620F">
      <w:pPr>
        <w:shd w:val="clear" w:color="auto" w:fill="FFFFFF"/>
        <w:ind w:firstLine="709"/>
        <w:jc w:val="both"/>
        <w:rPr>
          <w:rFonts w:ascii="Times New Roman" w:eastAsia="Calibri" w:hAnsi="Times New Roman" w:cs="Times New Roman"/>
          <w:lang w:val="es-AR"/>
        </w:rPr>
      </w:pPr>
      <w:r w:rsidRPr="00624CFA">
        <w:rPr>
          <w:rFonts w:ascii="Times New Roman" w:eastAsia="Calibri" w:hAnsi="Times New Roman" w:cs="Times New Roman"/>
          <w:b/>
          <w:bCs/>
          <w:lang w:val="es-AR"/>
        </w:rPr>
        <w:t>2. Marco regulatorio y dimensión jurídica</w:t>
      </w:r>
      <w:r w:rsidRPr="00624CFA">
        <w:rPr>
          <w:rFonts w:ascii="Times New Roman" w:eastAsia="Calibri" w:hAnsi="Times New Roman" w:cs="Times New Roman"/>
          <w:lang w:val="es-AR"/>
        </w:rPr>
        <w:t xml:space="preserve"> </w:t>
      </w:r>
    </w:p>
    <w:p w14:paraId="348ACB35" w14:textId="27EB5898" w:rsidR="00C2620F" w:rsidRPr="00FA2698" w:rsidRDefault="00C2620F" w:rsidP="00B73D29">
      <w:pPr>
        <w:shd w:val="clear" w:color="auto" w:fill="FFFFFF"/>
        <w:spacing w:line="240" w:lineRule="auto"/>
        <w:jc w:val="both"/>
        <w:rPr>
          <w:rFonts w:ascii="Times New Roman" w:eastAsia="Calibri" w:hAnsi="Times New Roman" w:cs="Times New Roman"/>
          <w:highlight w:val="yellow"/>
          <w:lang w:val="es-AR"/>
        </w:rPr>
      </w:pPr>
      <w:r w:rsidRPr="00624CFA">
        <w:rPr>
          <w:rFonts w:ascii="Times New Roman" w:eastAsia="Calibri" w:hAnsi="Times New Roman" w:cs="Times New Roman"/>
          <w:lang w:val="es-AR"/>
        </w:rPr>
        <w:t xml:space="preserve">Desde el punto de vista jurídico, las plazas son bienes del dominio público estatal, inalienables e imprescriptibles. No pueden venderse, alquilarse permanentemente a privados ni edificarse para fines comerciales particulares. En La Matanza, este uso está </w:t>
      </w:r>
      <w:r w:rsidRPr="00B61861">
        <w:rPr>
          <w:rFonts w:ascii="Times New Roman" w:eastAsia="Calibri" w:hAnsi="Times New Roman" w:cs="Times New Roman"/>
          <w:lang w:val="es-AR"/>
        </w:rPr>
        <w:t xml:space="preserve">condicionado por un entramado legal jerárquico que incluye el Decreto-Ley </w:t>
      </w:r>
      <w:r w:rsidR="007525B8">
        <w:rPr>
          <w:rFonts w:ascii="Times New Roman" w:eastAsia="Calibri" w:hAnsi="Times New Roman" w:cs="Times New Roman"/>
          <w:lang w:val="es-AR"/>
        </w:rPr>
        <w:t>P</w:t>
      </w:r>
      <w:r w:rsidRPr="00B61861">
        <w:rPr>
          <w:rFonts w:ascii="Times New Roman" w:eastAsia="Calibri" w:hAnsi="Times New Roman" w:cs="Times New Roman"/>
          <w:lang w:val="es-AR"/>
        </w:rPr>
        <w:t>rovincial 8.912/77 y ordenanzas municipales específicas.</w:t>
      </w:r>
    </w:p>
    <w:p w14:paraId="4BA2709F" w14:textId="2D87613C" w:rsidR="00C2620F" w:rsidRPr="00B73D29" w:rsidRDefault="00C2620F" w:rsidP="00B73D29">
      <w:pPr>
        <w:shd w:val="clear" w:color="auto" w:fill="FFFFFF"/>
        <w:spacing w:line="240" w:lineRule="auto"/>
        <w:jc w:val="both"/>
        <w:rPr>
          <w:rFonts w:ascii="Times New Roman" w:eastAsia="Calibri" w:hAnsi="Times New Roman" w:cs="Times New Roman"/>
          <w:lang w:val="es-AR"/>
        </w:rPr>
      </w:pPr>
      <w:r w:rsidRPr="00B61861">
        <w:rPr>
          <w:rFonts w:ascii="Times New Roman" w:eastAsia="Calibri" w:hAnsi="Times New Roman" w:cs="Times New Roman"/>
          <w:lang w:val="es-AR"/>
        </w:rPr>
        <w:t>La Ordenanza Municipal N° 17.785</w:t>
      </w:r>
      <w:r w:rsidR="00B61861">
        <w:rPr>
          <w:rFonts w:ascii="Times New Roman" w:eastAsia="Calibri" w:hAnsi="Times New Roman" w:cs="Times New Roman"/>
          <w:lang w:val="es-AR"/>
        </w:rPr>
        <w:t>/2007</w:t>
      </w:r>
      <w:r w:rsidRPr="00B61861">
        <w:rPr>
          <w:rFonts w:ascii="Times New Roman" w:eastAsia="Calibri" w:hAnsi="Times New Roman" w:cs="Times New Roman"/>
          <w:lang w:val="es-AR"/>
        </w:rPr>
        <w:t xml:space="preserve"> (Código de</w:t>
      </w:r>
      <w:r w:rsidRPr="00B73D29">
        <w:rPr>
          <w:rFonts w:ascii="Times New Roman" w:eastAsia="Calibri" w:hAnsi="Times New Roman" w:cs="Times New Roman"/>
          <w:lang w:val="es-AR"/>
        </w:rPr>
        <w:t xml:space="preserve"> Edificación Urbana) cataloga a las plazas bajo distritos específicos de Urbanización Parque y Espacio Verde (UP/EV). En estos distritos, el Factor de Ocupación del Suelo (FOS) y el Factor de Ocupación Total (FOT) son nulos, prohibiendo construcciones privadas y restringiendo la instalación de estructuras pesadas o torres de antenas para preservar el patrimonio visual. Cualquier edificación complementaria requiere autorización del Honorable Concejo Deliberante.</w:t>
      </w:r>
    </w:p>
    <w:p w14:paraId="31C74F5E" w14:textId="77777777" w:rsidR="00C2620F" w:rsidRPr="00B73D29" w:rsidRDefault="00C2620F" w:rsidP="00B73D29">
      <w:pPr>
        <w:shd w:val="clear" w:color="auto" w:fill="FFFFFF"/>
        <w:spacing w:line="240" w:lineRule="auto"/>
        <w:jc w:val="both"/>
        <w:rPr>
          <w:rFonts w:ascii="Times New Roman" w:eastAsia="Calibri" w:hAnsi="Times New Roman" w:cs="Times New Roman"/>
          <w:lang w:val="es-AR"/>
        </w:rPr>
      </w:pPr>
      <w:r w:rsidRPr="00B73D29">
        <w:rPr>
          <w:rFonts w:ascii="Times New Roman" w:eastAsia="Calibri" w:hAnsi="Times New Roman" w:cs="Times New Roman"/>
          <w:lang w:val="es-AR"/>
        </w:rPr>
        <w:t>Sin embargo, la administración de estos espacios convive con tensiones derivadas de las concesiones o permisos de uso parcial, como ferias artesanales o calesitas. Estos permisos son otorgados por el Ejecutivo Municipal de forma precaria.</w:t>
      </w:r>
    </w:p>
    <w:p w14:paraId="463C8730" w14:textId="77777777" w:rsidR="00C2620F" w:rsidRPr="00B73D29" w:rsidRDefault="00C2620F" w:rsidP="00B73D29">
      <w:pPr>
        <w:shd w:val="clear" w:color="auto" w:fill="FFFFFF"/>
        <w:spacing w:line="240" w:lineRule="auto"/>
        <w:jc w:val="both"/>
        <w:rPr>
          <w:rFonts w:ascii="Times New Roman" w:eastAsia="Calibri" w:hAnsi="Times New Roman" w:cs="Times New Roman"/>
          <w:lang w:val="es-AR"/>
        </w:rPr>
      </w:pPr>
      <w:r w:rsidRPr="00B73D29">
        <w:rPr>
          <w:rFonts w:ascii="Times New Roman" w:eastAsia="Calibri" w:hAnsi="Times New Roman" w:cs="Times New Roman"/>
          <w:lang w:val="es-AR"/>
        </w:rPr>
        <w:t xml:space="preserve"> La Ordenanza Fiscal N° 25.660/19 regula los "Derechos de Ocupación o Uso de Espacios Públicos", estableciendo un canon que los feriantes deben abonar, aunque exime del pago a personas con discapacidad que atiendan sus propios puestos, promoviendo así la inclusión socioeconómica.</w:t>
      </w:r>
    </w:p>
    <w:p w14:paraId="7B7CD914" w14:textId="77777777" w:rsidR="00C2620F" w:rsidRPr="00624CFA" w:rsidRDefault="00C2620F" w:rsidP="00C2620F">
      <w:pPr>
        <w:shd w:val="clear" w:color="auto" w:fill="FFFFFF"/>
        <w:jc w:val="both"/>
        <w:rPr>
          <w:rFonts w:ascii="Times New Roman" w:eastAsia="Calibri" w:hAnsi="Times New Roman" w:cs="Times New Roman"/>
          <w:lang w:val="es-AR"/>
        </w:rPr>
      </w:pPr>
    </w:p>
    <w:p w14:paraId="7FA0D750" w14:textId="77777777" w:rsidR="00C2620F" w:rsidRDefault="00C2620F" w:rsidP="00C2620F">
      <w:pPr>
        <w:shd w:val="clear" w:color="auto" w:fill="FFFFFF"/>
        <w:ind w:firstLine="709"/>
        <w:jc w:val="both"/>
        <w:rPr>
          <w:rFonts w:ascii="Times New Roman" w:eastAsia="Calibri" w:hAnsi="Times New Roman" w:cs="Times New Roman"/>
          <w:lang w:val="es-AR"/>
        </w:rPr>
      </w:pPr>
      <w:r w:rsidRPr="00624CFA">
        <w:rPr>
          <w:rFonts w:ascii="Times New Roman" w:eastAsia="Calibri" w:hAnsi="Times New Roman" w:cs="Times New Roman"/>
          <w:b/>
          <w:bCs/>
          <w:lang w:val="es-AR"/>
        </w:rPr>
        <w:t>3. Dimensión económica: del valor fiscal al Balance Social</w:t>
      </w:r>
      <w:r w:rsidRPr="00624CFA">
        <w:rPr>
          <w:rFonts w:ascii="Times New Roman" w:eastAsia="Calibri" w:hAnsi="Times New Roman" w:cs="Times New Roman"/>
          <w:lang w:val="es-AR"/>
        </w:rPr>
        <w:t xml:space="preserve"> </w:t>
      </w:r>
    </w:p>
    <w:p w14:paraId="58710C6D" w14:textId="77777777"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La valoración económica tradicional de las plazas suele limitarse a la dualidad entre la valuación fiscal (criterios administrativos) y la comercial (impacto en el mercado inmobiliario). No obstante, desde la economía pública, las plazas son Bienes Públicos Puros definidos por la no rivalidad y la no exclusión. Al carecer de un precio de mercado, surge la "Tragedia de los Comunes", donde la libre accesibilidad incentiva la sobreexplotación o el deterioro. Esto justifica la intervención estatal mediante el gasto público operativo para evitar la depreciación del capital público.</w:t>
      </w:r>
    </w:p>
    <w:p w14:paraId="24D4536A" w14:textId="0779EC15"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Para superar las métricas tradicionales, esta investigación propone el uso del Balance Social como herramienta de evaluación integral. Este enfoque permite cuantificar el valor agregado que las instituciones públicas generan en términos sociales, ambientales y culturales. El Marco Internacional de Reporte Integrado (IFRS Foundation, 2021) complementa esta mirada al analizar cómo distintos tipos de capital (social, humano, natural y cultural) contribuyen a la creación de valor sostenible.</w:t>
      </w:r>
    </w:p>
    <w:p w14:paraId="0090BEC9" w14:textId="77777777"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B61861">
        <w:rPr>
          <w:rFonts w:ascii="Times New Roman" w:eastAsia="Calibri" w:hAnsi="Times New Roman" w:cs="Times New Roman"/>
          <w:lang w:val="es-AR"/>
        </w:rPr>
        <w:t>Un avance revolucionario en este sentido es el nuevo Plan de Cuentas del Sector Público Nacional (Disposición 11/23 CGN), aplicable</w:t>
      </w:r>
      <w:r w:rsidRPr="00624CFA">
        <w:rPr>
          <w:rFonts w:ascii="Times New Roman" w:eastAsia="Calibri" w:hAnsi="Times New Roman" w:cs="Times New Roman"/>
          <w:lang w:val="es-AR"/>
        </w:rPr>
        <w:t xml:space="preserve"> desde 2025. Este plan reconoce formalmente a los recursos naturales como activos del Estado bajo el criterio de control (independientemente de la propiedad legal). Introduce cuentas específicas para:</w:t>
      </w:r>
    </w:p>
    <w:p w14:paraId="4BF3DE1D" w14:textId="790FC8D1" w:rsidR="00C2620F" w:rsidRPr="00624CFA" w:rsidRDefault="00747BBD" w:rsidP="00747BBD">
      <w:pPr>
        <w:shd w:val="clear" w:color="auto" w:fill="FFFFFF"/>
        <w:spacing w:after="0" w:line="240" w:lineRule="auto"/>
        <w:jc w:val="both"/>
        <w:rPr>
          <w:rFonts w:ascii="Times New Roman" w:eastAsia="Calibri" w:hAnsi="Times New Roman" w:cs="Times New Roman"/>
          <w:lang w:val="es-AR"/>
        </w:rPr>
      </w:pPr>
      <w:r>
        <w:rPr>
          <w:rFonts w:ascii="Times New Roman" w:eastAsia="Calibri" w:hAnsi="Times New Roman" w:cs="Times New Roman"/>
          <w:lang w:val="es-AR"/>
        </w:rPr>
        <w:t xml:space="preserve">       </w:t>
      </w:r>
      <w:r w:rsidR="00C2620F" w:rsidRPr="00624CFA">
        <w:rPr>
          <w:rFonts w:ascii="Times New Roman" w:eastAsia="Calibri" w:hAnsi="Times New Roman" w:cs="Times New Roman"/>
          <w:lang w:val="es-AR"/>
        </w:rPr>
        <w:t xml:space="preserve">Activos Biológicos Producidos (1.2.3.07) </w:t>
      </w:r>
      <w:r w:rsidR="006B3138">
        <w:rPr>
          <w:rFonts w:ascii="Times New Roman" w:eastAsia="Calibri" w:hAnsi="Times New Roman" w:cs="Times New Roman"/>
          <w:lang w:val="es-AR"/>
        </w:rPr>
        <w:t>c</w:t>
      </w:r>
      <w:r w:rsidR="00C2620F" w:rsidRPr="00624CFA">
        <w:rPr>
          <w:rFonts w:ascii="Times New Roman" w:eastAsia="Calibri" w:hAnsi="Times New Roman" w:cs="Times New Roman"/>
          <w:lang w:val="es-AR"/>
        </w:rPr>
        <w:t>omo bosques y reservas naturales, permitiendo registrar su valor de origen, mejoras y revaluaciones.</w:t>
      </w:r>
    </w:p>
    <w:p w14:paraId="659CE81C" w14:textId="1CE9164F" w:rsidR="00C2620F" w:rsidRPr="00624CFA" w:rsidRDefault="00747BBD" w:rsidP="00747BBD">
      <w:pPr>
        <w:shd w:val="clear" w:color="auto" w:fill="FFFFFF"/>
        <w:spacing w:after="0" w:line="240" w:lineRule="auto"/>
        <w:jc w:val="both"/>
        <w:rPr>
          <w:rFonts w:ascii="Times New Roman" w:eastAsia="Calibri" w:hAnsi="Times New Roman" w:cs="Times New Roman"/>
          <w:lang w:val="es-AR"/>
        </w:rPr>
      </w:pPr>
      <w:r>
        <w:rPr>
          <w:rFonts w:ascii="Times New Roman" w:eastAsia="Calibri" w:hAnsi="Times New Roman" w:cs="Times New Roman"/>
          <w:lang w:val="es-AR"/>
        </w:rPr>
        <w:t xml:space="preserve">       </w:t>
      </w:r>
      <w:r w:rsidR="00C2620F" w:rsidRPr="00624CFA">
        <w:rPr>
          <w:rFonts w:ascii="Times New Roman" w:eastAsia="Calibri" w:hAnsi="Times New Roman" w:cs="Times New Roman"/>
          <w:lang w:val="es-AR"/>
        </w:rPr>
        <w:t>Activos No Producidos (1.2.4.02)</w:t>
      </w:r>
      <w:r w:rsidR="006B3138">
        <w:rPr>
          <w:rFonts w:ascii="Times New Roman" w:eastAsia="Calibri" w:hAnsi="Times New Roman" w:cs="Times New Roman"/>
          <w:lang w:val="es-AR"/>
        </w:rPr>
        <w:t xml:space="preserve"> i</w:t>
      </w:r>
      <w:r w:rsidR="00C2620F" w:rsidRPr="00624CFA">
        <w:rPr>
          <w:rFonts w:ascii="Times New Roman" w:eastAsia="Calibri" w:hAnsi="Times New Roman" w:cs="Times New Roman"/>
          <w:lang w:val="es-AR"/>
        </w:rPr>
        <w:t>ncluyendo recursos hídricos y minerales, reconociendo que proporcionan servicios ecológicos indispensables para la sociedad.</w:t>
      </w:r>
    </w:p>
    <w:p w14:paraId="4F815CDA" w14:textId="5B6192BC" w:rsidR="00C2620F" w:rsidRPr="00624CFA" w:rsidRDefault="00747BBD" w:rsidP="00747BBD">
      <w:pPr>
        <w:shd w:val="clear" w:color="auto" w:fill="FFFFFF"/>
        <w:spacing w:after="0" w:line="240" w:lineRule="auto"/>
        <w:jc w:val="both"/>
        <w:rPr>
          <w:rFonts w:ascii="Times New Roman" w:eastAsia="Calibri" w:hAnsi="Times New Roman" w:cs="Times New Roman"/>
          <w:lang w:val="es-AR"/>
        </w:rPr>
      </w:pPr>
      <w:r>
        <w:rPr>
          <w:rFonts w:ascii="Times New Roman" w:eastAsia="Calibri" w:hAnsi="Times New Roman" w:cs="Times New Roman"/>
          <w:lang w:val="es-AR"/>
        </w:rPr>
        <w:t xml:space="preserve">       </w:t>
      </w:r>
      <w:r w:rsidR="00C2620F" w:rsidRPr="00624CFA">
        <w:rPr>
          <w:rFonts w:ascii="Times New Roman" w:eastAsia="Calibri" w:hAnsi="Times New Roman" w:cs="Times New Roman"/>
          <w:lang w:val="es-AR"/>
        </w:rPr>
        <w:t>Deterioro y Agotamiento</w:t>
      </w:r>
      <w:r w:rsidR="006B3138">
        <w:rPr>
          <w:rFonts w:ascii="Times New Roman" w:eastAsia="Calibri" w:hAnsi="Times New Roman" w:cs="Times New Roman"/>
          <w:lang w:val="es-AR"/>
        </w:rPr>
        <w:t>, mediante</w:t>
      </w:r>
      <w:r w:rsidR="00C2620F" w:rsidRPr="00624CFA">
        <w:rPr>
          <w:rFonts w:ascii="Times New Roman" w:eastAsia="Calibri" w:hAnsi="Times New Roman" w:cs="Times New Roman"/>
          <w:lang w:val="es-AR"/>
        </w:rPr>
        <w:t xml:space="preserve"> </w:t>
      </w:r>
      <w:r w:rsidR="006B3138">
        <w:rPr>
          <w:rFonts w:ascii="Times New Roman" w:eastAsia="Calibri" w:hAnsi="Times New Roman" w:cs="Times New Roman"/>
          <w:lang w:val="es-AR"/>
        </w:rPr>
        <w:t>c</w:t>
      </w:r>
      <w:r w:rsidR="00C2620F" w:rsidRPr="00624CFA">
        <w:rPr>
          <w:rFonts w:ascii="Times New Roman" w:eastAsia="Calibri" w:hAnsi="Times New Roman" w:cs="Times New Roman"/>
          <w:lang w:val="es-AR"/>
        </w:rPr>
        <w:t>uentas analíticas que registran la pérdida de valor por desgaste mayor al normal u obsolescencia física.</w:t>
      </w:r>
    </w:p>
    <w:p w14:paraId="30D3F981" w14:textId="77777777"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Este marco contable permite que las plazas dejen de ser vistas solo como gastos de mantenimiento y comiencen a ser gestionadas como activos que producen beneficios continuos a la comunidad.</w:t>
      </w:r>
    </w:p>
    <w:p w14:paraId="4F178954" w14:textId="77777777" w:rsidR="00C2620F" w:rsidRPr="00624CFA" w:rsidRDefault="00C2620F" w:rsidP="00C2620F">
      <w:pPr>
        <w:shd w:val="clear" w:color="auto" w:fill="FFFFFF"/>
        <w:jc w:val="both"/>
        <w:rPr>
          <w:rFonts w:ascii="Times New Roman" w:eastAsia="Calibri" w:hAnsi="Times New Roman" w:cs="Times New Roman"/>
          <w:lang w:val="es-AR"/>
        </w:rPr>
      </w:pPr>
    </w:p>
    <w:p w14:paraId="54FC2F96" w14:textId="77777777" w:rsidR="00C2620F" w:rsidRPr="006B3138" w:rsidRDefault="00C2620F" w:rsidP="006B3138">
      <w:pPr>
        <w:shd w:val="clear" w:color="auto" w:fill="FFFFFF"/>
        <w:ind w:firstLine="709"/>
        <w:jc w:val="both"/>
        <w:rPr>
          <w:rFonts w:ascii="Times New Roman" w:eastAsia="Calibri" w:hAnsi="Times New Roman" w:cs="Times New Roman"/>
          <w:b/>
          <w:bCs/>
          <w:lang w:val="es-AR"/>
        </w:rPr>
      </w:pPr>
      <w:r w:rsidRPr="00624CFA">
        <w:rPr>
          <w:rFonts w:ascii="Times New Roman" w:eastAsia="Calibri" w:hAnsi="Times New Roman" w:cs="Times New Roman"/>
          <w:b/>
          <w:bCs/>
          <w:lang w:val="es-AR"/>
        </w:rPr>
        <w:t>4. Accesibilidad, equidad y gestión operativa</w:t>
      </w:r>
      <w:r w:rsidRPr="006B3138">
        <w:rPr>
          <w:rFonts w:ascii="Times New Roman" w:eastAsia="Calibri" w:hAnsi="Times New Roman" w:cs="Times New Roman"/>
          <w:b/>
          <w:bCs/>
          <w:lang w:val="es-AR"/>
        </w:rPr>
        <w:t xml:space="preserve"> </w:t>
      </w:r>
    </w:p>
    <w:p w14:paraId="69BA5FB0" w14:textId="77777777" w:rsidR="00C2620F" w:rsidRPr="00624CFA" w:rsidRDefault="00C2620F" w:rsidP="00365D93">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La accesibilidad en las plazas del Partido de La Matanza constituye un indicador directo de la equidad territorial y la calidad de vida de sus habitantes. En el marco de esta investigación, la accesibilidad se aborda desde una perspectiva multidimensional que trasciende la mera eliminación de barreras arquitectónicas para incorporar dimensiones simbólicas y sociales.</w:t>
      </w:r>
    </w:p>
    <w:p w14:paraId="2DF5C6BE" w14:textId="1BAD942F" w:rsidR="00C2620F" w:rsidRPr="00624CFA" w:rsidRDefault="00C2620F" w:rsidP="00B73D29">
      <w:pPr>
        <w:pStyle w:val="Prrafodelista"/>
        <w:numPr>
          <w:ilvl w:val="0"/>
          <w:numId w:val="22"/>
        </w:numPr>
        <w:shd w:val="clear" w:color="auto" w:fill="FFFFFF"/>
        <w:spacing w:after="0" w:line="240" w:lineRule="auto"/>
        <w:ind w:left="0" w:firstLine="0"/>
        <w:jc w:val="both"/>
        <w:rPr>
          <w:rFonts w:ascii="Times New Roman" w:eastAsia="Calibri" w:hAnsi="Times New Roman" w:cs="Times New Roman"/>
          <w:lang w:val="es-AR"/>
        </w:rPr>
      </w:pPr>
      <w:r w:rsidRPr="00B73D29">
        <w:rPr>
          <w:rFonts w:ascii="Times New Roman" w:eastAsia="Calibri" w:hAnsi="Times New Roman" w:cs="Times New Roman"/>
          <w:lang w:val="es-AR"/>
        </w:rPr>
        <w:t>Dimensión física y diseño universal</w:t>
      </w:r>
      <w:r w:rsidR="00747BBD">
        <w:rPr>
          <w:rFonts w:ascii="Times New Roman" w:eastAsia="Calibri" w:hAnsi="Times New Roman" w:cs="Times New Roman"/>
          <w:lang w:val="es-AR"/>
        </w:rPr>
        <w:t>: d</w:t>
      </w:r>
      <w:r w:rsidRPr="00B73D29">
        <w:rPr>
          <w:rFonts w:ascii="Times New Roman" w:eastAsia="Calibri" w:hAnsi="Times New Roman" w:cs="Times New Roman"/>
          <w:lang w:val="es-AR"/>
        </w:rPr>
        <w:t>esde</w:t>
      </w:r>
      <w:r w:rsidRPr="00624CFA">
        <w:rPr>
          <w:rFonts w:ascii="Times New Roman" w:eastAsia="Calibri" w:hAnsi="Times New Roman" w:cs="Times New Roman"/>
          <w:lang w:val="es-AR"/>
        </w:rPr>
        <w:t xml:space="preserve"> el punto de vista técnico, las intervenciones y reformas ejecutadas recientemente en el distrito se alinean con las normativas de diseño universal inclusivo y los compromisos internacionales de la Meta 11.7 de la Agenda 2030, que exige espacios públicos seguros, inclusivos y accesibles. En términos operativos, esto se traduce en la incorporación obligatoria de:</w:t>
      </w:r>
    </w:p>
    <w:p w14:paraId="48D63EC4" w14:textId="77777777" w:rsidR="00C2620F" w:rsidRPr="00624CFA" w:rsidRDefault="00C2620F" w:rsidP="00B73D29">
      <w:pPr>
        <w:numPr>
          <w:ilvl w:val="0"/>
          <w:numId w:val="20"/>
        </w:numPr>
        <w:shd w:val="clear" w:color="auto" w:fill="FFFFFF"/>
        <w:tabs>
          <w:tab w:val="clear" w:pos="720"/>
          <w:tab w:val="num" w:pos="284"/>
        </w:tabs>
        <w:spacing w:after="0" w:line="240" w:lineRule="auto"/>
        <w:ind w:left="284" w:hanging="284"/>
        <w:jc w:val="both"/>
        <w:rPr>
          <w:rFonts w:ascii="Times New Roman" w:eastAsia="Calibri" w:hAnsi="Times New Roman" w:cs="Times New Roman"/>
          <w:lang w:val="es-AR"/>
        </w:rPr>
      </w:pPr>
      <w:r w:rsidRPr="00624CFA">
        <w:rPr>
          <w:rFonts w:ascii="Times New Roman" w:eastAsia="Calibri" w:hAnsi="Times New Roman" w:cs="Times New Roman"/>
          <w:lang w:val="es-AR"/>
        </w:rPr>
        <w:t>Infraestructura de movilidad: Construcción de rampas reglamentarias en todas las esquinas y senderos perimetrales adaptados.</w:t>
      </w:r>
    </w:p>
    <w:p w14:paraId="5E32B394" w14:textId="77777777" w:rsidR="00C2620F" w:rsidRPr="00624CFA" w:rsidRDefault="00C2620F" w:rsidP="00B73D29">
      <w:pPr>
        <w:numPr>
          <w:ilvl w:val="0"/>
          <w:numId w:val="20"/>
        </w:numPr>
        <w:shd w:val="clear" w:color="auto" w:fill="FFFFFF"/>
        <w:tabs>
          <w:tab w:val="clear" w:pos="720"/>
          <w:tab w:val="num" w:pos="284"/>
        </w:tabs>
        <w:spacing w:after="0" w:line="240" w:lineRule="auto"/>
        <w:ind w:left="284" w:hanging="284"/>
        <w:jc w:val="both"/>
        <w:rPr>
          <w:rFonts w:ascii="Times New Roman" w:eastAsia="Calibri" w:hAnsi="Times New Roman" w:cs="Times New Roman"/>
          <w:lang w:val="es-AR"/>
        </w:rPr>
      </w:pPr>
      <w:r w:rsidRPr="00624CFA">
        <w:rPr>
          <w:rFonts w:ascii="Times New Roman" w:eastAsia="Calibri" w:hAnsi="Times New Roman" w:cs="Times New Roman"/>
          <w:lang w:val="es-AR"/>
        </w:rPr>
        <w:t>Señalética inclusiva: Implementación de sendas podotáctiles destinadas a facilitar la orientación de personas con discapacidad visual.</w:t>
      </w:r>
    </w:p>
    <w:p w14:paraId="1AD7623E" w14:textId="3311F254" w:rsidR="00C2620F" w:rsidRPr="00B73D29" w:rsidRDefault="00C2620F" w:rsidP="00B73D29">
      <w:pPr>
        <w:numPr>
          <w:ilvl w:val="0"/>
          <w:numId w:val="20"/>
        </w:numPr>
        <w:shd w:val="clear" w:color="auto" w:fill="FFFFFF"/>
        <w:tabs>
          <w:tab w:val="clear" w:pos="720"/>
          <w:tab w:val="num" w:pos="284"/>
        </w:tabs>
        <w:spacing w:after="0" w:line="240" w:lineRule="auto"/>
        <w:ind w:left="284" w:hanging="284"/>
        <w:jc w:val="both"/>
        <w:rPr>
          <w:rFonts w:ascii="Times New Roman" w:eastAsia="Calibri" w:hAnsi="Times New Roman" w:cs="Times New Roman"/>
          <w:lang w:val="es-AR"/>
        </w:rPr>
      </w:pPr>
      <w:r w:rsidRPr="00624CFA">
        <w:rPr>
          <w:rFonts w:ascii="Times New Roman" w:eastAsia="Calibri" w:hAnsi="Times New Roman" w:cs="Times New Roman"/>
          <w:lang w:val="es-AR"/>
        </w:rPr>
        <w:t>Equipamiento integrador: La exigencia de que los patios de juegos cuenten con un porcentaje de juegos integradores que permitan el disfrute de niños con diversas capacidades.</w:t>
      </w:r>
    </w:p>
    <w:p w14:paraId="6B5EFC38" w14:textId="7C5AE7A8"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516EB6">
        <w:rPr>
          <w:rFonts w:ascii="Times New Roman" w:eastAsia="Calibri" w:hAnsi="Times New Roman" w:cs="Times New Roman"/>
          <w:lang w:val="es-AR"/>
        </w:rPr>
        <w:t>Esta adecuación física responde también a la adhesión municipal a la Ley Provincial 1</w:t>
      </w:r>
      <w:r w:rsidR="00516EB6" w:rsidRPr="00516EB6">
        <w:rPr>
          <w:rFonts w:ascii="Times New Roman" w:eastAsia="Calibri" w:hAnsi="Times New Roman" w:cs="Times New Roman"/>
          <w:lang w:val="es-AR"/>
        </w:rPr>
        <w:t>4968</w:t>
      </w:r>
      <w:r w:rsidRPr="00516EB6">
        <w:rPr>
          <w:rFonts w:ascii="Times New Roman" w:eastAsia="Calibri" w:hAnsi="Times New Roman" w:cs="Times New Roman"/>
          <w:lang w:val="es-AR"/>
        </w:rPr>
        <w:t>, que establece el Régimen Jurídico Básico e Integral para las Personas con Discapacidad.</w:t>
      </w:r>
    </w:p>
    <w:p w14:paraId="0F50C8C4" w14:textId="17A35D4F" w:rsidR="00C2620F" w:rsidRDefault="00C2620F" w:rsidP="00C2620F">
      <w:pPr>
        <w:pStyle w:val="Prrafodelista"/>
        <w:numPr>
          <w:ilvl w:val="0"/>
          <w:numId w:val="22"/>
        </w:numPr>
        <w:shd w:val="clear" w:color="auto" w:fill="FFFFFF"/>
        <w:spacing w:after="0" w:line="240" w:lineRule="auto"/>
        <w:ind w:left="0" w:firstLine="0"/>
        <w:jc w:val="both"/>
        <w:rPr>
          <w:rFonts w:ascii="Times New Roman" w:eastAsia="Calibri" w:hAnsi="Times New Roman" w:cs="Times New Roman"/>
          <w:lang w:val="es-AR"/>
        </w:rPr>
      </w:pPr>
      <w:r w:rsidRPr="00B73D29">
        <w:rPr>
          <w:rFonts w:ascii="Times New Roman" w:eastAsia="Calibri" w:hAnsi="Times New Roman" w:cs="Times New Roman"/>
          <w:lang w:val="es-AR"/>
        </w:rPr>
        <w:t>Accesibilidad simbólica y apropiación ciudadana</w:t>
      </w:r>
      <w:r w:rsidR="00B73D29">
        <w:rPr>
          <w:rFonts w:ascii="Times New Roman" w:eastAsia="Calibri" w:hAnsi="Times New Roman" w:cs="Times New Roman"/>
          <w:lang w:val="es-AR"/>
        </w:rPr>
        <w:t>: m</w:t>
      </w:r>
      <w:r w:rsidRPr="00B73D29">
        <w:rPr>
          <w:rFonts w:ascii="Times New Roman" w:eastAsia="Calibri" w:hAnsi="Times New Roman" w:cs="Times New Roman"/>
          <w:lang w:val="es-AR"/>
        </w:rPr>
        <w:t xml:space="preserve">ás </w:t>
      </w:r>
      <w:r w:rsidRPr="00624CFA">
        <w:rPr>
          <w:rFonts w:ascii="Times New Roman" w:eastAsia="Calibri" w:hAnsi="Times New Roman" w:cs="Times New Roman"/>
          <w:lang w:val="es-AR"/>
        </w:rPr>
        <w:t>allá de lo material, la investigación destaca la importancia de la accesibilidad simbólica, entendida como la capacidad de los vecinos de apropiarse plenamente del espacio y desarrollar un sentido de pertenencia. Una plaza accesible es aquella donde la comunidad no solo puede ingresar físicamente, sino donde también puede participar activamente en la vida social, cultural y en los rituales de memoria colectiva que el espacio propone.</w:t>
      </w:r>
    </w:p>
    <w:p w14:paraId="59ED223E" w14:textId="77777777" w:rsidR="00B73D29" w:rsidRPr="00B73D29" w:rsidRDefault="00B73D29" w:rsidP="00B73D29">
      <w:pPr>
        <w:pStyle w:val="Prrafodelista"/>
        <w:shd w:val="clear" w:color="auto" w:fill="FFFFFF"/>
        <w:spacing w:after="0" w:line="240" w:lineRule="auto"/>
        <w:ind w:left="0"/>
        <w:jc w:val="both"/>
        <w:rPr>
          <w:rFonts w:ascii="Times New Roman" w:eastAsia="Calibri" w:hAnsi="Times New Roman" w:cs="Times New Roman"/>
          <w:lang w:val="es-AR"/>
        </w:rPr>
      </w:pPr>
    </w:p>
    <w:p w14:paraId="2932C4F2" w14:textId="713F5066" w:rsidR="00C2620F" w:rsidRPr="00624CFA" w:rsidRDefault="00C2620F" w:rsidP="00B73D29">
      <w:pPr>
        <w:pStyle w:val="Prrafodelista"/>
        <w:numPr>
          <w:ilvl w:val="0"/>
          <w:numId w:val="23"/>
        </w:numPr>
        <w:shd w:val="clear" w:color="auto" w:fill="FFFFFF"/>
        <w:spacing w:after="0" w:line="240" w:lineRule="auto"/>
        <w:ind w:left="0" w:firstLine="0"/>
        <w:jc w:val="both"/>
        <w:rPr>
          <w:rFonts w:ascii="Times New Roman" w:eastAsia="Calibri" w:hAnsi="Times New Roman" w:cs="Times New Roman"/>
          <w:lang w:val="es-AR"/>
        </w:rPr>
      </w:pPr>
      <w:r w:rsidRPr="00B73D29">
        <w:rPr>
          <w:rFonts w:ascii="Times New Roman" w:eastAsia="Calibri" w:hAnsi="Times New Roman" w:cs="Times New Roman"/>
          <w:lang w:val="es-AR"/>
        </w:rPr>
        <w:t>Gestión operativa y brechas de equidad</w:t>
      </w:r>
      <w:r w:rsidR="00B73D29">
        <w:rPr>
          <w:rFonts w:ascii="Times New Roman" w:eastAsia="Calibri" w:hAnsi="Times New Roman" w:cs="Times New Roman"/>
          <w:lang w:val="es-AR"/>
        </w:rPr>
        <w:t>: e</w:t>
      </w:r>
      <w:r w:rsidRPr="00B73D29">
        <w:rPr>
          <w:rFonts w:ascii="Times New Roman" w:eastAsia="Calibri" w:hAnsi="Times New Roman" w:cs="Times New Roman"/>
          <w:lang w:val="es-AR"/>
        </w:rPr>
        <w:t>l estado de conservación de la infraestructura es crítico para garantizar estos derechos. El programa municipal "Guardianes de Plazas" desempeña un rol fundamental al fiscalizar</w:t>
      </w:r>
      <w:r w:rsidRPr="00624CFA">
        <w:rPr>
          <w:rFonts w:ascii="Times New Roman" w:eastAsia="Calibri" w:hAnsi="Times New Roman" w:cs="Times New Roman"/>
          <w:lang w:val="es-AR"/>
        </w:rPr>
        <w:t xml:space="preserve"> diariamente el mobiliario urbano y la seguridad, evitando la depreciación del capital público y asegurando que los senderos y juegos permanezcan aptos para su uso.</w:t>
      </w:r>
    </w:p>
    <w:p w14:paraId="1BBA452B" w14:textId="77777777" w:rsidR="00C2620F" w:rsidRPr="00624CFA" w:rsidRDefault="00C2620F"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No obstante, se identifican brechas significativas en la distribución y el equipamiento de las plazas a lo largo de las dieciséis localidades del partido. La falta de mantenimiento o la inseguridad percibida en ciertos sectores actúan como barreras que restringen la apropiación comunitaria y afectan la cohesión social. Por ello, el proyecto propone el uso del Balance Social como herramienta para cuantificar el impacto de la gestión, permitiendo priorizar inversiones que reduzcan estas inequidades y fortalezcan el capital social en todo el territorio</w:t>
      </w:r>
    </w:p>
    <w:p w14:paraId="579E90B1" w14:textId="77777777" w:rsidR="00624CFA" w:rsidRPr="00624CFA" w:rsidRDefault="00624CFA" w:rsidP="00624CFA">
      <w:pPr>
        <w:shd w:val="clear" w:color="auto" w:fill="FFFFFF"/>
        <w:jc w:val="both"/>
        <w:rPr>
          <w:rFonts w:ascii="Times New Roman" w:eastAsia="Calibri" w:hAnsi="Times New Roman" w:cs="Times New Roman"/>
          <w:lang w:val="es-AR"/>
        </w:rPr>
      </w:pPr>
    </w:p>
    <w:p w14:paraId="7921A8F2" w14:textId="77777777" w:rsidR="00624CFA" w:rsidRPr="00B73D29" w:rsidRDefault="00624CFA" w:rsidP="00B73D29">
      <w:pPr>
        <w:pStyle w:val="Prrafodelista"/>
        <w:numPr>
          <w:ilvl w:val="0"/>
          <w:numId w:val="15"/>
        </w:numPr>
        <w:shd w:val="clear" w:color="auto" w:fill="FFFFFF"/>
        <w:spacing w:after="0" w:line="240" w:lineRule="auto"/>
        <w:rPr>
          <w:rFonts w:ascii="Times New Roman" w:hAnsi="Times New Roman" w:cs="Times New Roman"/>
          <w:b/>
          <w:bCs/>
          <w:color w:val="000000"/>
          <w:lang w:val="es-AR" w:eastAsia="es-AR"/>
          <w14:ligatures w14:val="none"/>
        </w:rPr>
      </w:pPr>
      <w:r w:rsidRPr="00624CFA">
        <w:rPr>
          <w:rFonts w:ascii="Times New Roman" w:eastAsia="Calibri" w:hAnsi="Times New Roman" w:cs="Times New Roman"/>
          <w:b/>
          <w:bCs/>
        </w:rPr>
        <w:t>La Plaza como "Lugar de Memoria"</w:t>
      </w:r>
    </w:p>
    <w:p w14:paraId="14C6B7CA" w14:textId="77777777" w:rsidR="00624CFA" w:rsidRPr="00624CFA" w:rsidRDefault="00624CFA"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 xml:space="preserve">Los monumentos vinculados a la Guerra de Malvinas desempeñan un papel fundamental en la configuración de las plazas del Partido de La Matanza, actuando como escenarios de memoria colectiva que trascienden la mera función ornamental. </w:t>
      </w:r>
    </w:p>
    <w:p w14:paraId="26857895" w14:textId="77777777" w:rsidR="00624CFA" w:rsidRPr="00624CFA" w:rsidRDefault="00624CFA" w:rsidP="00B73D29">
      <w:pPr>
        <w:shd w:val="clear" w:color="auto" w:fill="FFFFFF"/>
        <w:spacing w:line="240" w:lineRule="auto"/>
        <w:jc w:val="both"/>
        <w:rPr>
          <w:rFonts w:ascii="Times New Roman" w:eastAsia="Calibri" w:hAnsi="Times New Roman" w:cs="Times New Roman"/>
          <w:lang w:val="es-AR"/>
        </w:rPr>
      </w:pPr>
      <w:r w:rsidRPr="00624CFA">
        <w:rPr>
          <w:rFonts w:ascii="Times New Roman" w:eastAsia="Calibri" w:hAnsi="Times New Roman" w:cs="Times New Roman"/>
          <w:lang w:val="es-AR"/>
        </w:rPr>
        <w:t xml:space="preserve">Estos monumentos no solo rememoran acontecimientos históricos para homenajear y reconocer a sus protagonistas, sino que consolidan la función social del espacio público como lugar de encuentro y transmisión de valores. También construyen identidad territorial al albergar estos hitos y rituales conmemorativos, las plazas se convierten en "lugares de memoria" (siguiendo el concepto de Pierre Nora), donde se materializan relatos colectivos que refuerzan la identidad barrial y el sentido de pertenencia de los vecinos y por último, se consideran elementos centrales del patrimonio cotidiano, donde las dimensiones materiales (el monumento en sí) se entrelazan con las inmateriales (la memoria y los sentimientos de la comunidad). </w:t>
      </w:r>
      <w:r w:rsidRPr="00624CFA">
        <w:rPr>
          <w:rFonts w:ascii="Times New Roman" w:eastAsia="Calibri" w:hAnsi="Times New Roman" w:cs="Times New Roman"/>
        </w:rPr>
        <w:t>Más allá del monumento físico, el rol de la plaza como escenario de memoria se nutre de los relatos y testimonios orales de los vecinos y asociaciones barriales. Esta "memoria comunitaria" permite documentar la dimensión inmaterial del patrimonio cotidiano, capturando usos y significados que no figuran en los archivos oficiales. En el marco del proyecto, los investigadores del Instituto Histórico tienen la misión de recolectar estas voces para complementar la reconstrucción de la evolución de cada plaza, identificando no solo hitos fundacionales, sino también los eventos significativos que marcaron la identidad local.</w:t>
      </w:r>
    </w:p>
    <w:p w14:paraId="7B9DFFB7" w14:textId="77777777" w:rsidR="00624CFA" w:rsidRPr="00624CFA" w:rsidRDefault="00624CFA" w:rsidP="00624CFA">
      <w:pPr>
        <w:shd w:val="clear" w:color="auto" w:fill="FFFFFF"/>
        <w:jc w:val="both"/>
        <w:rPr>
          <w:rFonts w:ascii="Times New Roman" w:eastAsia="Calibri" w:hAnsi="Times New Roman" w:cs="Times New Roman"/>
          <w:lang w:val="es-AR"/>
        </w:rPr>
      </w:pPr>
    </w:p>
    <w:p w14:paraId="737F08F5" w14:textId="50B9F6A4" w:rsidR="00AF269A" w:rsidRPr="00B73D29" w:rsidRDefault="00AF269A" w:rsidP="00B73D29">
      <w:pPr>
        <w:spacing w:line="240" w:lineRule="auto"/>
        <w:jc w:val="both"/>
        <w:rPr>
          <w:rFonts w:ascii="Times New Roman" w:hAnsi="Times New Roman" w:cs="Times New Roman"/>
          <w:lang w:val="es-AR"/>
        </w:rPr>
      </w:pPr>
      <w:r w:rsidRPr="00B73D29">
        <w:rPr>
          <w:rFonts w:ascii="Times New Roman" w:hAnsi="Times New Roman" w:cs="Times New Roman"/>
          <w:b/>
          <w:bCs/>
          <w:lang w:val="es-AR"/>
        </w:rPr>
        <w:t xml:space="preserve">Metodología </w:t>
      </w:r>
      <w:r w:rsidR="00AB63ED">
        <w:rPr>
          <w:rFonts w:ascii="Times New Roman" w:hAnsi="Times New Roman" w:cs="Times New Roman"/>
          <w:b/>
          <w:bCs/>
          <w:lang w:val="es-AR"/>
        </w:rPr>
        <w:t>a</w:t>
      </w:r>
      <w:r w:rsidRPr="00B73D29">
        <w:rPr>
          <w:rFonts w:ascii="Times New Roman" w:hAnsi="Times New Roman" w:cs="Times New Roman"/>
          <w:b/>
          <w:bCs/>
          <w:lang w:val="es-AR"/>
        </w:rPr>
        <w:t>doptada</w:t>
      </w:r>
    </w:p>
    <w:p w14:paraId="079AF739" w14:textId="77777777" w:rsidR="00AB63ED" w:rsidRDefault="00A117AB" w:rsidP="00B73D29">
      <w:pPr>
        <w:shd w:val="clear" w:color="auto" w:fill="FFFFFF"/>
        <w:spacing w:line="240" w:lineRule="auto"/>
        <w:jc w:val="both"/>
        <w:rPr>
          <w:rFonts w:ascii="Times New Roman" w:eastAsia="Calibri" w:hAnsi="Times New Roman" w:cs="Times New Roman"/>
        </w:rPr>
      </w:pPr>
      <w:r w:rsidRPr="00B73D29">
        <w:rPr>
          <w:rFonts w:ascii="Times New Roman" w:eastAsia="Calibri" w:hAnsi="Times New Roman" w:cs="Times New Roman"/>
        </w:rPr>
        <w:t>La investigación se enmarca en un diseño exploratorio con enfoque</w:t>
      </w:r>
      <w:r w:rsidR="006B3138">
        <w:rPr>
          <w:rFonts w:ascii="Times New Roman" w:eastAsia="Calibri" w:hAnsi="Times New Roman" w:cs="Times New Roman"/>
        </w:rPr>
        <w:t xml:space="preserve"> q</w:t>
      </w:r>
      <w:r w:rsidRPr="00B73D29">
        <w:rPr>
          <w:rFonts w:ascii="Times New Roman" w:eastAsia="Calibri" w:hAnsi="Times New Roman" w:cs="Times New Roman"/>
        </w:rPr>
        <w:t>ue integra métodos cualitativos y cuantitativos para lograr un análisis exhaustivo de los espacios públicos y sus bienes culturales. El uso combinado de métodos posibilita una triangulación robusta de datos, incrementando la validez y profundidad del estudio</w:t>
      </w:r>
      <w:r w:rsidR="00AB63ED">
        <w:rPr>
          <w:rFonts w:ascii="Times New Roman" w:eastAsia="Calibri" w:hAnsi="Times New Roman" w:cs="Times New Roman"/>
        </w:rPr>
        <w:t>.</w:t>
      </w:r>
    </w:p>
    <w:p w14:paraId="414794CE" w14:textId="71D17F01" w:rsidR="00A117AB" w:rsidRPr="00B73D29" w:rsidRDefault="00A117AB" w:rsidP="00B73D29">
      <w:pPr>
        <w:shd w:val="clear" w:color="auto" w:fill="FFFFFF"/>
        <w:spacing w:line="240" w:lineRule="auto"/>
        <w:jc w:val="both"/>
        <w:rPr>
          <w:rFonts w:ascii="Times New Roman" w:eastAsia="Calibri" w:hAnsi="Times New Roman" w:cs="Times New Roman"/>
        </w:rPr>
      </w:pPr>
      <w:r w:rsidRPr="00B73D29">
        <w:rPr>
          <w:rFonts w:ascii="Times New Roman" w:eastAsia="Calibri" w:hAnsi="Times New Roman" w:cs="Times New Roman"/>
        </w:rPr>
        <w:t xml:space="preserve">Dentro del universo, </w:t>
      </w:r>
      <w:r w:rsidR="00AB63ED">
        <w:rPr>
          <w:rFonts w:ascii="Times New Roman" w:eastAsia="Calibri" w:hAnsi="Times New Roman" w:cs="Times New Roman"/>
        </w:rPr>
        <w:t xml:space="preserve">con </w:t>
      </w:r>
      <w:r w:rsidRPr="00B73D29">
        <w:rPr>
          <w:rFonts w:ascii="Times New Roman" w:eastAsia="Calibri" w:hAnsi="Times New Roman" w:cs="Times New Roman"/>
        </w:rPr>
        <w:t xml:space="preserve">más de sesenta espacios verdes, se </w:t>
      </w:r>
      <w:r w:rsidR="00AB63ED">
        <w:rPr>
          <w:rFonts w:ascii="Times New Roman" w:eastAsia="Calibri" w:hAnsi="Times New Roman" w:cs="Times New Roman"/>
        </w:rPr>
        <w:t>defini</w:t>
      </w:r>
      <w:r w:rsidRPr="00B73D29">
        <w:rPr>
          <w:rFonts w:ascii="Times New Roman" w:eastAsia="Calibri" w:hAnsi="Times New Roman" w:cs="Times New Roman"/>
        </w:rPr>
        <w:t xml:space="preserve">ó </w:t>
      </w:r>
      <w:r w:rsidR="00304C52">
        <w:rPr>
          <w:rFonts w:ascii="Times New Roman" w:eastAsia="Calibri" w:hAnsi="Times New Roman" w:cs="Times New Roman"/>
        </w:rPr>
        <w:t xml:space="preserve">focalizar el trabajo sobre </w:t>
      </w:r>
      <w:r w:rsidRPr="00B73D29">
        <w:rPr>
          <w:rFonts w:ascii="Times New Roman" w:eastAsia="Calibri" w:hAnsi="Times New Roman" w:cs="Times New Roman"/>
        </w:rPr>
        <w:t>una plaza por cada localidad, tomando como referencia el espacio fundacional de la misma (Agostino, 2011). Se seleccionaron dieciséis plazas representativas</w:t>
      </w:r>
      <w:r w:rsidR="00304C52">
        <w:rPr>
          <w:rFonts w:ascii="Times New Roman" w:eastAsia="Calibri" w:hAnsi="Times New Roman" w:cs="Times New Roman"/>
        </w:rPr>
        <w:t xml:space="preserve"> en las dieciséis</w:t>
      </w:r>
      <w:r w:rsidRPr="00B73D29">
        <w:rPr>
          <w:rFonts w:ascii="Times New Roman" w:eastAsia="Calibri" w:hAnsi="Times New Roman" w:cs="Times New Roman"/>
        </w:rPr>
        <w:t xml:space="preserve"> localidad</w:t>
      </w:r>
      <w:r w:rsidR="00304C52">
        <w:rPr>
          <w:rFonts w:ascii="Times New Roman" w:eastAsia="Calibri" w:hAnsi="Times New Roman" w:cs="Times New Roman"/>
        </w:rPr>
        <w:t>es del distrito</w:t>
      </w:r>
      <w:r w:rsidRPr="00B73D29">
        <w:rPr>
          <w:rFonts w:ascii="Times New Roman" w:eastAsia="Calibri" w:hAnsi="Times New Roman" w:cs="Times New Roman"/>
        </w:rPr>
        <w:t xml:space="preserve">, buscando </w:t>
      </w:r>
      <w:r w:rsidR="00AB63ED">
        <w:rPr>
          <w:rFonts w:ascii="Times New Roman" w:eastAsia="Calibri" w:hAnsi="Times New Roman" w:cs="Times New Roman"/>
        </w:rPr>
        <w:t>refleja</w:t>
      </w:r>
      <w:r w:rsidRPr="00B73D29">
        <w:rPr>
          <w:rFonts w:ascii="Times New Roman" w:eastAsia="Calibri" w:hAnsi="Times New Roman" w:cs="Times New Roman"/>
        </w:rPr>
        <w:t>r la diversidad territorial y social, lo que posibilita análisis comparativos y generalizaciones condicionadas</w:t>
      </w:r>
      <w:r w:rsidR="00304C52">
        <w:rPr>
          <w:rFonts w:ascii="Times New Roman" w:eastAsia="Calibri" w:hAnsi="Times New Roman" w:cs="Times New Roman"/>
        </w:rPr>
        <w:t>.</w:t>
      </w:r>
    </w:p>
    <w:p w14:paraId="72248C42" w14:textId="77777777" w:rsidR="00A117AB" w:rsidRPr="00B73D29" w:rsidRDefault="00A117AB" w:rsidP="00B73D29">
      <w:pPr>
        <w:shd w:val="clear" w:color="auto" w:fill="FFFFFF"/>
        <w:spacing w:line="240" w:lineRule="auto"/>
        <w:jc w:val="both"/>
        <w:rPr>
          <w:rFonts w:ascii="Times New Roman" w:eastAsia="Calibri" w:hAnsi="Times New Roman" w:cs="Times New Roman"/>
        </w:rPr>
      </w:pPr>
    </w:p>
    <w:p w14:paraId="7F25AF9E" w14:textId="77777777" w:rsidR="00A117AB" w:rsidRPr="00B73D29" w:rsidRDefault="00A117AB" w:rsidP="00B73D29">
      <w:pPr>
        <w:spacing w:line="240" w:lineRule="auto"/>
        <w:jc w:val="both"/>
        <w:rPr>
          <w:rFonts w:ascii="Times New Roman" w:eastAsia="Arial" w:hAnsi="Times New Roman" w:cs="Times New Roman"/>
        </w:rPr>
      </w:pPr>
      <w:r w:rsidRPr="00B73D29">
        <w:rPr>
          <w:rFonts w:ascii="Times New Roman" w:eastAsia="Arial" w:hAnsi="Times New Roman" w:cs="Times New Roman"/>
        </w:rPr>
        <w:t>Tabla 1</w:t>
      </w:r>
    </w:p>
    <w:p w14:paraId="63CF331D" w14:textId="77777777" w:rsidR="00A117AB" w:rsidRPr="00B73D29" w:rsidRDefault="00A117AB" w:rsidP="00B73D29">
      <w:pPr>
        <w:spacing w:line="240" w:lineRule="auto"/>
        <w:jc w:val="both"/>
        <w:rPr>
          <w:rFonts w:ascii="Times New Roman" w:eastAsia="Arial" w:hAnsi="Times New Roman" w:cs="Times New Roman"/>
          <w:i/>
          <w:iCs/>
        </w:rPr>
      </w:pPr>
      <w:r w:rsidRPr="00B73D29">
        <w:rPr>
          <w:rFonts w:ascii="Times New Roman" w:eastAsia="Arial" w:hAnsi="Times New Roman" w:cs="Times New Roman"/>
          <w:i/>
          <w:iCs/>
        </w:rPr>
        <w:t>Muestra seleccionada</w:t>
      </w:r>
      <w:r w:rsidRPr="00B73D29">
        <w:rPr>
          <w:rFonts w:ascii="Times New Roman" w:eastAsia="Arial" w:hAnsi="Times New Roman" w:cs="Times New Roman"/>
          <w:b/>
          <w:bCs/>
          <w:i/>
          <w:iCs/>
        </w:rPr>
        <w:t xml:space="preserve"> zonificación</w:t>
      </w:r>
    </w:p>
    <w:p w14:paraId="1EE8BCF9" w14:textId="77777777" w:rsidR="00A117AB" w:rsidRPr="00B73D29" w:rsidRDefault="00A117AB" w:rsidP="00B73D29">
      <w:pPr>
        <w:shd w:val="clear" w:color="auto" w:fill="FFFFFF"/>
        <w:spacing w:line="240" w:lineRule="auto"/>
        <w:jc w:val="both"/>
        <w:rPr>
          <w:rFonts w:ascii="Times New Roman" w:eastAsia="Calibri" w:hAnsi="Times New Roman" w:cs="Times New Roman"/>
        </w:rPr>
      </w:pPr>
    </w:p>
    <w:tbl>
      <w:tblPr>
        <w:tblStyle w:val="Tablaconcuadrcula"/>
        <w:tblW w:w="0" w:type="auto"/>
        <w:tblLayout w:type="fixed"/>
        <w:tblLook w:val="06A0" w:firstRow="1" w:lastRow="0" w:firstColumn="1" w:lastColumn="0" w:noHBand="1" w:noVBand="1"/>
      </w:tblPr>
      <w:tblGrid>
        <w:gridCol w:w="780"/>
        <w:gridCol w:w="2385"/>
        <w:gridCol w:w="3270"/>
        <w:gridCol w:w="2580"/>
      </w:tblGrid>
      <w:tr w:rsidR="00A117AB" w:rsidRPr="00B73D29" w14:paraId="555E9E63" w14:textId="77777777" w:rsidTr="001F15A0">
        <w:trPr>
          <w:trHeight w:val="300"/>
        </w:trPr>
        <w:tc>
          <w:tcPr>
            <w:tcW w:w="780" w:type="dxa"/>
          </w:tcPr>
          <w:p w14:paraId="61A66356" w14:textId="77777777" w:rsidR="00A117AB" w:rsidRPr="00B73D29" w:rsidRDefault="00A117AB" w:rsidP="00B73D29">
            <w:pPr>
              <w:rPr>
                <w:rFonts w:eastAsia="Arial"/>
                <w:sz w:val="24"/>
                <w:szCs w:val="24"/>
              </w:rPr>
            </w:pPr>
            <w:r w:rsidRPr="00B73D29">
              <w:rPr>
                <w:rFonts w:eastAsia="Arial"/>
                <w:sz w:val="24"/>
                <w:szCs w:val="24"/>
              </w:rPr>
              <w:t>N°</w:t>
            </w:r>
          </w:p>
        </w:tc>
        <w:tc>
          <w:tcPr>
            <w:tcW w:w="2385" w:type="dxa"/>
          </w:tcPr>
          <w:p w14:paraId="473DD400" w14:textId="77777777" w:rsidR="00A117AB" w:rsidRPr="00B73D29" w:rsidRDefault="00A117AB" w:rsidP="00B73D29">
            <w:pPr>
              <w:rPr>
                <w:rFonts w:eastAsia="Arial"/>
                <w:sz w:val="24"/>
                <w:szCs w:val="24"/>
              </w:rPr>
            </w:pPr>
            <w:r w:rsidRPr="00B73D29">
              <w:rPr>
                <w:rFonts w:eastAsia="Arial"/>
                <w:sz w:val="24"/>
                <w:szCs w:val="24"/>
              </w:rPr>
              <w:t>Localidad</w:t>
            </w:r>
          </w:p>
        </w:tc>
        <w:tc>
          <w:tcPr>
            <w:tcW w:w="3270" w:type="dxa"/>
          </w:tcPr>
          <w:p w14:paraId="29FAE436" w14:textId="77777777" w:rsidR="00A117AB" w:rsidRPr="00B73D29" w:rsidRDefault="00A117AB" w:rsidP="00B73D29">
            <w:pPr>
              <w:rPr>
                <w:rFonts w:eastAsia="Arial"/>
                <w:sz w:val="24"/>
                <w:szCs w:val="24"/>
              </w:rPr>
            </w:pPr>
            <w:r w:rsidRPr="00B73D29">
              <w:rPr>
                <w:rFonts w:eastAsia="Arial"/>
                <w:sz w:val="24"/>
                <w:szCs w:val="24"/>
              </w:rPr>
              <w:t>Nombre de la plaza</w:t>
            </w:r>
          </w:p>
        </w:tc>
        <w:tc>
          <w:tcPr>
            <w:tcW w:w="2580" w:type="dxa"/>
          </w:tcPr>
          <w:p w14:paraId="1911A7CA" w14:textId="77777777" w:rsidR="00A117AB" w:rsidRPr="00B73D29" w:rsidRDefault="00A117AB" w:rsidP="00B73D29">
            <w:pPr>
              <w:rPr>
                <w:rFonts w:eastAsia="Arial"/>
                <w:sz w:val="24"/>
                <w:szCs w:val="24"/>
              </w:rPr>
            </w:pPr>
            <w:r w:rsidRPr="00B73D29">
              <w:rPr>
                <w:rFonts w:eastAsia="Arial"/>
                <w:sz w:val="24"/>
                <w:szCs w:val="24"/>
              </w:rPr>
              <w:t>Calles circundantes</w:t>
            </w:r>
          </w:p>
        </w:tc>
      </w:tr>
      <w:tr w:rsidR="00A117AB" w:rsidRPr="00B73D29" w14:paraId="7CAE2381" w14:textId="77777777" w:rsidTr="001F15A0">
        <w:trPr>
          <w:trHeight w:val="315"/>
        </w:trPr>
        <w:tc>
          <w:tcPr>
            <w:tcW w:w="780" w:type="dxa"/>
          </w:tcPr>
          <w:p w14:paraId="29EF2A09" w14:textId="77777777" w:rsidR="00A117AB" w:rsidRPr="00B73D29" w:rsidRDefault="00A117AB" w:rsidP="00B73D29">
            <w:pPr>
              <w:rPr>
                <w:rFonts w:eastAsia="Arial"/>
                <w:sz w:val="24"/>
                <w:szCs w:val="24"/>
              </w:rPr>
            </w:pPr>
            <w:r w:rsidRPr="00B73D29">
              <w:rPr>
                <w:rFonts w:eastAsia="Arial"/>
                <w:sz w:val="24"/>
                <w:szCs w:val="24"/>
              </w:rPr>
              <w:t>1</w:t>
            </w:r>
          </w:p>
        </w:tc>
        <w:tc>
          <w:tcPr>
            <w:tcW w:w="2385" w:type="dxa"/>
          </w:tcPr>
          <w:p w14:paraId="572C6E97" w14:textId="77777777" w:rsidR="00A117AB" w:rsidRPr="00B73D29" w:rsidRDefault="00A117AB" w:rsidP="00B73D29">
            <w:pPr>
              <w:rPr>
                <w:rFonts w:eastAsia="Arial"/>
                <w:sz w:val="24"/>
                <w:szCs w:val="24"/>
              </w:rPr>
            </w:pPr>
            <w:r w:rsidRPr="00B73D29">
              <w:rPr>
                <w:rFonts w:eastAsia="Arial"/>
                <w:sz w:val="24"/>
                <w:szCs w:val="24"/>
              </w:rPr>
              <w:t>San Justo</w:t>
            </w:r>
          </w:p>
        </w:tc>
        <w:tc>
          <w:tcPr>
            <w:tcW w:w="3270" w:type="dxa"/>
          </w:tcPr>
          <w:p w14:paraId="5E9B7018" w14:textId="77777777" w:rsidR="00A117AB" w:rsidRPr="00B73D29" w:rsidRDefault="00A117AB" w:rsidP="00B73D29">
            <w:pPr>
              <w:rPr>
                <w:rFonts w:eastAsia="Arial"/>
                <w:sz w:val="24"/>
                <w:szCs w:val="24"/>
              </w:rPr>
            </w:pPr>
            <w:r w:rsidRPr="00B73D29">
              <w:rPr>
                <w:rFonts w:eastAsia="Arial"/>
                <w:sz w:val="24"/>
                <w:szCs w:val="24"/>
              </w:rPr>
              <w:t>Plaza General San Martín</w:t>
            </w:r>
          </w:p>
        </w:tc>
        <w:tc>
          <w:tcPr>
            <w:tcW w:w="2580" w:type="dxa"/>
          </w:tcPr>
          <w:p w14:paraId="0C282F60" w14:textId="77777777" w:rsidR="00A117AB" w:rsidRPr="00B73D29" w:rsidRDefault="00A117AB" w:rsidP="00B73D29">
            <w:pPr>
              <w:rPr>
                <w:rFonts w:eastAsia="Arial"/>
                <w:sz w:val="24"/>
                <w:szCs w:val="24"/>
              </w:rPr>
            </w:pPr>
            <w:r w:rsidRPr="00B73D29">
              <w:rPr>
                <w:rFonts w:eastAsia="Arial"/>
                <w:sz w:val="24"/>
                <w:szCs w:val="24"/>
              </w:rPr>
              <w:t>Almafuerte, Hipólito Yrigoyen, Dr. Ignacio Arieta, Tomás Justo Villegas.</w:t>
            </w:r>
          </w:p>
        </w:tc>
      </w:tr>
      <w:tr w:rsidR="00A117AB" w:rsidRPr="00B73D29" w14:paraId="16F9F2A0" w14:textId="77777777" w:rsidTr="001F15A0">
        <w:trPr>
          <w:trHeight w:val="300"/>
        </w:trPr>
        <w:tc>
          <w:tcPr>
            <w:tcW w:w="780" w:type="dxa"/>
          </w:tcPr>
          <w:p w14:paraId="3F94FD74" w14:textId="77777777" w:rsidR="00A117AB" w:rsidRPr="00B73D29" w:rsidRDefault="00A117AB" w:rsidP="00B73D29">
            <w:pPr>
              <w:rPr>
                <w:rFonts w:eastAsia="Arial"/>
                <w:sz w:val="24"/>
                <w:szCs w:val="24"/>
              </w:rPr>
            </w:pPr>
            <w:r w:rsidRPr="00B73D29">
              <w:rPr>
                <w:rFonts w:eastAsia="Arial"/>
                <w:sz w:val="24"/>
                <w:szCs w:val="24"/>
              </w:rPr>
              <w:t>2</w:t>
            </w:r>
          </w:p>
        </w:tc>
        <w:tc>
          <w:tcPr>
            <w:tcW w:w="2385" w:type="dxa"/>
          </w:tcPr>
          <w:p w14:paraId="51CC3311" w14:textId="77777777" w:rsidR="00A117AB" w:rsidRPr="00B73D29" w:rsidRDefault="00A117AB" w:rsidP="00B73D29">
            <w:pPr>
              <w:rPr>
                <w:rFonts w:eastAsia="Arial"/>
                <w:sz w:val="24"/>
                <w:szCs w:val="24"/>
              </w:rPr>
            </w:pPr>
            <w:r w:rsidRPr="00B73D29">
              <w:rPr>
                <w:rFonts w:eastAsia="Arial"/>
                <w:sz w:val="24"/>
                <w:szCs w:val="24"/>
              </w:rPr>
              <w:t>Ramos Mejía</w:t>
            </w:r>
          </w:p>
        </w:tc>
        <w:tc>
          <w:tcPr>
            <w:tcW w:w="3270" w:type="dxa"/>
          </w:tcPr>
          <w:p w14:paraId="21CFEA8B" w14:textId="77777777" w:rsidR="00A117AB" w:rsidRPr="00B73D29" w:rsidRDefault="00A117AB" w:rsidP="00B73D29">
            <w:pPr>
              <w:rPr>
                <w:rFonts w:eastAsia="Arial"/>
                <w:sz w:val="24"/>
                <w:szCs w:val="24"/>
              </w:rPr>
            </w:pPr>
            <w:r w:rsidRPr="00B73D29">
              <w:rPr>
                <w:rFonts w:eastAsia="Arial"/>
                <w:sz w:val="24"/>
                <w:szCs w:val="24"/>
              </w:rPr>
              <w:t>Plaza Domingo Faustino Sarmiento</w:t>
            </w:r>
          </w:p>
        </w:tc>
        <w:tc>
          <w:tcPr>
            <w:tcW w:w="2580" w:type="dxa"/>
          </w:tcPr>
          <w:p w14:paraId="4065A865" w14:textId="77777777" w:rsidR="00A117AB" w:rsidRPr="00B73D29" w:rsidRDefault="00A117AB" w:rsidP="00B73D29">
            <w:pPr>
              <w:rPr>
                <w:rFonts w:eastAsia="Arial"/>
                <w:sz w:val="24"/>
                <w:szCs w:val="24"/>
              </w:rPr>
            </w:pPr>
            <w:r w:rsidRPr="00B73D29">
              <w:rPr>
                <w:rFonts w:eastAsia="Arial"/>
                <w:sz w:val="24"/>
                <w:szCs w:val="24"/>
              </w:rPr>
              <w:t>Álvarez Jonte, Gral. Ricchieri, Leandro N. Alem, 9 de julio.</w:t>
            </w:r>
          </w:p>
        </w:tc>
      </w:tr>
      <w:tr w:rsidR="00A117AB" w:rsidRPr="00B73D29" w14:paraId="431D9046" w14:textId="77777777" w:rsidTr="001F15A0">
        <w:trPr>
          <w:trHeight w:val="300"/>
        </w:trPr>
        <w:tc>
          <w:tcPr>
            <w:tcW w:w="780" w:type="dxa"/>
          </w:tcPr>
          <w:p w14:paraId="0DDDA5FE" w14:textId="77777777" w:rsidR="00A117AB" w:rsidRPr="00B73D29" w:rsidRDefault="00A117AB" w:rsidP="00B73D29">
            <w:pPr>
              <w:rPr>
                <w:rFonts w:eastAsia="Arial"/>
                <w:sz w:val="24"/>
                <w:szCs w:val="24"/>
              </w:rPr>
            </w:pPr>
            <w:r w:rsidRPr="00B73D29">
              <w:rPr>
                <w:rFonts w:eastAsia="Arial"/>
                <w:sz w:val="24"/>
                <w:szCs w:val="24"/>
              </w:rPr>
              <w:t>3</w:t>
            </w:r>
          </w:p>
        </w:tc>
        <w:tc>
          <w:tcPr>
            <w:tcW w:w="2385" w:type="dxa"/>
          </w:tcPr>
          <w:p w14:paraId="0B35A7CA" w14:textId="77777777" w:rsidR="00A117AB" w:rsidRPr="00B73D29" w:rsidRDefault="00A117AB" w:rsidP="00B73D29">
            <w:pPr>
              <w:rPr>
                <w:rFonts w:eastAsia="Arial"/>
                <w:sz w:val="24"/>
                <w:szCs w:val="24"/>
              </w:rPr>
            </w:pPr>
            <w:r w:rsidRPr="00B73D29">
              <w:rPr>
                <w:rFonts w:eastAsia="Arial"/>
                <w:sz w:val="24"/>
                <w:szCs w:val="24"/>
              </w:rPr>
              <w:t>Lomas del Mirador</w:t>
            </w:r>
          </w:p>
        </w:tc>
        <w:tc>
          <w:tcPr>
            <w:tcW w:w="3270" w:type="dxa"/>
          </w:tcPr>
          <w:p w14:paraId="2472B1CC" w14:textId="77777777" w:rsidR="00A117AB" w:rsidRPr="00B73D29" w:rsidRDefault="00A117AB" w:rsidP="00B73D29">
            <w:pPr>
              <w:rPr>
                <w:rFonts w:eastAsia="Arial"/>
                <w:sz w:val="24"/>
                <w:szCs w:val="24"/>
              </w:rPr>
            </w:pPr>
            <w:r w:rsidRPr="00B73D29">
              <w:rPr>
                <w:rFonts w:eastAsia="Arial"/>
                <w:sz w:val="24"/>
                <w:szCs w:val="24"/>
              </w:rPr>
              <w:t>(Plaza República Argentina o Plaza Martín Güemes. Ver)</w:t>
            </w:r>
          </w:p>
        </w:tc>
        <w:tc>
          <w:tcPr>
            <w:tcW w:w="2580" w:type="dxa"/>
          </w:tcPr>
          <w:p w14:paraId="5F1BA88A" w14:textId="77777777" w:rsidR="00A117AB" w:rsidRPr="00B73D29" w:rsidRDefault="00A117AB" w:rsidP="00B73D29">
            <w:pPr>
              <w:rPr>
                <w:rFonts w:eastAsia="Arial"/>
                <w:sz w:val="24"/>
                <w:szCs w:val="24"/>
              </w:rPr>
            </w:pPr>
          </w:p>
        </w:tc>
      </w:tr>
      <w:tr w:rsidR="00A117AB" w:rsidRPr="00B73D29" w14:paraId="6B4C2626" w14:textId="77777777" w:rsidTr="001F15A0">
        <w:trPr>
          <w:trHeight w:val="300"/>
        </w:trPr>
        <w:tc>
          <w:tcPr>
            <w:tcW w:w="780" w:type="dxa"/>
          </w:tcPr>
          <w:p w14:paraId="6034949C" w14:textId="77777777" w:rsidR="00A117AB" w:rsidRPr="00B73D29" w:rsidRDefault="00A117AB" w:rsidP="00B73D29">
            <w:pPr>
              <w:rPr>
                <w:rFonts w:eastAsia="Arial"/>
                <w:sz w:val="24"/>
                <w:szCs w:val="24"/>
              </w:rPr>
            </w:pPr>
            <w:r w:rsidRPr="00B73D29">
              <w:rPr>
                <w:rFonts w:eastAsia="Arial"/>
                <w:sz w:val="24"/>
                <w:szCs w:val="24"/>
              </w:rPr>
              <w:t>4</w:t>
            </w:r>
          </w:p>
        </w:tc>
        <w:tc>
          <w:tcPr>
            <w:tcW w:w="2385" w:type="dxa"/>
          </w:tcPr>
          <w:p w14:paraId="5C3613F0" w14:textId="77777777" w:rsidR="00A117AB" w:rsidRPr="00B73D29" w:rsidRDefault="00A117AB" w:rsidP="00B73D29">
            <w:pPr>
              <w:rPr>
                <w:rFonts w:eastAsia="Arial"/>
                <w:sz w:val="24"/>
                <w:szCs w:val="24"/>
              </w:rPr>
            </w:pPr>
            <w:r w:rsidRPr="00B73D29">
              <w:rPr>
                <w:rFonts w:eastAsia="Arial"/>
                <w:sz w:val="24"/>
                <w:szCs w:val="24"/>
              </w:rPr>
              <w:t>Tapiales</w:t>
            </w:r>
          </w:p>
        </w:tc>
        <w:tc>
          <w:tcPr>
            <w:tcW w:w="3270" w:type="dxa"/>
          </w:tcPr>
          <w:p w14:paraId="21A7D447" w14:textId="77777777" w:rsidR="00A117AB" w:rsidRPr="00B73D29" w:rsidRDefault="00A117AB" w:rsidP="00B73D29">
            <w:pPr>
              <w:rPr>
                <w:rFonts w:eastAsia="Arial"/>
                <w:sz w:val="24"/>
                <w:szCs w:val="24"/>
              </w:rPr>
            </w:pPr>
            <w:r w:rsidRPr="00B73D29">
              <w:rPr>
                <w:rFonts w:eastAsia="Arial"/>
                <w:sz w:val="24"/>
                <w:szCs w:val="24"/>
              </w:rPr>
              <w:t>Plaza de la bandera</w:t>
            </w:r>
          </w:p>
        </w:tc>
        <w:tc>
          <w:tcPr>
            <w:tcW w:w="2580" w:type="dxa"/>
          </w:tcPr>
          <w:p w14:paraId="3E876576" w14:textId="51BD1A6A" w:rsidR="00A117AB" w:rsidRPr="00B73D29" w:rsidRDefault="00A117AB" w:rsidP="00B73D29">
            <w:pPr>
              <w:rPr>
                <w:rFonts w:eastAsia="Arial"/>
                <w:sz w:val="24"/>
                <w:szCs w:val="24"/>
              </w:rPr>
            </w:pPr>
            <w:r w:rsidRPr="00B73D29">
              <w:rPr>
                <w:rFonts w:eastAsia="Arial"/>
                <w:sz w:val="24"/>
                <w:szCs w:val="24"/>
              </w:rPr>
              <w:t xml:space="preserve">Martín Altolaguirre, </w:t>
            </w:r>
            <w:r w:rsidR="00365D93" w:rsidRPr="00B73D29">
              <w:rPr>
                <w:rFonts w:eastAsia="Arial"/>
                <w:sz w:val="24"/>
                <w:szCs w:val="24"/>
              </w:rPr>
              <w:t>Humaitá</w:t>
            </w:r>
            <w:r w:rsidRPr="00B73D29">
              <w:rPr>
                <w:rFonts w:eastAsia="Arial"/>
                <w:sz w:val="24"/>
                <w:szCs w:val="24"/>
              </w:rPr>
              <w:t>, Tuyuti, Martín Altolaguirre.</w:t>
            </w:r>
          </w:p>
        </w:tc>
      </w:tr>
      <w:tr w:rsidR="00A117AB" w:rsidRPr="00B73D29" w14:paraId="0E5E6732" w14:textId="77777777" w:rsidTr="001F15A0">
        <w:trPr>
          <w:trHeight w:val="300"/>
        </w:trPr>
        <w:tc>
          <w:tcPr>
            <w:tcW w:w="780" w:type="dxa"/>
          </w:tcPr>
          <w:p w14:paraId="6360682E" w14:textId="77777777" w:rsidR="00A117AB" w:rsidRPr="00B73D29" w:rsidRDefault="00A117AB" w:rsidP="00B73D29">
            <w:pPr>
              <w:rPr>
                <w:rFonts w:eastAsia="Arial"/>
                <w:sz w:val="24"/>
                <w:szCs w:val="24"/>
              </w:rPr>
            </w:pPr>
            <w:r w:rsidRPr="00B73D29">
              <w:rPr>
                <w:rFonts w:eastAsia="Arial"/>
                <w:sz w:val="24"/>
                <w:szCs w:val="24"/>
              </w:rPr>
              <w:t>5</w:t>
            </w:r>
          </w:p>
        </w:tc>
        <w:tc>
          <w:tcPr>
            <w:tcW w:w="2385" w:type="dxa"/>
          </w:tcPr>
          <w:p w14:paraId="0489879A" w14:textId="77777777" w:rsidR="00A117AB" w:rsidRPr="00B73D29" w:rsidRDefault="00A117AB" w:rsidP="00B73D29">
            <w:pPr>
              <w:rPr>
                <w:rFonts w:eastAsia="Arial"/>
                <w:sz w:val="24"/>
                <w:szCs w:val="24"/>
              </w:rPr>
            </w:pPr>
            <w:r w:rsidRPr="00B73D29">
              <w:rPr>
                <w:rFonts w:eastAsia="Arial"/>
                <w:sz w:val="24"/>
                <w:szCs w:val="24"/>
              </w:rPr>
              <w:t>Aldo Bonzi</w:t>
            </w:r>
          </w:p>
        </w:tc>
        <w:tc>
          <w:tcPr>
            <w:tcW w:w="3270" w:type="dxa"/>
          </w:tcPr>
          <w:p w14:paraId="2B23DF16" w14:textId="77777777" w:rsidR="00A117AB" w:rsidRPr="00B73D29" w:rsidRDefault="00A117AB" w:rsidP="00B73D29">
            <w:pPr>
              <w:rPr>
                <w:rFonts w:eastAsia="Arial"/>
                <w:sz w:val="24"/>
                <w:szCs w:val="24"/>
              </w:rPr>
            </w:pPr>
            <w:r w:rsidRPr="00B73D29">
              <w:rPr>
                <w:rFonts w:eastAsia="Arial"/>
                <w:sz w:val="24"/>
                <w:szCs w:val="24"/>
              </w:rPr>
              <w:t>Plaza Martín Fierro</w:t>
            </w:r>
          </w:p>
        </w:tc>
        <w:tc>
          <w:tcPr>
            <w:tcW w:w="2580" w:type="dxa"/>
          </w:tcPr>
          <w:p w14:paraId="1A32150E" w14:textId="77777777" w:rsidR="00A117AB" w:rsidRPr="00B73D29" w:rsidRDefault="00A117AB" w:rsidP="00B73D29">
            <w:pPr>
              <w:rPr>
                <w:rFonts w:eastAsia="Arial"/>
                <w:sz w:val="24"/>
                <w:szCs w:val="24"/>
              </w:rPr>
            </w:pPr>
            <w:r w:rsidRPr="00B73D29">
              <w:rPr>
                <w:rFonts w:eastAsia="Arial"/>
                <w:sz w:val="24"/>
                <w:szCs w:val="24"/>
              </w:rPr>
              <w:t>Luis Guanella.</w:t>
            </w:r>
          </w:p>
        </w:tc>
      </w:tr>
      <w:tr w:rsidR="00A117AB" w:rsidRPr="00B73D29" w14:paraId="0128EC46" w14:textId="77777777" w:rsidTr="001F15A0">
        <w:trPr>
          <w:trHeight w:val="300"/>
        </w:trPr>
        <w:tc>
          <w:tcPr>
            <w:tcW w:w="780" w:type="dxa"/>
          </w:tcPr>
          <w:p w14:paraId="56A9A9FA" w14:textId="77777777" w:rsidR="00A117AB" w:rsidRPr="00B73D29" w:rsidRDefault="00A117AB" w:rsidP="00B73D29">
            <w:pPr>
              <w:rPr>
                <w:rFonts w:eastAsia="Arial"/>
                <w:sz w:val="24"/>
                <w:szCs w:val="24"/>
              </w:rPr>
            </w:pPr>
            <w:r w:rsidRPr="00B73D29">
              <w:rPr>
                <w:rFonts w:eastAsia="Arial"/>
                <w:sz w:val="24"/>
                <w:szCs w:val="24"/>
              </w:rPr>
              <w:t>6</w:t>
            </w:r>
          </w:p>
        </w:tc>
        <w:tc>
          <w:tcPr>
            <w:tcW w:w="2385" w:type="dxa"/>
          </w:tcPr>
          <w:p w14:paraId="45EABA3B" w14:textId="77777777" w:rsidR="00A117AB" w:rsidRPr="00B73D29" w:rsidRDefault="00A117AB" w:rsidP="00B73D29">
            <w:pPr>
              <w:rPr>
                <w:rFonts w:eastAsia="Arial"/>
                <w:sz w:val="24"/>
                <w:szCs w:val="24"/>
              </w:rPr>
            </w:pPr>
            <w:r w:rsidRPr="00B73D29">
              <w:rPr>
                <w:rFonts w:eastAsia="Arial"/>
                <w:sz w:val="24"/>
                <w:szCs w:val="24"/>
              </w:rPr>
              <w:t>Ciudad Madero</w:t>
            </w:r>
          </w:p>
        </w:tc>
        <w:tc>
          <w:tcPr>
            <w:tcW w:w="3270" w:type="dxa"/>
          </w:tcPr>
          <w:p w14:paraId="58F73E2D" w14:textId="77777777" w:rsidR="00A117AB" w:rsidRPr="00B73D29" w:rsidRDefault="00A117AB" w:rsidP="00B73D29">
            <w:pPr>
              <w:rPr>
                <w:sz w:val="24"/>
                <w:szCs w:val="24"/>
              </w:rPr>
            </w:pPr>
            <w:r w:rsidRPr="00B73D29">
              <w:rPr>
                <w:rFonts w:eastAsia="Arial"/>
                <w:sz w:val="24"/>
                <w:szCs w:val="24"/>
              </w:rPr>
              <w:t>Plaza Malvinas Argentinas</w:t>
            </w:r>
          </w:p>
        </w:tc>
        <w:tc>
          <w:tcPr>
            <w:tcW w:w="2580" w:type="dxa"/>
          </w:tcPr>
          <w:p w14:paraId="20192EE6" w14:textId="77777777" w:rsidR="00A117AB" w:rsidRPr="00B73D29" w:rsidRDefault="00A117AB" w:rsidP="00B73D29">
            <w:pPr>
              <w:rPr>
                <w:rFonts w:eastAsia="Arial"/>
                <w:sz w:val="24"/>
                <w:szCs w:val="24"/>
              </w:rPr>
            </w:pPr>
            <w:r w:rsidRPr="00B73D29">
              <w:rPr>
                <w:rFonts w:eastAsia="Arial"/>
                <w:sz w:val="24"/>
                <w:szCs w:val="24"/>
              </w:rPr>
              <w:t>Benito Álvarez y Malvinas</w:t>
            </w:r>
          </w:p>
        </w:tc>
      </w:tr>
      <w:tr w:rsidR="00A117AB" w:rsidRPr="00B73D29" w14:paraId="7C09DB97" w14:textId="77777777" w:rsidTr="001F15A0">
        <w:trPr>
          <w:trHeight w:val="300"/>
        </w:trPr>
        <w:tc>
          <w:tcPr>
            <w:tcW w:w="780" w:type="dxa"/>
          </w:tcPr>
          <w:p w14:paraId="19FCEE2F" w14:textId="77777777" w:rsidR="00A117AB" w:rsidRPr="00B73D29" w:rsidRDefault="00A117AB" w:rsidP="00B73D29">
            <w:pPr>
              <w:rPr>
                <w:rFonts w:eastAsia="Arial"/>
                <w:sz w:val="24"/>
                <w:szCs w:val="24"/>
              </w:rPr>
            </w:pPr>
            <w:r w:rsidRPr="00B73D29">
              <w:rPr>
                <w:rFonts w:eastAsia="Arial"/>
                <w:sz w:val="24"/>
                <w:szCs w:val="24"/>
              </w:rPr>
              <w:t>7</w:t>
            </w:r>
          </w:p>
        </w:tc>
        <w:tc>
          <w:tcPr>
            <w:tcW w:w="2385" w:type="dxa"/>
          </w:tcPr>
          <w:p w14:paraId="174A2FC2" w14:textId="77777777" w:rsidR="00A117AB" w:rsidRPr="00B73D29" w:rsidRDefault="00A117AB" w:rsidP="00B73D29">
            <w:pPr>
              <w:rPr>
                <w:rFonts w:eastAsia="Arial"/>
                <w:sz w:val="24"/>
                <w:szCs w:val="24"/>
              </w:rPr>
            </w:pPr>
            <w:r w:rsidRPr="00B73D29">
              <w:rPr>
                <w:rFonts w:eastAsia="Arial"/>
                <w:sz w:val="24"/>
                <w:szCs w:val="24"/>
              </w:rPr>
              <w:t>Villa Celina</w:t>
            </w:r>
          </w:p>
        </w:tc>
        <w:tc>
          <w:tcPr>
            <w:tcW w:w="3270" w:type="dxa"/>
          </w:tcPr>
          <w:p w14:paraId="1416EAAD" w14:textId="77777777" w:rsidR="00A117AB" w:rsidRPr="00B73D29" w:rsidRDefault="00A117AB" w:rsidP="00B73D29">
            <w:pPr>
              <w:rPr>
                <w:rFonts w:eastAsia="Arial"/>
                <w:sz w:val="24"/>
                <w:szCs w:val="24"/>
              </w:rPr>
            </w:pPr>
            <w:r w:rsidRPr="00B73D29">
              <w:rPr>
                <w:rFonts w:eastAsia="Arial"/>
                <w:sz w:val="24"/>
                <w:szCs w:val="24"/>
              </w:rPr>
              <w:t>Plazoleta triangular</w:t>
            </w:r>
          </w:p>
        </w:tc>
        <w:tc>
          <w:tcPr>
            <w:tcW w:w="2580" w:type="dxa"/>
          </w:tcPr>
          <w:p w14:paraId="4E35ABBA" w14:textId="77777777" w:rsidR="00A117AB" w:rsidRPr="00B73D29" w:rsidRDefault="00A117AB" w:rsidP="00B73D29">
            <w:pPr>
              <w:rPr>
                <w:rFonts w:eastAsia="Arial"/>
                <w:sz w:val="24"/>
                <w:szCs w:val="24"/>
              </w:rPr>
            </w:pPr>
            <w:r w:rsidRPr="00B73D29">
              <w:rPr>
                <w:rFonts w:eastAsia="Arial"/>
                <w:sz w:val="24"/>
                <w:szCs w:val="24"/>
              </w:rPr>
              <w:t>Av. General San Martín y Coronel Martiniano Chilavert</w:t>
            </w:r>
          </w:p>
        </w:tc>
      </w:tr>
      <w:tr w:rsidR="00A117AB" w:rsidRPr="00B73D29" w14:paraId="3606BA75" w14:textId="77777777" w:rsidTr="001F15A0">
        <w:trPr>
          <w:trHeight w:val="300"/>
        </w:trPr>
        <w:tc>
          <w:tcPr>
            <w:tcW w:w="780" w:type="dxa"/>
          </w:tcPr>
          <w:p w14:paraId="213A3049" w14:textId="77777777" w:rsidR="00A117AB" w:rsidRPr="00B73D29" w:rsidRDefault="00A117AB" w:rsidP="00B73D29">
            <w:pPr>
              <w:rPr>
                <w:rFonts w:eastAsia="Arial"/>
                <w:sz w:val="24"/>
                <w:szCs w:val="24"/>
              </w:rPr>
            </w:pPr>
            <w:r w:rsidRPr="00B73D29">
              <w:rPr>
                <w:rFonts w:eastAsia="Arial"/>
                <w:sz w:val="24"/>
                <w:szCs w:val="24"/>
              </w:rPr>
              <w:t>8</w:t>
            </w:r>
          </w:p>
        </w:tc>
        <w:tc>
          <w:tcPr>
            <w:tcW w:w="2385" w:type="dxa"/>
          </w:tcPr>
          <w:p w14:paraId="505B20E2" w14:textId="77777777" w:rsidR="00A117AB" w:rsidRPr="00B73D29" w:rsidRDefault="00A117AB" w:rsidP="00B73D29">
            <w:pPr>
              <w:rPr>
                <w:rFonts w:eastAsia="Arial"/>
                <w:sz w:val="24"/>
                <w:szCs w:val="24"/>
              </w:rPr>
            </w:pPr>
            <w:r w:rsidRPr="00B73D29">
              <w:rPr>
                <w:rFonts w:eastAsia="Arial"/>
                <w:sz w:val="24"/>
                <w:szCs w:val="24"/>
              </w:rPr>
              <w:t>Ciudad Evita</w:t>
            </w:r>
          </w:p>
        </w:tc>
        <w:tc>
          <w:tcPr>
            <w:tcW w:w="3270" w:type="dxa"/>
          </w:tcPr>
          <w:p w14:paraId="53095910" w14:textId="77777777" w:rsidR="00A117AB" w:rsidRPr="00B73D29" w:rsidRDefault="00A117AB" w:rsidP="00B73D29">
            <w:pPr>
              <w:pStyle w:val="Ttulo1"/>
              <w:shd w:val="clear" w:color="auto" w:fill="FFFFFF" w:themeFill="background1"/>
              <w:rPr>
                <w:rFonts w:ascii="Times New Roman" w:hAnsi="Times New Roman" w:cs="Times New Roman"/>
                <w:sz w:val="24"/>
                <w:szCs w:val="24"/>
              </w:rPr>
            </w:pPr>
            <w:r w:rsidRPr="00B73D29">
              <w:rPr>
                <w:rFonts w:ascii="Times New Roman" w:eastAsia="Roboto" w:hAnsi="Times New Roman" w:cs="Times New Roman"/>
                <w:color w:val="202124"/>
                <w:sz w:val="24"/>
                <w:szCs w:val="24"/>
              </w:rPr>
              <w:t>Plaza Martín Miguel de Güemes</w:t>
            </w:r>
          </w:p>
        </w:tc>
        <w:tc>
          <w:tcPr>
            <w:tcW w:w="2580" w:type="dxa"/>
          </w:tcPr>
          <w:p w14:paraId="28AAA849" w14:textId="77777777" w:rsidR="00A117AB" w:rsidRPr="00B73D29" w:rsidRDefault="00A117AB" w:rsidP="00B73D29">
            <w:pPr>
              <w:rPr>
                <w:rFonts w:eastAsia="Arial"/>
                <w:sz w:val="24"/>
                <w:szCs w:val="24"/>
              </w:rPr>
            </w:pPr>
            <w:r w:rsidRPr="00B73D29">
              <w:rPr>
                <w:rFonts w:eastAsia="Arial"/>
                <w:sz w:val="24"/>
                <w:szCs w:val="24"/>
              </w:rPr>
              <w:t>Martín Miguel de Güemes, El cisne, El leñatero, El Guayacán.</w:t>
            </w:r>
          </w:p>
        </w:tc>
      </w:tr>
      <w:tr w:rsidR="00A117AB" w:rsidRPr="00B73D29" w14:paraId="0342E507" w14:textId="77777777" w:rsidTr="001F15A0">
        <w:trPr>
          <w:trHeight w:val="300"/>
        </w:trPr>
        <w:tc>
          <w:tcPr>
            <w:tcW w:w="780" w:type="dxa"/>
          </w:tcPr>
          <w:p w14:paraId="3B2BEE59" w14:textId="77777777" w:rsidR="00A117AB" w:rsidRPr="00B73D29" w:rsidRDefault="00A117AB" w:rsidP="00B73D29">
            <w:pPr>
              <w:rPr>
                <w:rFonts w:eastAsia="Arial"/>
                <w:sz w:val="24"/>
                <w:szCs w:val="24"/>
              </w:rPr>
            </w:pPr>
            <w:r w:rsidRPr="00B73D29">
              <w:rPr>
                <w:rFonts w:eastAsia="Arial"/>
                <w:sz w:val="24"/>
                <w:szCs w:val="24"/>
              </w:rPr>
              <w:t>9</w:t>
            </w:r>
          </w:p>
        </w:tc>
        <w:tc>
          <w:tcPr>
            <w:tcW w:w="2385" w:type="dxa"/>
          </w:tcPr>
          <w:p w14:paraId="1F63AFFD" w14:textId="77777777" w:rsidR="00A117AB" w:rsidRPr="00B73D29" w:rsidRDefault="00A117AB" w:rsidP="00B73D29">
            <w:pPr>
              <w:rPr>
                <w:rFonts w:eastAsia="Arial"/>
                <w:sz w:val="24"/>
                <w:szCs w:val="24"/>
              </w:rPr>
            </w:pPr>
            <w:r w:rsidRPr="00B73D29">
              <w:rPr>
                <w:rFonts w:eastAsia="Arial"/>
                <w:sz w:val="24"/>
                <w:szCs w:val="24"/>
              </w:rPr>
              <w:t>Isidro Casanova</w:t>
            </w:r>
          </w:p>
        </w:tc>
        <w:tc>
          <w:tcPr>
            <w:tcW w:w="3270" w:type="dxa"/>
          </w:tcPr>
          <w:p w14:paraId="4E6346B7" w14:textId="77777777" w:rsidR="00A117AB" w:rsidRPr="00B73D29" w:rsidRDefault="00A117AB" w:rsidP="00B73D29">
            <w:pPr>
              <w:rPr>
                <w:rFonts w:eastAsia="Arial"/>
                <w:sz w:val="24"/>
                <w:szCs w:val="24"/>
              </w:rPr>
            </w:pPr>
            <w:r w:rsidRPr="00B73D29">
              <w:rPr>
                <w:rFonts w:eastAsia="Arial"/>
                <w:sz w:val="24"/>
                <w:szCs w:val="24"/>
              </w:rPr>
              <w:t>Plaza Hipólito Yrigoyen</w:t>
            </w:r>
          </w:p>
        </w:tc>
        <w:tc>
          <w:tcPr>
            <w:tcW w:w="2580" w:type="dxa"/>
          </w:tcPr>
          <w:p w14:paraId="519CB119" w14:textId="77777777" w:rsidR="00A117AB" w:rsidRPr="00B73D29" w:rsidRDefault="00A117AB" w:rsidP="00B73D29">
            <w:pPr>
              <w:rPr>
                <w:rFonts w:eastAsia="Arial"/>
                <w:sz w:val="24"/>
                <w:szCs w:val="24"/>
              </w:rPr>
            </w:pPr>
            <w:r w:rsidRPr="00B73D29">
              <w:rPr>
                <w:rFonts w:eastAsia="Arial"/>
                <w:sz w:val="24"/>
                <w:szCs w:val="24"/>
              </w:rPr>
              <w:t>París, Lascano, República de Portugal, Cnel. Juan Francisco Seguí.</w:t>
            </w:r>
          </w:p>
        </w:tc>
      </w:tr>
      <w:tr w:rsidR="00A117AB" w:rsidRPr="00B73D29" w14:paraId="0F31FA0C" w14:textId="77777777" w:rsidTr="001F15A0">
        <w:trPr>
          <w:trHeight w:val="300"/>
        </w:trPr>
        <w:tc>
          <w:tcPr>
            <w:tcW w:w="780" w:type="dxa"/>
          </w:tcPr>
          <w:p w14:paraId="3858E1F5" w14:textId="77777777" w:rsidR="00A117AB" w:rsidRPr="00B73D29" w:rsidRDefault="00A117AB" w:rsidP="00B73D29">
            <w:pPr>
              <w:rPr>
                <w:rFonts w:eastAsia="Arial"/>
                <w:sz w:val="24"/>
                <w:szCs w:val="24"/>
              </w:rPr>
            </w:pPr>
            <w:r w:rsidRPr="00B73D29">
              <w:rPr>
                <w:rFonts w:eastAsia="Arial"/>
                <w:sz w:val="24"/>
                <w:szCs w:val="24"/>
              </w:rPr>
              <w:t>10</w:t>
            </w:r>
          </w:p>
        </w:tc>
        <w:tc>
          <w:tcPr>
            <w:tcW w:w="2385" w:type="dxa"/>
          </w:tcPr>
          <w:p w14:paraId="44E1587C" w14:textId="77777777" w:rsidR="00A117AB" w:rsidRPr="00B73D29" w:rsidRDefault="00A117AB" w:rsidP="00B73D29">
            <w:pPr>
              <w:rPr>
                <w:rFonts w:eastAsia="Arial"/>
                <w:sz w:val="24"/>
                <w:szCs w:val="24"/>
              </w:rPr>
            </w:pPr>
            <w:r w:rsidRPr="00B73D29">
              <w:rPr>
                <w:rFonts w:eastAsia="Arial"/>
                <w:sz w:val="24"/>
                <w:szCs w:val="24"/>
              </w:rPr>
              <w:t>Villa Luzuriaga</w:t>
            </w:r>
          </w:p>
        </w:tc>
        <w:tc>
          <w:tcPr>
            <w:tcW w:w="3270" w:type="dxa"/>
          </w:tcPr>
          <w:p w14:paraId="140C6DC8" w14:textId="77777777" w:rsidR="00A117AB" w:rsidRPr="00B73D29" w:rsidRDefault="00A117AB" w:rsidP="00B73D29">
            <w:pPr>
              <w:rPr>
                <w:rFonts w:eastAsia="Arial"/>
                <w:sz w:val="24"/>
                <w:szCs w:val="24"/>
              </w:rPr>
            </w:pPr>
            <w:r w:rsidRPr="00B73D29">
              <w:rPr>
                <w:rFonts w:eastAsia="Arial"/>
                <w:sz w:val="24"/>
                <w:szCs w:val="24"/>
              </w:rPr>
              <w:t xml:space="preserve">Plaza Armada </w:t>
            </w:r>
          </w:p>
        </w:tc>
        <w:tc>
          <w:tcPr>
            <w:tcW w:w="2580" w:type="dxa"/>
          </w:tcPr>
          <w:p w14:paraId="3BDC583D" w14:textId="77777777" w:rsidR="00A117AB" w:rsidRPr="00B73D29" w:rsidRDefault="00A117AB" w:rsidP="00B73D29">
            <w:pPr>
              <w:rPr>
                <w:rFonts w:eastAsia="Arial"/>
                <w:sz w:val="24"/>
                <w:szCs w:val="24"/>
              </w:rPr>
            </w:pPr>
            <w:r w:rsidRPr="00B73D29">
              <w:rPr>
                <w:rFonts w:eastAsia="Arial"/>
                <w:sz w:val="24"/>
                <w:szCs w:val="24"/>
              </w:rPr>
              <w:t>Leopoldo Lugones, Juan Florio, Bermúdez.</w:t>
            </w:r>
          </w:p>
        </w:tc>
      </w:tr>
      <w:tr w:rsidR="00A117AB" w:rsidRPr="00B73D29" w14:paraId="18DC8FB2" w14:textId="77777777" w:rsidTr="001F15A0">
        <w:trPr>
          <w:trHeight w:val="300"/>
        </w:trPr>
        <w:tc>
          <w:tcPr>
            <w:tcW w:w="780" w:type="dxa"/>
          </w:tcPr>
          <w:p w14:paraId="0B5268B1" w14:textId="77777777" w:rsidR="00A117AB" w:rsidRPr="00B73D29" w:rsidRDefault="00A117AB" w:rsidP="00B73D29">
            <w:pPr>
              <w:rPr>
                <w:rFonts w:eastAsia="Arial"/>
                <w:sz w:val="24"/>
                <w:szCs w:val="24"/>
              </w:rPr>
            </w:pPr>
            <w:r w:rsidRPr="00B73D29">
              <w:rPr>
                <w:rFonts w:eastAsia="Arial"/>
                <w:sz w:val="24"/>
                <w:szCs w:val="24"/>
              </w:rPr>
              <w:t>11</w:t>
            </w:r>
          </w:p>
        </w:tc>
        <w:tc>
          <w:tcPr>
            <w:tcW w:w="2385" w:type="dxa"/>
          </w:tcPr>
          <w:p w14:paraId="738708F8" w14:textId="77777777" w:rsidR="00A117AB" w:rsidRPr="00B73D29" w:rsidRDefault="00A117AB" w:rsidP="00B73D29">
            <w:pPr>
              <w:rPr>
                <w:rFonts w:eastAsia="Arial"/>
                <w:sz w:val="24"/>
                <w:szCs w:val="24"/>
              </w:rPr>
            </w:pPr>
            <w:r w:rsidRPr="00B73D29">
              <w:rPr>
                <w:rFonts w:eastAsia="Arial"/>
                <w:sz w:val="24"/>
                <w:szCs w:val="24"/>
              </w:rPr>
              <w:t>Rafael Castillo</w:t>
            </w:r>
          </w:p>
        </w:tc>
        <w:tc>
          <w:tcPr>
            <w:tcW w:w="3270" w:type="dxa"/>
          </w:tcPr>
          <w:p w14:paraId="1E6FF48D" w14:textId="77777777" w:rsidR="00A117AB" w:rsidRPr="00B73D29" w:rsidRDefault="00A117AB" w:rsidP="00B73D29">
            <w:pPr>
              <w:rPr>
                <w:rFonts w:eastAsia="Arial"/>
                <w:sz w:val="24"/>
                <w:szCs w:val="24"/>
              </w:rPr>
            </w:pPr>
            <w:r w:rsidRPr="00B73D29">
              <w:rPr>
                <w:rFonts w:eastAsia="Arial"/>
                <w:sz w:val="24"/>
                <w:szCs w:val="24"/>
              </w:rPr>
              <w:t>Plaza Juan Domingo Perón</w:t>
            </w:r>
          </w:p>
        </w:tc>
        <w:tc>
          <w:tcPr>
            <w:tcW w:w="2580" w:type="dxa"/>
          </w:tcPr>
          <w:p w14:paraId="480592C6" w14:textId="77777777" w:rsidR="00A117AB" w:rsidRPr="00B73D29" w:rsidRDefault="00A117AB" w:rsidP="00B73D29">
            <w:pPr>
              <w:rPr>
                <w:rFonts w:eastAsia="Arial"/>
                <w:sz w:val="24"/>
                <w:szCs w:val="24"/>
              </w:rPr>
            </w:pPr>
            <w:r w:rsidRPr="00B73D29">
              <w:rPr>
                <w:rFonts w:eastAsia="Arial"/>
                <w:sz w:val="24"/>
                <w:szCs w:val="24"/>
              </w:rPr>
              <w:t>Victorino de la Plaza, Cdante. Granville.</w:t>
            </w:r>
          </w:p>
        </w:tc>
      </w:tr>
      <w:tr w:rsidR="00A117AB" w:rsidRPr="00B73D29" w14:paraId="4FA1777A" w14:textId="77777777" w:rsidTr="001F15A0">
        <w:trPr>
          <w:trHeight w:val="300"/>
        </w:trPr>
        <w:tc>
          <w:tcPr>
            <w:tcW w:w="780" w:type="dxa"/>
          </w:tcPr>
          <w:p w14:paraId="60816A5E" w14:textId="77777777" w:rsidR="00A117AB" w:rsidRPr="00B73D29" w:rsidRDefault="00A117AB" w:rsidP="00B73D29">
            <w:pPr>
              <w:rPr>
                <w:rFonts w:eastAsia="Arial"/>
                <w:sz w:val="24"/>
                <w:szCs w:val="24"/>
              </w:rPr>
            </w:pPr>
            <w:r w:rsidRPr="00B73D29">
              <w:rPr>
                <w:rFonts w:eastAsia="Arial"/>
                <w:sz w:val="24"/>
                <w:szCs w:val="24"/>
              </w:rPr>
              <w:t>12</w:t>
            </w:r>
          </w:p>
        </w:tc>
        <w:tc>
          <w:tcPr>
            <w:tcW w:w="2385" w:type="dxa"/>
          </w:tcPr>
          <w:p w14:paraId="5FDA75A8" w14:textId="77777777" w:rsidR="00A117AB" w:rsidRPr="00B73D29" w:rsidRDefault="00A117AB" w:rsidP="00B73D29">
            <w:pPr>
              <w:rPr>
                <w:rFonts w:eastAsia="Arial"/>
                <w:sz w:val="24"/>
                <w:szCs w:val="24"/>
              </w:rPr>
            </w:pPr>
            <w:r w:rsidRPr="00B73D29">
              <w:rPr>
                <w:rFonts w:eastAsia="Arial"/>
                <w:sz w:val="24"/>
                <w:szCs w:val="24"/>
              </w:rPr>
              <w:t>Gregorio de Laferrere</w:t>
            </w:r>
          </w:p>
        </w:tc>
        <w:tc>
          <w:tcPr>
            <w:tcW w:w="3270" w:type="dxa"/>
          </w:tcPr>
          <w:p w14:paraId="5AE0A23E" w14:textId="77777777" w:rsidR="00A117AB" w:rsidRPr="00B73D29" w:rsidRDefault="00A117AB" w:rsidP="00B73D29">
            <w:pPr>
              <w:rPr>
                <w:rFonts w:eastAsia="Arial"/>
                <w:sz w:val="24"/>
                <w:szCs w:val="24"/>
              </w:rPr>
            </w:pPr>
            <w:r w:rsidRPr="00B73D29">
              <w:rPr>
                <w:rFonts w:eastAsia="Arial"/>
                <w:sz w:val="24"/>
                <w:szCs w:val="24"/>
              </w:rPr>
              <w:t>Plaza Ejército de los Andes</w:t>
            </w:r>
          </w:p>
        </w:tc>
        <w:tc>
          <w:tcPr>
            <w:tcW w:w="2580" w:type="dxa"/>
          </w:tcPr>
          <w:p w14:paraId="76BD1A28" w14:textId="77777777" w:rsidR="00A117AB" w:rsidRPr="00B73D29" w:rsidRDefault="00A117AB" w:rsidP="00B73D29">
            <w:pPr>
              <w:rPr>
                <w:rFonts w:eastAsia="Arial"/>
                <w:sz w:val="24"/>
                <w:szCs w:val="24"/>
              </w:rPr>
            </w:pPr>
            <w:r w:rsidRPr="00B73D29">
              <w:rPr>
                <w:rFonts w:eastAsia="Arial"/>
                <w:sz w:val="24"/>
                <w:szCs w:val="24"/>
              </w:rPr>
              <w:t>Avenida Luro.</w:t>
            </w:r>
          </w:p>
        </w:tc>
      </w:tr>
      <w:tr w:rsidR="00A117AB" w:rsidRPr="00B73D29" w14:paraId="7CB0FC1C" w14:textId="77777777" w:rsidTr="001F15A0">
        <w:trPr>
          <w:trHeight w:val="300"/>
        </w:trPr>
        <w:tc>
          <w:tcPr>
            <w:tcW w:w="780" w:type="dxa"/>
          </w:tcPr>
          <w:p w14:paraId="00716269" w14:textId="77777777" w:rsidR="00A117AB" w:rsidRPr="00B73D29" w:rsidRDefault="00A117AB" w:rsidP="00B73D29">
            <w:pPr>
              <w:rPr>
                <w:rFonts w:eastAsia="Arial"/>
                <w:sz w:val="24"/>
                <w:szCs w:val="24"/>
              </w:rPr>
            </w:pPr>
            <w:r w:rsidRPr="00B73D29">
              <w:rPr>
                <w:rFonts w:eastAsia="Arial"/>
                <w:sz w:val="24"/>
                <w:szCs w:val="24"/>
              </w:rPr>
              <w:t>13</w:t>
            </w:r>
          </w:p>
        </w:tc>
        <w:tc>
          <w:tcPr>
            <w:tcW w:w="2385" w:type="dxa"/>
          </w:tcPr>
          <w:p w14:paraId="18D8F684" w14:textId="77777777" w:rsidR="00A117AB" w:rsidRPr="00B73D29" w:rsidRDefault="00A117AB" w:rsidP="00B73D29">
            <w:pPr>
              <w:rPr>
                <w:rFonts w:eastAsia="Arial"/>
                <w:sz w:val="24"/>
                <w:szCs w:val="24"/>
              </w:rPr>
            </w:pPr>
            <w:r w:rsidRPr="00B73D29">
              <w:rPr>
                <w:rFonts w:eastAsia="Arial"/>
                <w:sz w:val="24"/>
                <w:szCs w:val="24"/>
              </w:rPr>
              <w:t>González Catán</w:t>
            </w:r>
          </w:p>
        </w:tc>
        <w:tc>
          <w:tcPr>
            <w:tcW w:w="3270" w:type="dxa"/>
          </w:tcPr>
          <w:p w14:paraId="5675EB69" w14:textId="77777777" w:rsidR="00A117AB" w:rsidRPr="00B73D29" w:rsidRDefault="00A117AB" w:rsidP="00B73D29">
            <w:pPr>
              <w:rPr>
                <w:rFonts w:eastAsia="Arial"/>
                <w:sz w:val="24"/>
                <w:szCs w:val="24"/>
              </w:rPr>
            </w:pPr>
            <w:r w:rsidRPr="00B73D29">
              <w:rPr>
                <w:rFonts w:eastAsia="Arial"/>
                <w:sz w:val="24"/>
                <w:szCs w:val="24"/>
              </w:rPr>
              <w:t>Plaza Catán</w:t>
            </w:r>
          </w:p>
        </w:tc>
        <w:tc>
          <w:tcPr>
            <w:tcW w:w="2580" w:type="dxa"/>
          </w:tcPr>
          <w:p w14:paraId="04D50F1A" w14:textId="77777777" w:rsidR="00A117AB" w:rsidRPr="00B73D29" w:rsidRDefault="00A117AB" w:rsidP="00B73D29">
            <w:pPr>
              <w:rPr>
                <w:rFonts w:eastAsia="Arial"/>
                <w:sz w:val="24"/>
                <w:szCs w:val="24"/>
              </w:rPr>
            </w:pPr>
            <w:r w:rsidRPr="00B73D29">
              <w:rPr>
                <w:rFonts w:eastAsia="Arial"/>
                <w:sz w:val="24"/>
                <w:szCs w:val="24"/>
              </w:rPr>
              <w:t>Maestra Concepción Valle, Puerto Argentino, José León Larre, Av. José Equiza.</w:t>
            </w:r>
          </w:p>
        </w:tc>
      </w:tr>
      <w:tr w:rsidR="00A117AB" w:rsidRPr="003A5CB5" w14:paraId="2F70796F" w14:textId="77777777" w:rsidTr="001F15A0">
        <w:trPr>
          <w:trHeight w:val="300"/>
        </w:trPr>
        <w:tc>
          <w:tcPr>
            <w:tcW w:w="780" w:type="dxa"/>
          </w:tcPr>
          <w:p w14:paraId="2CC4A9B2" w14:textId="77777777" w:rsidR="00A117AB" w:rsidRPr="003A5CB5" w:rsidRDefault="00A117AB" w:rsidP="00B13F83">
            <w:pPr>
              <w:jc w:val="both"/>
              <w:rPr>
                <w:rFonts w:eastAsia="Arial"/>
                <w:sz w:val="24"/>
                <w:szCs w:val="24"/>
              </w:rPr>
            </w:pPr>
            <w:r w:rsidRPr="003A5CB5">
              <w:rPr>
                <w:rFonts w:eastAsia="Arial"/>
                <w:sz w:val="24"/>
                <w:szCs w:val="24"/>
              </w:rPr>
              <w:t>14</w:t>
            </w:r>
          </w:p>
        </w:tc>
        <w:tc>
          <w:tcPr>
            <w:tcW w:w="2385" w:type="dxa"/>
          </w:tcPr>
          <w:p w14:paraId="0FAEDE52" w14:textId="77777777" w:rsidR="00A117AB" w:rsidRPr="003A5CB5" w:rsidRDefault="00A117AB" w:rsidP="00B13F83">
            <w:pPr>
              <w:jc w:val="both"/>
              <w:rPr>
                <w:rFonts w:eastAsia="Arial"/>
                <w:sz w:val="24"/>
                <w:szCs w:val="24"/>
              </w:rPr>
            </w:pPr>
            <w:r w:rsidRPr="003A5CB5">
              <w:rPr>
                <w:rFonts w:eastAsia="Arial"/>
                <w:sz w:val="24"/>
                <w:szCs w:val="24"/>
              </w:rPr>
              <w:t>Virrey del Pino</w:t>
            </w:r>
          </w:p>
        </w:tc>
        <w:tc>
          <w:tcPr>
            <w:tcW w:w="3270" w:type="dxa"/>
          </w:tcPr>
          <w:p w14:paraId="42939C4C" w14:textId="77777777" w:rsidR="00A117AB" w:rsidRPr="003A5CB5" w:rsidRDefault="00A117AB" w:rsidP="00B13F83">
            <w:pPr>
              <w:jc w:val="both"/>
              <w:rPr>
                <w:rFonts w:eastAsia="Arial"/>
                <w:sz w:val="24"/>
                <w:szCs w:val="24"/>
              </w:rPr>
            </w:pPr>
            <w:r w:rsidRPr="003A5CB5">
              <w:rPr>
                <w:rFonts w:eastAsia="Arial"/>
                <w:sz w:val="24"/>
                <w:szCs w:val="24"/>
              </w:rPr>
              <w:t>Plaza Virrey del Pino</w:t>
            </w:r>
          </w:p>
        </w:tc>
        <w:tc>
          <w:tcPr>
            <w:tcW w:w="2580" w:type="dxa"/>
          </w:tcPr>
          <w:p w14:paraId="33DFE567" w14:textId="77777777" w:rsidR="00A117AB" w:rsidRPr="003A5CB5" w:rsidRDefault="00A117AB" w:rsidP="00B13F83">
            <w:pPr>
              <w:jc w:val="both"/>
              <w:rPr>
                <w:rFonts w:eastAsia="Arial"/>
                <w:sz w:val="24"/>
                <w:szCs w:val="24"/>
              </w:rPr>
            </w:pPr>
            <w:r w:rsidRPr="003A5CB5">
              <w:rPr>
                <w:rFonts w:eastAsia="Arial"/>
                <w:sz w:val="24"/>
                <w:szCs w:val="24"/>
              </w:rPr>
              <w:t>José Gorostiaga y Cirilo Correa</w:t>
            </w:r>
          </w:p>
        </w:tc>
      </w:tr>
      <w:tr w:rsidR="00A117AB" w:rsidRPr="003A5CB5" w14:paraId="20BCBC23" w14:textId="77777777" w:rsidTr="001F15A0">
        <w:trPr>
          <w:trHeight w:val="300"/>
        </w:trPr>
        <w:tc>
          <w:tcPr>
            <w:tcW w:w="780" w:type="dxa"/>
          </w:tcPr>
          <w:p w14:paraId="08EF6913" w14:textId="77777777" w:rsidR="00A117AB" w:rsidRPr="003A5CB5" w:rsidRDefault="00A117AB" w:rsidP="00B13F83">
            <w:pPr>
              <w:jc w:val="both"/>
              <w:rPr>
                <w:rFonts w:eastAsia="Arial"/>
                <w:sz w:val="24"/>
                <w:szCs w:val="24"/>
              </w:rPr>
            </w:pPr>
            <w:r w:rsidRPr="003A5CB5">
              <w:rPr>
                <w:rFonts w:eastAsia="Arial"/>
                <w:sz w:val="24"/>
                <w:szCs w:val="24"/>
              </w:rPr>
              <w:t>15</w:t>
            </w:r>
          </w:p>
        </w:tc>
        <w:tc>
          <w:tcPr>
            <w:tcW w:w="2385" w:type="dxa"/>
          </w:tcPr>
          <w:p w14:paraId="639EB7E5" w14:textId="77777777" w:rsidR="00A117AB" w:rsidRPr="003A5CB5" w:rsidRDefault="00A117AB" w:rsidP="00B13F83">
            <w:pPr>
              <w:jc w:val="both"/>
              <w:rPr>
                <w:rFonts w:eastAsia="Arial"/>
                <w:sz w:val="24"/>
                <w:szCs w:val="24"/>
              </w:rPr>
            </w:pPr>
            <w:r w:rsidRPr="003A5CB5">
              <w:rPr>
                <w:rFonts w:eastAsia="Arial"/>
                <w:sz w:val="24"/>
                <w:szCs w:val="24"/>
              </w:rPr>
              <w:t>20 de Junio</w:t>
            </w:r>
          </w:p>
        </w:tc>
        <w:tc>
          <w:tcPr>
            <w:tcW w:w="3270" w:type="dxa"/>
          </w:tcPr>
          <w:p w14:paraId="5B01BCA8" w14:textId="77777777" w:rsidR="00A117AB" w:rsidRPr="003A5CB5" w:rsidRDefault="00A117AB" w:rsidP="00B13F83">
            <w:pPr>
              <w:jc w:val="both"/>
              <w:rPr>
                <w:rFonts w:eastAsia="Arial"/>
                <w:sz w:val="24"/>
                <w:szCs w:val="24"/>
              </w:rPr>
            </w:pPr>
            <w:r w:rsidRPr="003A5CB5">
              <w:rPr>
                <w:rFonts w:eastAsia="Arial"/>
                <w:sz w:val="24"/>
                <w:szCs w:val="24"/>
              </w:rPr>
              <w:t>Plaza San Martín</w:t>
            </w:r>
          </w:p>
        </w:tc>
        <w:tc>
          <w:tcPr>
            <w:tcW w:w="2580" w:type="dxa"/>
          </w:tcPr>
          <w:p w14:paraId="6CAF6B85" w14:textId="6A9EF82A" w:rsidR="00A117AB" w:rsidRPr="003A5CB5" w:rsidRDefault="00A117AB" w:rsidP="00B13F83">
            <w:pPr>
              <w:jc w:val="both"/>
              <w:rPr>
                <w:rFonts w:eastAsia="Arial"/>
                <w:sz w:val="24"/>
                <w:szCs w:val="24"/>
              </w:rPr>
            </w:pPr>
            <w:r w:rsidRPr="003A5CB5">
              <w:rPr>
                <w:rFonts w:eastAsia="Arial"/>
                <w:sz w:val="24"/>
                <w:szCs w:val="24"/>
              </w:rPr>
              <w:t xml:space="preserve">Alejo Castex, </w:t>
            </w:r>
            <w:r w:rsidR="00365D93" w:rsidRPr="003A5CB5">
              <w:rPr>
                <w:rFonts w:eastAsia="Arial"/>
                <w:sz w:val="24"/>
                <w:szCs w:val="24"/>
              </w:rPr>
              <w:t>Cosquín</w:t>
            </w:r>
            <w:r w:rsidRPr="003A5CB5">
              <w:rPr>
                <w:rFonts w:eastAsia="Arial"/>
                <w:sz w:val="24"/>
                <w:szCs w:val="24"/>
              </w:rPr>
              <w:t xml:space="preserve"> y Crucero</w:t>
            </w:r>
          </w:p>
        </w:tc>
      </w:tr>
      <w:tr w:rsidR="00A117AB" w:rsidRPr="003A5CB5" w14:paraId="3270FA15" w14:textId="77777777" w:rsidTr="001F15A0">
        <w:trPr>
          <w:trHeight w:val="300"/>
        </w:trPr>
        <w:tc>
          <w:tcPr>
            <w:tcW w:w="780" w:type="dxa"/>
          </w:tcPr>
          <w:p w14:paraId="038A5712" w14:textId="77777777" w:rsidR="00A117AB" w:rsidRPr="003A5CB5" w:rsidRDefault="00A117AB" w:rsidP="00B13F83">
            <w:pPr>
              <w:jc w:val="both"/>
              <w:rPr>
                <w:rFonts w:eastAsia="Arial"/>
                <w:sz w:val="24"/>
                <w:szCs w:val="24"/>
              </w:rPr>
            </w:pPr>
            <w:r w:rsidRPr="003A5CB5">
              <w:rPr>
                <w:rFonts w:eastAsia="Arial"/>
                <w:sz w:val="24"/>
                <w:szCs w:val="24"/>
              </w:rPr>
              <w:t>16</w:t>
            </w:r>
          </w:p>
        </w:tc>
        <w:tc>
          <w:tcPr>
            <w:tcW w:w="2385" w:type="dxa"/>
          </w:tcPr>
          <w:p w14:paraId="6D3B0489" w14:textId="77777777" w:rsidR="00A117AB" w:rsidRPr="003A5CB5" w:rsidRDefault="00A117AB" w:rsidP="00B13F83">
            <w:pPr>
              <w:jc w:val="both"/>
              <w:rPr>
                <w:rFonts w:eastAsia="Arial"/>
                <w:sz w:val="24"/>
                <w:szCs w:val="24"/>
              </w:rPr>
            </w:pPr>
            <w:r w:rsidRPr="003A5CB5">
              <w:rPr>
                <w:rFonts w:eastAsia="Arial"/>
                <w:sz w:val="24"/>
                <w:szCs w:val="24"/>
              </w:rPr>
              <w:t>La Tablada</w:t>
            </w:r>
          </w:p>
        </w:tc>
        <w:tc>
          <w:tcPr>
            <w:tcW w:w="3270" w:type="dxa"/>
          </w:tcPr>
          <w:p w14:paraId="0C29E20D" w14:textId="77777777" w:rsidR="00A117AB" w:rsidRPr="003A5CB5" w:rsidRDefault="00A117AB" w:rsidP="00B13F83">
            <w:pPr>
              <w:jc w:val="both"/>
              <w:rPr>
                <w:rFonts w:eastAsia="Arial"/>
                <w:sz w:val="24"/>
                <w:szCs w:val="24"/>
              </w:rPr>
            </w:pPr>
            <w:r w:rsidRPr="003A5CB5">
              <w:rPr>
                <w:rFonts w:eastAsia="Arial"/>
                <w:sz w:val="24"/>
                <w:szCs w:val="24"/>
              </w:rPr>
              <w:t>Plaza Manuel Belgrano</w:t>
            </w:r>
          </w:p>
        </w:tc>
        <w:tc>
          <w:tcPr>
            <w:tcW w:w="2580" w:type="dxa"/>
          </w:tcPr>
          <w:p w14:paraId="3DD1BDF3" w14:textId="77777777" w:rsidR="00A117AB" w:rsidRPr="003A5CB5" w:rsidRDefault="00A117AB" w:rsidP="00B13F83">
            <w:pPr>
              <w:jc w:val="both"/>
              <w:rPr>
                <w:rFonts w:eastAsia="Arial"/>
                <w:sz w:val="24"/>
                <w:szCs w:val="24"/>
              </w:rPr>
            </w:pPr>
            <w:r w:rsidRPr="003A5CB5">
              <w:rPr>
                <w:rFonts w:eastAsia="Arial"/>
                <w:sz w:val="24"/>
                <w:szCs w:val="24"/>
              </w:rPr>
              <w:t>Alvear, Coronel Olleros, Catriel, Gascón</w:t>
            </w:r>
          </w:p>
        </w:tc>
      </w:tr>
    </w:tbl>
    <w:p w14:paraId="3336B333" w14:textId="22F2A0CC" w:rsidR="00A117AB" w:rsidRPr="00434C2D" w:rsidRDefault="00434C2D" w:rsidP="00434C2D">
      <w:pPr>
        <w:shd w:val="clear" w:color="auto" w:fill="FFFFFF"/>
        <w:spacing w:line="240" w:lineRule="auto"/>
        <w:jc w:val="center"/>
        <w:rPr>
          <w:rFonts w:ascii="Times New Roman" w:eastAsia="Calibri" w:hAnsi="Times New Roman" w:cs="Times New Roman"/>
          <w:sz w:val="20"/>
          <w:szCs w:val="20"/>
        </w:rPr>
      </w:pPr>
      <w:r w:rsidRPr="00434C2D">
        <w:rPr>
          <w:rFonts w:ascii="Times New Roman" w:eastAsia="Calibri" w:hAnsi="Times New Roman" w:cs="Times New Roman"/>
          <w:sz w:val="20"/>
          <w:szCs w:val="20"/>
        </w:rPr>
        <w:t>Elaboración propia</w:t>
      </w:r>
    </w:p>
    <w:p w14:paraId="1CCE5A57" w14:textId="581FF0ED" w:rsidR="00DC6A11" w:rsidRPr="007F6A5A" w:rsidRDefault="00A117AB" w:rsidP="00DC6A11">
      <w:pPr>
        <w:shd w:val="clear" w:color="auto" w:fill="FFFFFF"/>
        <w:spacing w:after="0" w:line="240" w:lineRule="auto"/>
        <w:jc w:val="both"/>
        <w:rPr>
          <w:rFonts w:ascii="Times New Roman" w:eastAsia="Calibri" w:hAnsi="Times New Roman" w:cs="Times New Roman"/>
        </w:rPr>
      </w:pPr>
      <w:r w:rsidRPr="00AA2A3A">
        <w:rPr>
          <w:rFonts w:eastAsia="Calibri"/>
        </w:rPr>
        <w:br/>
      </w:r>
      <w:r w:rsidRPr="002B17E8">
        <w:rPr>
          <w:rFonts w:ascii="Times New Roman" w:eastAsia="Calibri" w:hAnsi="Times New Roman" w:cs="Times New Roman"/>
        </w:rPr>
        <w:t xml:space="preserve">Las técnicas de recolección de datos incluyen relevamientos documentales e históricos, que permiten reconstruir el contexto, evolución y significado cultural de cada espacio; observación participante e inventario de bienes culturales, para registrar sistemáticamente elementos materiales e inmateriales; análisis normativo en las tres jurisdicciones, para identificar el marco legal vigente que afecta a las plazas; y relevamiento de inversiones </w:t>
      </w:r>
      <w:r w:rsidRPr="007F6A5A">
        <w:rPr>
          <w:rFonts w:ascii="Times New Roman" w:eastAsia="Calibri" w:hAnsi="Times New Roman" w:cs="Times New Roman"/>
        </w:rPr>
        <w:t>municipales y programas público</w:t>
      </w:r>
      <w:r w:rsidR="007F6A5A">
        <w:rPr>
          <w:rFonts w:ascii="Times New Roman" w:eastAsia="Calibri" w:hAnsi="Times New Roman" w:cs="Times New Roman"/>
        </w:rPr>
        <w:t>s</w:t>
      </w:r>
      <w:r w:rsidRPr="007F6A5A">
        <w:rPr>
          <w:rFonts w:ascii="Times New Roman" w:eastAsia="Calibri" w:hAnsi="Times New Roman" w:cs="Times New Roman"/>
        </w:rPr>
        <w:t>.</w:t>
      </w:r>
    </w:p>
    <w:p w14:paraId="55DD0FB1" w14:textId="5B943562" w:rsidR="00304C52" w:rsidRPr="007F6A5A" w:rsidRDefault="00304C52" w:rsidP="00DC6A11">
      <w:pPr>
        <w:shd w:val="clear" w:color="auto" w:fill="FFFFFF"/>
        <w:spacing w:after="0" w:line="240" w:lineRule="auto"/>
        <w:jc w:val="both"/>
        <w:rPr>
          <w:rFonts w:ascii="Times New Roman" w:eastAsia="Calibri" w:hAnsi="Times New Roman" w:cs="Times New Roman"/>
        </w:rPr>
      </w:pPr>
      <w:r w:rsidRPr="007F6A5A">
        <w:rPr>
          <w:rFonts w:ascii="Times New Roman" w:eastAsia="Calibri" w:hAnsi="Times New Roman" w:cs="Times New Roman"/>
        </w:rPr>
        <w:t>Toda la información recopilada será el insumo primario de una base de datos de registro de los espacios en estudio, como capital de conocimiento que la universidad guardará y hará accesible para la consulta pública y estudios futuros, en espacios dedicados al acopio y procesamiento de datos, como es el Laboratorio de Datos del Departamento de Ciencias Económicas.</w:t>
      </w:r>
    </w:p>
    <w:p w14:paraId="1DED8044" w14:textId="785CD7C3" w:rsidR="00A117AB" w:rsidRPr="002B17E8" w:rsidRDefault="00A117AB" w:rsidP="00DC6A11">
      <w:pPr>
        <w:shd w:val="clear" w:color="auto" w:fill="FFFFFF"/>
        <w:spacing w:after="0" w:line="240" w:lineRule="auto"/>
        <w:jc w:val="both"/>
        <w:rPr>
          <w:rFonts w:ascii="Times New Roman" w:eastAsia="Calibri" w:hAnsi="Times New Roman" w:cs="Times New Roman"/>
        </w:rPr>
      </w:pPr>
      <w:r w:rsidRPr="007F6A5A">
        <w:rPr>
          <w:rFonts w:ascii="Times New Roman" w:eastAsia="Calibri" w:hAnsi="Times New Roman" w:cs="Times New Roman"/>
        </w:rPr>
        <w:t>Finalmente, la etapa de análisis se caracteriza por una articulación interdisciplinaria, que integra aportes históricos</w:t>
      </w:r>
      <w:r w:rsidRPr="002B17E8">
        <w:rPr>
          <w:rFonts w:ascii="Times New Roman" w:eastAsia="Calibri" w:hAnsi="Times New Roman" w:cs="Times New Roman"/>
        </w:rPr>
        <w:t xml:space="preserve">, jurídicos, económicos y culturales para una comprensión </w:t>
      </w:r>
      <w:r w:rsidRPr="00DC6A11">
        <w:rPr>
          <w:rFonts w:ascii="Times New Roman" w:eastAsia="Calibri" w:hAnsi="Times New Roman" w:cs="Times New Roman"/>
        </w:rPr>
        <w:t>holística y compleja (Carvajal, 2023).</w:t>
      </w:r>
    </w:p>
    <w:p w14:paraId="0692276D" w14:textId="77777777" w:rsidR="002B17E8" w:rsidRPr="002B17E8" w:rsidRDefault="00A117AB" w:rsidP="002B17E8">
      <w:pPr>
        <w:shd w:val="clear" w:color="auto" w:fill="FFFFFF"/>
        <w:spacing w:after="100" w:afterAutospacing="1"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Se proponen estudios de casos contrastantes:</w:t>
      </w:r>
    </w:p>
    <w:p w14:paraId="0AE1B5DE" w14:textId="4DD885CF" w:rsidR="002B17E8"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1 (San Justo - Plaza San Martín): Perfil cívico-institucional, donde el poder político y religioso ordena el uso del espacio.</w:t>
      </w:r>
    </w:p>
    <w:p w14:paraId="1F1E6AE6" w14:textId="3F2F0BBA"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2 (Laferrere - Plaza Perón): Perfil comercial y de apropiación masiva, evaluando el impacto de las ferias populares y el flujo peatonal masivo derivado del centro comercial y ferroviario</w:t>
      </w:r>
    </w:p>
    <w:p w14:paraId="6CF7BE90" w14:textId="77777777"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3: Ciudad Evita (Plaza Martín Miguel de Güemes). Esta plaza es destacada en las fuentes por su "particular valor arquitectónico y simbólico". Perfil: Vinculado a la planificación social de mediados del siglo XX y a la identidad del barrio. Se puede analizar bajo el lente de la apropiación simbólica y el sentido de pertenencia vecinal, observando cómo el diseño urbano original influye en la cohesión social actual</w:t>
      </w:r>
    </w:p>
    <w:p w14:paraId="77567F50" w14:textId="77777777"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 xml:space="preserve">Caso 4: Ciudad Madero (Plaza Malvinas Argentinas). Las fuentes resaltan el papel de las plazas como "escenarios de memoria colectiva", especialmente a través de monumentos conmemorativos.  Centrado en la función social de los monumentos, específicamente aquellos vinculados a la Guerra de Malvinas. </w:t>
      </w:r>
    </w:p>
    <w:p w14:paraId="79CC36BE" w14:textId="77777777" w:rsidR="002B17E8"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5: 20 de Junio (Plaza San Martín). La muestra incluye plazas que actúan como el espacio fundacional de sus respectivas localidades. Perfil: Localidad con características geográficas y sociales distintas a las zonas más densamente urbanizadas de La Matanza.. Enfoque de estudio: Analizar la plaza como el núcleo histórico que dio origen al entramado urbano local y su evolución como patrimonio cotidiano en una zona de menor densidad</w:t>
      </w:r>
    </w:p>
    <w:p w14:paraId="778B2C47" w14:textId="0110BA6A"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6: Ramos Mejía (Plaza Domingo Faustino Sarmiento) Perfil de Conectividad y Nodo Social: Representa el rol estructural de las plazas en la accesibilidad urbana en zonas de alta densidad. El enfoque sería evaluar cómo funciona como un nodo que vincula barrios, servicios y circuitos culturales en un contexto metropolitano</w:t>
      </w:r>
    </w:p>
    <w:p w14:paraId="312E8672" w14:textId="77777777"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7: Virrey del Pino o González Catán. Perfil de Equidad Territorial: Estos casos son fundamentales para evaluar las brechas en la distribución de espacios públicos y la calidad del equipamiento. El análisis se enfocaría en cómo el estado de conservación de estas plazas es un indicador directo de la calidad de vida y la equidad en el acceso a recursos urbanos en las localidades más alejadas del centro administrativo</w:t>
      </w:r>
    </w:p>
    <w:p w14:paraId="60E8978F" w14:textId="1EC3759F"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8: Tapiales (Plaza de la Bandera) y Villa Celina (Plazoleta triangular) - Perfil de Desarrollo Industrial y Migratorio. Este caso es sumamente sólido para validar tu análisis, ya que se apoya en la bibliografía específica del proyecto (como los trabajos de Biaggini</w:t>
      </w:r>
      <w:r w:rsidR="00516EB6">
        <w:rPr>
          <w:rFonts w:ascii="Times New Roman" w:eastAsia="Calibri" w:hAnsi="Times New Roman" w:cs="Times New Roman"/>
          <w:lang w:val="es-AR"/>
        </w:rPr>
        <w:t xml:space="preserve"> </w:t>
      </w:r>
      <w:r w:rsidR="00DC6A11">
        <w:rPr>
          <w:rFonts w:ascii="Times New Roman" w:eastAsia="Calibri" w:hAnsi="Times New Roman" w:cs="Times New Roman"/>
          <w:lang w:val="es-AR"/>
        </w:rPr>
        <w:t xml:space="preserve">(2016) </w:t>
      </w:r>
      <w:r w:rsidRPr="002B17E8">
        <w:rPr>
          <w:rFonts w:ascii="Times New Roman" w:eastAsia="Calibri" w:hAnsi="Times New Roman" w:cs="Times New Roman"/>
          <w:lang w:val="es-AR"/>
        </w:rPr>
        <w:t>sobre Tapiales y Villa Celina). Analizar cómo la plaza actúa como un "patrimonio cotidiano" en barrios cuya identidad está marcada por los procesos de industrialización y los flujos migratorios del siglo XX.</w:t>
      </w:r>
    </w:p>
    <w:p w14:paraId="560B221D" w14:textId="2048C1DD" w:rsidR="00A117AB" w:rsidRPr="00DC6A11"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 xml:space="preserve">Caso 9: Isidro Casanova (Plaza Hipólito </w:t>
      </w:r>
      <w:r w:rsidRPr="00DC6A11">
        <w:rPr>
          <w:rFonts w:ascii="Times New Roman" w:eastAsia="Calibri" w:hAnsi="Times New Roman" w:cs="Times New Roman"/>
          <w:lang w:val="es-AR"/>
        </w:rPr>
        <w:t xml:space="preserve">Yrigoyen) - Perfil de Identidad de "Pueblo" y Consolidación Institucional Basado en los estudios de </w:t>
      </w:r>
      <w:r w:rsidR="00DC6A11" w:rsidRPr="00DC6A11">
        <w:rPr>
          <w:rFonts w:ascii="Times New Roman" w:eastAsia="Calibri" w:hAnsi="Times New Roman" w:cs="Times New Roman"/>
          <w:lang w:val="es-AR"/>
        </w:rPr>
        <w:t>(</w:t>
      </w:r>
      <w:r w:rsidRPr="00DC6A11">
        <w:rPr>
          <w:rFonts w:ascii="Times New Roman" w:eastAsia="Calibri" w:hAnsi="Times New Roman" w:cs="Times New Roman"/>
          <w:lang w:val="es-AR"/>
        </w:rPr>
        <w:t>Enrique 2010)</w:t>
      </w:r>
      <w:r w:rsidR="00DC6A11">
        <w:rPr>
          <w:rFonts w:ascii="Times New Roman" w:eastAsia="Calibri" w:hAnsi="Times New Roman" w:cs="Times New Roman"/>
          <w:lang w:val="es-AR"/>
        </w:rPr>
        <w:t xml:space="preserve">, </w:t>
      </w:r>
      <w:r w:rsidRPr="00DC6A11">
        <w:rPr>
          <w:rFonts w:ascii="Times New Roman" w:eastAsia="Calibri" w:hAnsi="Times New Roman" w:cs="Times New Roman"/>
          <w:lang w:val="es-AR"/>
        </w:rPr>
        <w:t>esta plaza es un caso testigo de la transformación urbana. Estudiar la plaza como el núcleo de un "pueblo" que se convirtió en ciudad, donde las instituciones locales (sociedades de fomento, escuelas) han tenido un rol protagónico.</w:t>
      </w:r>
    </w:p>
    <w:p w14:paraId="04289239" w14:textId="0D615F6F"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DC6A11">
        <w:rPr>
          <w:rFonts w:ascii="Times New Roman" w:eastAsia="Calibri" w:hAnsi="Times New Roman" w:cs="Times New Roman"/>
          <w:lang w:val="es-AR"/>
        </w:rPr>
        <w:t>Caso 10: Lomas del Mirador (Plaza República Argentina / Güemes) - Perfil de Tensión entre Historia Local y Crecimiento Urba</w:t>
      </w:r>
      <w:r w:rsidR="00DC6A11">
        <w:rPr>
          <w:rFonts w:ascii="Times New Roman" w:eastAsia="Calibri" w:hAnsi="Times New Roman" w:cs="Times New Roman"/>
          <w:lang w:val="es-AR"/>
        </w:rPr>
        <w:t>na.</w:t>
      </w:r>
      <w:r w:rsidRPr="00DC6A11">
        <w:rPr>
          <w:rFonts w:ascii="Times New Roman" w:eastAsia="Calibri" w:hAnsi="Times New Roman" w:cs="Times New Roman"/>
          <w:lang w:val="es-AR"/>
        </w:rPr>
        <w:t xml:space="preserve"> Las fuentes también destacan la importancia de este territorio a través de las investigaciones de Biaggini (2016). Analizar una localidad con una fuerte tradición propia que ha quedado integrada en una zona de alta</w:t>
      </w:r>
      <w:r w:rsidRPr="002B17E8">
        <w:rPr>
          <w:rFonts w:ascii="Times New Roman" w:eastAsia="Calibri" w:hAnsi="Times New Roman" w:cs="Times New Roman"/>
          <w:lang w:val="es-AR"/>
        </w:rPr>
        <w:t xml:space="preserve"> densidad y tránsito.</w:t>
      </w:r>
    </w:p>
    <w:p w14:paraId="237E4676" w14:textId="2E484E71" w:rsidR="00A117AB" w:rsidRPr="002B17E8" w:rsidRDefault="00A117AB" w:rsidP="002B17E8">
      <w:pPr>
        <w:shd w:val="clear" w:color="auto" w:fill="FFFFFF"/>
        <w:spacing w:after="0" w:line="240" w:lineRule="auto"/>
        <w:jc w:val="both"/>
        <w:rPr>
          <w:rFonts w:ascii="Times New Roman" w:eastAsia="Calibri" w:hAnsi="Times New Roman" w:cs="Times New Roman"/>
          <w:lang w:val="es-AR"/>
        </w:rPr>
      </w:pPr>
      <w:r w:rsidRPr="002B17E8">
        <w:rPr>
          <w:rFonts w:ascii="Times New Roman" w:eastAsia="Calibri" w:hAnsi="Times New Roman" w:cs="Times New Roman"/>
          <w:lang w:val="es-AR"/>
        </w:rPr>
        <w:t>Caso 11: La Tablada (Plaza Manuel Belgrano) - Perfil de Tradición y Patrimonio Inmaterial. Como parte de la muestra representativa, este espacio permite observar la dimensión de los usos y costumbres. Centrarse en las dimensiones inmateriales del patrimonio (eventos, rituales, encuentros).</w:t>
      </w:r>
    </w:p>
    <w:p w14:paraId="3EFE4348" w14:textId="77777777" w:rsidR="00A117AB" w:rsidRDefault="00A117AB" w:rsidP="00A117AB">
      <w:pPr>
        <w:shd w:val="clear" w:color="auto" w:fill="FFFFFF"/>
        <w:spacing w:after="0" w:line="240" w:lineRule="auto"/>
        <w:jc w:val="both"/>
        <w:rPr>
          <w:rFonts w:eastAsia="Calibri"/>
          <w:lang w:val="es-AR"/>
        </w:rPr>
      </w:pPr>
    </w:p>
    <w:p w14:paraId="63CDD75F" w14:textId="77777777" w:rsidR="00A117AB" w:rsidRPr="00AA2A3A" w:rsidRDefault="00A117AB" w:rsidP="002B17E8">
      <w:pPr>
        <w:shd w:val="clear" w:color="auto" w:fill="FFFFFF"/>
        <w:spacing w:after="0" w:line="240" w:lineRule="auto"/>
        <w:jc w:val="both"/>
        <w:rPr>
          <w:rFonts w:eastAsia="Calibri"/>
          <w:lang w:val="es-AR"/>
        </w:rPr>
      </w:pPr>
    </w:p>
    <w:p w14:paraId="12CE0BCB" w14:textId="6310294F" w:rsidR="005F3B2E" w:rsidRDefault="005F3B2E" w:rsidP="002B17E8">
      <w:pPr>
        <w:spacing w:after="0" w:line="240" w:lineRule="auto"/>
        <w:rPr>
          <w:rFonts w:ascii="Times New Roman" w:hAnsi="Times New Roman" w:cs="Times New Roman"/>
          <w:b/>
          <w:bCs/>
        </w:rPr>
      </w:pPr>
      <w:r w:rsidRPr="007B5B5F">
        <w:rPr>
          <w:rFonts w:ascii="Times New Roman" w:hAnsi="Times New Roman" w:cs="Times New Roman"/>
          <w:b/>
          <w:bCs/>
        </w:rPr>
        <w:t>Conclusiones</w:t>
      </w:r>
    </w:p>
    <w:p w14:paraId="6FDADCB7" w14:textId="77777777" w:rsidR="00697BA3" w:rsidRPr="00697BA3" w:rsidRDefault="00697BA3" w:rsidP="002B17E8">
      <w:pPr>
        <w:spacing w:after="0" w:line="240" w:lineRule="auto"/>
        <w:rPr>
          <w:rFonts w:ascii="Times New Roman" w:hAnsi="Times New Roman" w:cs="Times New Roman"/>
        </w:rPr>
      </w:pPr>
    </w:p>
    <w:p w14:paraId="25CF938E" w14:textId="1E243A4B" w:rsidR="00697BA3" w:rsidRDefault="00697BA3" w:rsidP="00697BA3">
      <w:pPr>
        <w:spacing w:after="0" w:line="240" w:lineRule="auto"/>
        <w:jc w:val="both"/>
        <w:rPr>
          <w:rFonts w:ascii="Times New Roman" w:hAnsi="Times New Roman" w:cs="Times New Roman"/>
          <w:lang w:val="es-AR"/>
        </w:rPr>
      </w:pPr>
      <w:r w:rsidRPr="00697BA3">
        <w:rPr>
          <w:rFonts w:ascii="Times New Roman" w:hAnsi="Times New Roman" w:cs="Times New Roman"/>
          <w:lang w:val="es-AR"/>
        </w:rPr>
        <w:t>La investigación realizada hasta esta etapa permite identificar tres hallazgos fundamentales que trascienden el análisis descriptivo</w:t>
      </w:r>
      <w:r>
        <w:rPr>
          <w:rFonts w:ascii="Times New Roman" w:hAnsi="Times New Roman" w:cs="Times New Roman"/>
          <w:lang w:val="es-AR"/>
        </w:rPr>
        <w:t>, en primer lugar p</w:t>
      </w:r>
      <w:r w:rsidRPr="00697BA3">
        <w:rPr>
          <w:rFonts w:ascii="Times New Roman" w:hAnsi="Times New Roman" w:cs="Times New Roman"/>
          <w:lang w:val="es-AR"/>
        </w:rPr>
        <w:t xml:space="preserve">ersistencia de una lógica fragmentada de gestión: </w:t>
      </w:r>
      <w:r>
        <w:rPr>
          <w:rFonts w:ascii="Times New Roman" w:hAnsi="Times New Roman" w:cs="Times New Roman"/>
          <w:lang w:val="es-AR"/>
        </w:rPr>
        <w:t>s</w:t>
      </w:r>
      <w:r w:rsidRPr="00697BA3">
        <w:rPr>
          <w:rFonts w:ascii="Times New Roman" w:hAnsi="Times New Roman" w:cs="Times New Roman"/>
          <w:lang w:val="es-AR"/>
        </w:rPr>
        <w:t>e observa que el espacio público suele ser abordado bajo una visión exclusivamente urbanística o higienista, lo que invisibiliza su dimensión como patrimonio cotidiano y portador de memoria colectiva</w:t>
      </w:r>
      <w:r>
        <w:rPr>
          <w:rFonts w:ascii="Times New Roman" w:hAnsi="Times New Roman" w:cs="Times New Roman"/>
          <w:lang w:val="es-AR"/>
        </w:rPr>
        <w:t>; en segundo lugar, s</w:t>
      </w:r>
      <w:r w:rsidRPr="00697BA3">
        <w:rPr>
          <w:rFonts w:ascii="Times New Roman" w:hAnsi="Times New Roman" w:cs="Times New Roman"/>
          <w:lang w:val="es-AR"/>
        </w:rPr>
        <w:t>ubvaloración sistemática del capital inmaterial:</w:t>
      </w:r>
      <w:r>
        <w:rPr>
          <w:rFonts w:ascii="Times New Roman" w:hAnsi="Times New Roman" w:cs="Times New Roman"/>
          <w:lang w:val="es-AR"/>
        </w:rPr>
        <w:t xml:space="preserve"> e</w:t>
      </w:r>
      <w:r w:rsidRPr="00697BA3">
        <w:rPr>
          <w:rFonts w:ascii="Times New Roman" w:hAnsi="Times New Roman" w:cs="Times New Roman"/>
          <w:lang w:val="es-AR"/>
        </w:rPr>
        <w:t>xiste una brecha en los sistemas de registro tradicionales que priorizan métricas fiscales o comerciales, ignorando los beneficios sociales, culturales y ambientales que estas plazas generan para la comunidad</w:t>
      </w:r>
      <w:r>
        <w:rPr>
          <w:rFonts w:ascii="Times New Roman" w:hAnsi="Times New Roman" w:cs="Times New Roman"/>
          <w:lang w:val="es-AR"/>
        </w:rPr>
        <w:t xml:space="preserve"> y por último, e</w:t>
      </w:r>
      <w:r w:rsidRPr="00697BA3">
        <w:rPr>
          <w:rFonts w:ascii="Times New Roman" w:hAnsi="Times New Roman" w:cs="Times New Roman"/>
          <w:lang w:val="es-AR"/>
        </w:rPr>
        <w:t>l estado de conservación y la calidad de la infraestructura en las dieciséis localidades revelan disparidades significativas que actúan como indicadores directos de brechas en la equidad territorial y la calidad de vida de los vecinos.</w:t>
      </w:r>
    </w:p>
    <w:p w14:paraId="275C6B34" w14:textId="6EDD1647" w:rsidR="00697BA3" w:rsidRPr="00697BA3" w:rsidRDefault="00697BA3" w:rsidP="00697BA3">
      <w:pPr>
        <w:spacing w:after="0" w:line="240" w:lineRule="auto"/>
        <w:rPr>
          <w:rFonts w:ascii="Times New Roman" w:hAnsi="Times New Roman" w:cs="Times New Roman"/>
          <w:lang w:val="es-AR"/>
        </w:rPr>
      </w:pPr>
      <w:r w:rsidRPr="00697BA3">
        <w:rPr>
          <w:rFonts w:ascii="Times New Roman" w:hAnsi="Times New Roman" w:cs="Times New Roman"/>
          <w:lang w:val="es-AR"/>
        </w:rPr>
        <w:t>A partir de estos hallazgos, se concluye que las plazas del Partido de La Matanza no deben ser comprendidas meramente como pulmones verdes o espacios de descanso pasivo, sino como documentos históricos vivos que reflejan de manera tangible el crecimiento y la complejidad del conurbano bonaerense. Su valor se consolida en un territorio donde se entrelazan la memoria colectiva, la identidad territorial y las prácticas de la economía popula</w:t>
      </w:r>
      <w:r>
        <w:rPr>
          <w:rFonts w:ascii="Times New Roman" w:hAnsi="Times New Roman" w:cs="Times New Roman"/>
          <w:lang w:val="es-AR"/>
        </w:rPr>
        <w:t>r</w:t>
      </w:r>
    </w:p>
    <w:p w14:paraId="7FCCA4BF" w14:textId="77777777" w:rsidR="00A117AB" w:rsidRPr="00A117AB" w:rsidRDefault="00A117AB" w:rsidP="002B17E8">
      <w:pPr>
        <w:spacing w:after="0" w:line="240" w:lineRule="auto"/>
        <w:jc w:val="both"/>
        <w:rPr>
          <w:rFonts w:ascii="Times New Roman" w:hAnsi="Times New Roman" w:cs="Times New Roman"/>
          <w:lang w:val="es-AR"/>
        </w:rPr>
      </w:pPr>
      <w:r w:rsidRPr="00A117AB">
        <w:rPr>
          <w:rFonts w:ascii="Times New Roman" w:hAnsi="Times New Roman" w:cs="Times New Roman"/>
          <w:lang w:val="es-AR"/>
        </w:rPr>
        <w:t>Las plazas del Partido de La Matanza no deben ser comprendidas meramente como pulmones verdes o espacios de descanso pasivo, sino como documentos históricos vivos que reflejan de manera tangible el crecimiento y la complejidad del conurbano bonaerense. La investigación realizada hasta esta etapa permite concluir que el valor de estos espacios trasciende lo urbanístico, consolidándose como un patrimonio cotidiano donde se entrelazan la memoria colectiva, la identidad territorial y las prácticas de la economía popular.</w:t>
      </w:r>
    </w:p>
    <w:p w14:paraId="68D92F9E" w14:textId="77777777" w:rsidR="00A117AB" w:rsidRPr="00A117AB" w:rsidRDefault="00A117AB" w:rsidP="002B17E8">
      <w:pPr>
        <w:spacing w:after="0" w:line="240" w:lineRule="auto"/>
        <w:jc w:val="both"/>
        <w:rPr>
          <w:rFonts w:ascii="Times New Roman" w:hAnsi="Times New Roman" w:cs="Times New Roman"/>
          <w:lang w:val="es-AR"/>
        </w:rPr>
      </w:pPr>
      <w:r w:rsidRPr="00A117AB">
        <w:rPr>
          <w:rFonts w:ascii="Times New Roman" w:hAnsi="Times New Roman" w:cs="Times New Roman"/>
          <w:lang w:val="es-AR"/>
        </w:rPr>
        <w:t>A partir del análisis interdisciplinario, se evidencia la necesidad crítica de transitar hacia un modelo de gestión integral que logre equilibrar la rigidez de los marcos normativos con la flexibilidad que exige la realidad socioeconómica del distrito. Mientras que la dimensión jurídica asegura la inalienabilidad de estos predios bajo la figura de distritos de Urbanización Parque y Espacio Verde (UP/EV), la dimensión social revela que la plaza actúa como un refugio vital para la economía social y solidaria, donde el Estado municipal prioriza la inclusión mediante exenciones impositivas y permisos precarios para sectores vulnerables.</w:t>
      </w:r>
    </w:p>
    <w:p w14:paraId="6F04A087" w14:textId="0F8DA4A9" w:rsidR="00A117AB" w:rsidRPr="00A117AB" w:rsidRDefault="00A117AB" w:rsidP="002B17E8">
      <w:pPr>
        <w:spacing w:after="0" w:line="240" w:lineRule="auto"/>
        <w:jc w:val="both"/>
        <w:rPr>
          <w:rFonts w:ascii="Times New Roman" w:hAnsi="Times New Roman" w:cs="Times New Roman"/>
          <w:lang w:val="es-AR"/>
        </w:rPr>
      </w:pPr>
      <w:r w:rsidRPr="00A117AB">
        <w:rPr>
          <w:rFonts w:ascii="Times New Roman" w:hAnsi="Times New Roman" w:cs="Times New Roman"/>
          <w:lang w:val="es-AR"/>
        </w:rPr>
        <w:t xml:space="preserve">Desde la perspectiva económica y contable, se concluye que "no es factible administrar los recursos si se los ignora". La implementación de herramientas innovadoras como el Balance Social y los lineamientos del </w:t>
      </w:r>
      <w:r w:rsidR="00F60E4A" w:rsidRPr="00F60E4A">
        <w:rPr>
          <w:rFonts w:ascii="Times New Roman" w:hAnsi="Times New Roman" w:cs="Times New Roman"/>
        </w:rPr>
        <w:t>instrumento de valoración integral</w:t>
      </w:r>
      <w:r w:rsidR="00F60E4A">
        <w:rPr>
          <w:rFonts w:ascii="Times New Roman" w:hAnsi="Times New Roman" w:cs="Times New Roman"/>
        </w:rPr>
        <w:t xml:space="preserve">, </w:t>
      </w:r>
      <w:r w:rsidRPr="00A117AB">
        <w:rPr>
          <w:rFonts w:ascii="Times New Roman" w:hAnsi="Times New Roman" w:cs="Times New Roman"/>
          <w:lang w:val="es-AR"/>
        </w:rPr>
        <w:t>resulta indispensable para cuantificar los beneficios sociales, culturales y ambientales que las métricas financieras tradicionales suelen invisibilizar. El reconocimiento de los recursos naturales y culturales como activos</w:t>
      </w:r>
      <w:r w:rsidR="00516EB6">
        <w:rPr>
          <w:rFonts w:ascii="Times New Roman" w:hAnsi="Times New Roman" w:cs="Times New Roman"/>
          <w:lang w:val="es-AR"/>
        </w:rPr>
        <w:t xml:space="preserve">, </w:t>
      </w:r>
      <w:r w:rsidRPr="00A117AB">
        <w:rPr>
          <w:rFonts w:ascii="Times New Roman" w:hAnsi="Times New Roman" w:cs="Times New Roman"/>
          <w:lang w:val="es-AR"/>
        </w:rPr>
        <w:t>en sintonía con el nuevo Plan de Cuentas 2025 para el Sector Público</w:t>
      </w:r>
      <w:r w:rsidR="00516EB6">
        <w:rPr>
          <w:rFonts w:ascii="Times New Roman" w:hAnsi="Times New Roman" w:cs="Times New Roman"/>
          <w:lang w:val="es-AR"/>
        </w:rPr>
        <w:t xml:space="preserve">, </w:t>
      </w:r>
      <w:r w:rsidRPr="00A117AB">
        <w:rPr>
          <w:rFonts w:ascii="Times New Roman" w:hAnsi="Times New Roman" w:cs="Times New Roman"/>
          <w:lang w:val="es-AR"/>
        </w:rPr>
        <w:t>representa un avance fundamental hacia una rendición de cuentas integral que garantice el derecho de las futuras generaciones a disfrutar de estos bienes.</w:t>
      </w:r>
    </w:p>
    <w:p w14:paraId="6C0C5384" w14:textId="77777777" w:rsidR="00304C52" w:rsidRPr="007F6A5A" w:rsidRDefault="00A117AB" w:rsidP="002B17E8">
      <w:pPr>
        <w:spacing w:after="0" w:line="240" w:lineRule="auto"/>
        <w:jc w:val="both"/>
        <w:rPr>
          <w:rFonts w:ascii="Times New Roman" w:hAnsi="Times New Roman" w:cs="Times New Roman"/>
          <w:lang w:val="es-AR"/>
        </w:rPr>
      </w:pPr>
      <w:r w:rsidRPr="00A117AB">
        <w:rPr>
          <w:rFonts w:ascii="Times New Roman" w:hAnsi="Times New Roman" w:cs="Times New Roman"/>
          <w:lang w:val="es-AR"/>
        </w:rPr>
        <w:t xml:space="preserve">Finalmente, el desarrollo de una base de datos georreferenciada de acceso público se proyecta como el principal instrumento de transferencia territorial. Esta herramienta permitirá transformar el conocimiento académico en insumos estratégicos para la planificación de políticas públicas basadas en evidencia, promoviendo la equidad en el </w:t>
      </w:r>
      <w:r w:rsidRPr="007F6A5A">
        <w:rPr>
          <w:rFonts w:ascii="Times New Roman" w:hAnsi="Times New Roman" w:cs="Times New Roman"/>
          <w:lang w:val="es-AR"/>
        </w:rPr>
        <w:t xml:space="preserve">acceso, el fortalecimiento del capital comunitario y la sostenibilidad de los espacios públicos. </w:t>
      </w:r>
    </w:p>
    <w:p w14:paraId="2E5AD1F8" w14:textId="0810B059" w:rsidR="00304C52" w:rsidRDefault="00304C52" w:rsidP="002B17E8">
      <w:pPr>
        <w:spacing w:after="0" w:line="240" w:lineRule="auto"/>
        <w:jc w:val="both"/>
        <w:rPr>
          <w:rFonts w:ascii="Times New Roman" w:hAnsi="Times New Roman" w:cs="Times New Roman"/>
          <w:lang w:val="es-AR"/>
        </w:rPr>
      </w:pPr>
      <w:r w:rsidRPr="007F6A5A">
        <w:rPr>
          <w:rFonts w:ascii="Times New Roman" w:hAnsi="Times New Roman" w:cs="Times New Roman"/>
          <w:lang w:val="es-AR"/>
        </w:rPr>
        <w:t xml:space="preserve">Así el rol de la universidad como </w:t>
      </w:r>
      <w:r w:rsidR="007B433A" w:rsidRPr="007F6A5A">
        <w:rPr>
          <w:rFonts w:ascii="Times New Roman" w:hAnsi="Times New Roman" w:cs="Times New Roman"/>
          <w:lang w:val="es-AR"/>
        </w:rPr>
        <w:t xml:space="preserve">observadora calificada de potenciales territoriales evidencia la necesidad, o más aún, la responsabilidad de reconfigurarse como un espacio de generación de conocimiento que redunde en una toma de conciencia de las capacidades de su entorno, como también de la comunicación y </w:t>
      </w:r>
      <w:proofErr w:type="spellStart"/>
      <w:r w:rsidR="007B433A" w:rsidRPr="007F6A5A">
        <w:rPr>
          <w:rFonts w:ascii="Times New Roman" w:hAnsi="Times New Roman" w:cs="Times New Roman"/>
          <w:lang w:val="es-AR"/>
        </w:rPr>
        <w:t>disponibilización</w:t>
      </w:r>
      <w:proofErr w:type="spellEnd"/>
      <w:r w:rsidR="007B433A" w:rsidRPr="007F6A5A">
        <w:rPr>
          <w:rFonts w:ascii="Times New Roman" w:hAnsi="Times New Roman" w:cs="Times New Roman"/>
          <w:lang w:val="es-AR"/>
        </w:rPr>
        <w:t xml:space="preserve"> de toda la información que avale los resultados obtenidos en sus desarrollos.</w:t>
      </w:r>
    </w:p>
    <w:p w14:paraId="1F8F5CF9" w14:textId="220AC8AC" w:rsidR="00A117AB" w:rsidRPr="00A117AB" w:rsidRDefault="007B433A" w:rsidP="002B17E8">
      <w:pPr>
        <w:spacing w:after="0" w:line="240" w:lineRule="auto"/>
        <w:jc w:val="both"/>
        <w:rPr>
          <w:rFonts w:ascii="Times New Roman" w:hAnsi="Times New Roman" w:cs="Times New Roman"/>
          <w:lang w:val="es-AR"/>
        </w:rPr>
      </w:pPr>
      <w:r>
        <w:rPr>
          <w:rFonts w:ascii="Times New Roman" w:hAnsi="Times New Roman" w:cs="Times New Roman"/>
          <w:lang w:val="es-AR"/>
        </w:rPr>
        <w:t>De esta manera</w:t>
      </w:r>
      <w:r w:rsidR="00A117AB" w:rsidRPr="00A117AB">
        <w:rPr>
          <w:rFonts w:ascii="Times New Roman" w:hAnsi="Times New Roman" w:cs="Times New Roman"/>
          <w:lang w:val="es-AR"/>
        </w:rPr>
        <w:t xml:space="preserve">, esta investigación reafirma el compromiso de la universidad con su </w:t>
      </w:r>
      <w:r>
        <w:rPr>
          <w:rFonts w:ascii="Times New Roman" w:hAnsi="Times New Roman" w:cs="Times New Roman"/>
          <w:lang w:val="es-AR"/>
        </w:rPr>
        <w:t>comunidad de cercanía</w:t>
      </w:r>
      <w:r w:rsidR="00A117AB" w:rsidRPr="00A117AB">
        <w:rPr>
          <w:rFonts w:ascii="Times New Roman" w:hAnsi="Times New Roman" w:cs="Times New Roman"/>
          <w:lang w:val="es-AR"/>
        </w:rPr>
        <w:t>, demostrando que la puesta en valor</w:t>
      </w:r>
      <w:r>
        <w:rPr>
          <w:rFonts w:ascii="Times New Roman" w:hAnsi="Times New Roman" w:cs="Times New Roman"/>
          <w:lang w:val="es-AR"/>
        </w:rPr>
        <w:t xml:space="preserve">, en este caso </w:t>
      </w:r>
      <w:r w:rsidR="00A117AB" w:rsidRPr="00A117AB">
        <w:rPr>
          <w:rFonts w:ascii="Times New Roman" w:hAnsi="Times New Roman" w:cs="Times New Roman"/>
          <w:lang w:val="es-AR"/>
        </w:rPr>
        <w:t>de la plaza</w:t>
      </w:r>
      <w:r>
        <w:rPr>
          <w:rFonts w:ascii="Times New Roman" w:hAnsi="Times New Roman" w:cs="Times New Roman"/>
          <w:lang w:val="es-AR"/>
        </w:rPr>
        <w:t xml:space="preserve"> como espacio</w:t>
      </w:r>
      <w:r w:rsidR="00887EFB">
        <w:rPr>
          <w:rFonts w:ascii="Times New Roman" w:hAnsi="Times New Roman" w:cs="Times New Roman"/>
          <w:lang w:val="es-AR"/>
        </w:rPr>
        <w:t xml:space="preserve"> de pertenencia</w:t>
      </w:r>
      <w:r w:rsidR="00A117AB" w:rsidRPr="00A117AB">
        <w:rPr>
          <w:rFonts w:ascii="Times New Roman" w:hAnsi="Times New Roman" w:cs="Times New Roman"/>
          <w:lang w:val="es-AR"/>
        </w:rPr>
        <w:t xml:space="preserve"> es, esencialmente, una puesta en valor del bien común y la calidad de vida de los ciudadanos de La Matanza</w:t>
      </w:r>
      <w:r w:rsidR="00AB63ED">
        <w:rPr>
          <w:rFonts w:ascii="Times New Roman" w:hAnsi="Times New Roman" w:cs="Times New Roman"/>
          <w:lang w:val="es-AR"/>
        </w:rPr>
        <w:t>.</w:t>
      </w:r>
    </w:p>
    <w:p w14:paraId="2F2CBE22" w14:textId="10AE0A45" w:rsidR="00766B28" w:rsidRDefault="008621C4" w:rsidP="002B17E8">
      <w:pPr>
        <w:spacing w:after="0" w:line="240" w:lineRule="auto"/>
        <w:jc w:val="both"/>
        <w:rPr>
          <w:rFonts w:ascii="Times New Roman" w:hAnsi="Times New Roman" w:cs="Times New Roman"/>
          <w:lang w:val="es-AR"/>
        </w:rPr>
      </w:pPr>
      <w:r w:rsidRPr="008621C4">
        <w:rPr>
          <w:rFonts w:ascii="Times New Roman" w:hAnsi="Times New Roman" w:cs="Times New Roman"/>
          <w:lang w:val="es-AR"/>
        </w:rPr>
        <w:t xml:space="preserve">. </w:t>
      </w:r>
    </w:p>
    <w:p w14:paraId="6FE4B24B" w14:textId="77777777" w:rsidR="008621C4" w:rsidRPr="002B17E8" w:rsidRDefault="008621C4" w:rsidP="008621C4">
      <w:pPr>
        <w:spacing w:line="240" w:lineRule="auto"/>
        <w:rPr>
          <w:rFonts w:ascii="Times New Roman" w:hAnsi="Times New Roman" w:cs="Times New Roman"/>
          <w:lang w:val="es-AR"/>
        </w:rPr>
      </w:pPr>
    </w:p>
    <w:p w14:paraId="39B57161" w14:textId="1C1EED1B" w:rsidR="005F3B2E" w:rsidRPr="002B17E8" w:rsidRDefault="005F3B2E" w:rsidP="002B17E8">
      <w:pPr>
        <w:spacing w:after="0" w:line="240" w:lineRule="auto"/>
        <w:ind w:left="709" w:hanging="709"/>
        <w:rPr>
          <w:rFonts w:ascii="Times New Roman" w:hAnsi="Times New Roman" w:cs="Times New Roman"/>
          <w:b/>
          <w:bCs/>
        </w:rPr>
      </w:pPr>
      <w:r w:rsidRPr="002B17E8">
        <w:rPr>
          <w:rFonts w:ascii="Times New Roman" w:hAnsi="Times New Roman" w:cs="Times New Roman"/>
          <w:b/>
          <w:bCs/>
        </w:rPr>
        <w:t xml:space="preserve">Referencias Bibliográficas </w:t>
      </w:r>
    </w:p>
    <w:p w14:paraId="27D392F0" w14:textId="77777777" w:rsidR="004028AF" w:rsidRDefault="00A117AB" w:rsidP="004028AF">
      <w:pPr>
        <w:shd w:val="clear" w:color="auto" w:fill="FFFFFF"/>
        <w:spacing w:after="0" w:line="240" w:lineRule="auto"/>
        <w:ind w:left="709" w:hanging="709"/>
        <w:jc w:val="both"/>
        <w:rPr>
          <w:rFonts w:ascii="Arial" w:eastAsia="Arial" w:hAnsi="Arial" w:cs="Arial"/>
          <w:kern w:val="0"/>
          <w:sz w:val="22"/>
          <w:szCs w:val="22"/>
          <w:lang w:val="pt-BR" w:eastAsia="es-ES"/>
          <w14:ligatures w14:val="none"/>
        </w:rPr>
      </w:pPr>
      <w:r w:rsidRPr="002B17E8">
        <w:rPr>
          <w:rFonts w:ascii="Times New Roman" w:eastAsia="Calibri" w:hAnsi="Times New Roman" w:cs="Times New Roman"/>
          <w:lang w:val="es-AR"/>
        </w:rPr>
        <w:t>Agostino, H. N. (2011, junio). Las fechas fundacionales en la historia del partido de La Matanza. Carta Informativa, (26), 4-22.</w:t>
      </w:r>
      <w:r w:rsidR="004A6755">
        <w:rPr>
          <w:rFonts w:ascii="Times New Roman" w:eastAsia="Calibri" w:hAnsi="Times New Roman" w:cs="Times New Roman"/>
          <w:lang w:val="es-AR"/>
        </w:rPr>
        <w:t xml:space="preserve"> </w:t>
      </w:r>
      <w:hyperlink r:id="rId9">
        <w:r w:rsidR="004A6755" w:rsidRPr="00516EB6">
          <w:rPr>
            <w:rFonts w:ascii="Times New Roman" w:eastAsia="Arial" w:hAnsi="Times New Roman" w:cs="Times New Roman"/>
            <w:color w:val="0563C1"/>
            <w:kern w:val="0"/>
            <w:u w:val="single"/>
            <w:lang w:val="pt-BR" w:eastAsia="es-ES"/>
            <w14:ligatures w14:val="none"/>
          </w:rPr>
          <w:t>https://juntahistorica.unlam.edu.ar/index.php?seccion=11&amp;idArticulo=48</w:t>
        </w:r>
      </w:hyperlink>
      <w:r w:rsidR="004A6755" w:rsidRPr="004A6755">
        <w:rPr>
          <w:rFonts w:ascii="Arial" w:eastAsia="Arial" w:hAnsi="Arial" w:cs="Arial"/>
          <w:kern w:val="0"/>
          <w:sz w:val="22"/>
          <w:szCs w:val="22"/>
          <w:lang w:val="pt-BR" w:eastAsia="es-ES"/>
          <w14:ligatures w14:val="none"/>
        </w:rPr>
        <w:t xml:space="preserve"> </w:t>
      </w:r>
    </w:p>
    <w:p w14:paraId="7D647CB4" w14:textId="77777777" w:rsidR="004028AF" w:rsidRPr="004028AF" w:rsidRDefault="004028AF" w:rsidP="004028AF">
      <w:pPr>
        <w:shd w:val="clear" w:color="auto" w:fill="FFFFFF"/>
        <w:spacing w:after="0" w:line="240" w:lineRule="auto"/>
        <w:ind w:left="709" w:hanging="709"/>
        <w:jc w:val="both"/>
        <w:rPr>
          <w:rFonts w:ascii="Times New Roman" w:eastAsia="Calibri" w:hAnsi="Times New Roman" w:cs="Times New Roman"/>
          <w:lang w:val="es-AR"/>
        </w:rPr>
      </w:pPr>
      <w:r w:rsidRPr="004028AF">
        <w:rPr>
          <w:rFonts w:ascii="Times New Roman" w:eastAsia="Calibri" w:hAnsi="Times New Roman" w:cs="Times New Roman"/>
          <w:lang w:val="es-AR"/>
        </w:rPr>
        <w:t>Armus, D., y Bohoslavsky, E. (2015) “Vivienda Popular y Asociacionismo en el Gran</w:t>
      </w:r>
    </w:p>
    <w:p w14:paraId="2E83C324" w14:textId="0E99B949" w:rsidR="004028AF" w:rsidRDefault="004028AF" w:rsidP="004028AF">
      <w:pPr>
        <w:shd w:val="clear" w:color="auto" w:fill="FFFFFF"/>
        <w:spacing w:after="0" w:line="240" w:lineRule="auto"/>
        <w:jc w:val="both"/>
        <w:rPr>
          <w:rFonts w:ascii="Times New Roman" w:eastAsia="Calibri" w:hAnsi="Times New Roman" w:cs="Times New Roman"/>
          <w:lang w:val="es-AR"/>
        </w:rPr>
      </w:pPr>
      <w:r w:rsidRPr="004028AF">
        <w:rPr>
          <w:rFonts w:ascii="Times New Roman" w:eastAsia="Calibri" w:hAnsi="Times New Roman" w:cs="Times New Roman"/>
          <w:lang w:val="es-AR"/>
        </w:rPr>
        <w:t xml:space="preserve">Buenos Aires (1900-1976). </w:t>
      </w:r>
      <w:r w:rsidRPr="004028AF">
        <w:rPr>
          <w:rFonts w:ascii="Times New Roman" w:eastAsia="Calibri" w:hAnsi="Times New Roman" w:cs="Times New Roman"/>
          <w:i/>
          <w:iCs/>
          <w:lang w:val="es-AR"/>
        </w:rPr>
        <w:t>Historia de la Provincia de Bueno</w:t>
      </w:r>
      <w:r>
        <w:rPr>
          <w:rFonts w:ascii="Times New Roman" w:eastAsia="Calibri" w:hAnsi="Times New Roman" w:cs="Times New Roman"/>
          <w:i/>
          <w:iCs/>
          <w:lang w:val="es-AR"/>
        </w:rPr>
        <w:t>s</w:t>
      </w:r>
      <w:r w:rsidRPr="004028AF">
        <w:rPr>
          <w:rFonts w:ascii="Times New Roman" w:eastAsia="Calibri" w:hAnsi="Times New Roman" w:cs="Times New Roman"/>
          <w:i/>
          <w:iCs/>
          <w:lang w:val="es-AR"/>
        </w:rPr>
        <w:t xml:space="preserve"> Aires.</w:t>
      </w:r>
      <w:r>
        <w:rPr>
          <w:rFonts w:ascii="Times New Roman" w:eastAsia="Calibri" w:hAnsi="Times New Roman" w:cs="Times New Roman"/>
          <w:i/>
          <w:iCs/>
          <w:lang w:val="es-AR"/>
        </w:rPr>
        <w:t xml:space="preserve"> </w:t>
      </w:r>
      <w:r w:rsidRPr="004028AF">
        <w:rPr>
          <w:rFonts w:ascii="Times New Roman" w:eastAsia="Calibri" w:hAnsi="Times New Roman" w:cs="Times New Roman"/>
          <w:i/>
          <w:iCs/>
          <w:lang w:val="es-AR"/>
        </w:rPr>
        <w:t xml:space="preserve">Tomo 6. El gran Buenos Aires. Buenos Aires y Gonnet: </w:t>
      </w:r>
      <w:r w:rsidRPr="004028AF">
        <w:rPr>
          <w:rFonts w:ascii="Times New Roman" w:eastAsia="Calibri" w:hAnsi="Times New Roman" w:cs="Times New Roman"/>
          <w:lang w:val="es-AR"/>
        </w:rPr>
        <w:t>EDHASA y UNIPE.</w:t>
      </w:r>
    </w:p>
    <w:p w14:paraId="4C9BEF1A" w14:textId="2C827194" w:rsidR="002B17E8" w:rsidRPr="002B17E8" w:rsidRDefault="00A117AB" w:rsidP="004028AF">
      <w:pPr>
        <w:shd w:val="clear" w:color="auto" w:fill="FFFFFF"/>
        <w:spacing w:after="0" w:line="240" w:lineRule="auto"/>
        <w:ind w:left="709" w:hanging="709"/>
        <w:jc w:val="both"/>
        <w:rPr>
          <w:rFonts w:ascii="Times New Roman" w:eastAsia="Calibri" w:hAnsi="Times New Roman" w:cs="Times New Roman"/>
          <w:lang w:val="es-AR"/>
        </w:rPr>
      </w:pPr>
      <w:proofErr w:type="spellStart"/>
      <w:r w:rsidRPr="002B17E8">
        <w:rPr>
          <w:rFonts w:ascii="Times New Roman" w:eastAsia="Calibri" w:hAnsi="Times New Roman" w:cs="Times New Roman"/>
          <w:lang w:val="es-AR"/>
        </w:rPr>
        <w:t>Bertune</w:t>
      </w:r>
      <w:proofErr w:type="spellEnd"/>
      <w:r w:rsidRPr="002B17E8">
        <w:rPr>
          <w:rFonts w:ascii="Times New Roman" w:eastAsia="Calibri" w:hAnsi="Times New Roman" w:cs="Times New Roman"/>
          <w:lang w:val="es-AR"/>
        </w:rPr>
        <w:t xml:space="preserve"> Fatgala, M. N. (2013). Las marcas de la memoria. En H. N. Agostino, y R. Pomés, La guerra de Malvinas. Pasado y presente desde La Matanza (pp. 301-327). Compañía Editora de La Matanza.</w:t>
      </w:r>
    </w:p>
    <w:p w14:paraId="11CB4299" w14:textId="67C5DB7E" w:rsidR="004A6755" w:rsidRDefault="00A117AB" w:rsidP="002B17E8">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Biaggini, M. A. (2016). Historia de Lomas del Mirador. Compañía Editora de La Matanza.</w:t>
      </w:r>
    </w:p>
    <w:p w14:paraId="4D617C19" w14:textId="77777777" w:rsidR="00747BBD" w:rsidRPr="00747BBD" w:rsidRDefault="00747BBD" w:rsidP="00747BBD">
      <w:pPr>
        <w:pStyle w:val="Bibliografa"/>
        <w:ind w:left="709" w:hanging="709"/>
        <w:jc w:val="both"/>
        <w:rPr>
          <w:noProof/>
          <w:sz w:val="24"/>
          <w:szCs w:val="24"/>
        </w:rPr>
      </w:pPr>
      <w:r w:rsidRPr="00747BBD">
        <w:rPr>
          <w:sz w:val="24"/>
          <w:szCs w:val="24"/>
        </w:rPr>
        <w:t xml:space="preserve">Carvajal, B. C. (2023). </w:t>
      </w:r>
      <w:r w:rsidRPr="00747BBD">
        <w:rPr>
          <w:i/>
          <w:iCs/>
          <w:sz w:val="24"/>
          <w:szCs w:val="24"/>
        </w:rPr>
        <w:t>Triangulación de métodos en ciencias sociales como vía para la producción y validación del conocimiento</w:t>
      </w:r>
      <w:r w:rsidRPr="00747BBD">
        <w:rPr>
          <w:sz w:val="24"/>
          <w:szCs w:val="24"/>
        </w:rPr>
        <w:t>. Revista Mayéutica.</w:t>
      </w:r>
    </w:p>
    <w:p w14:paraId="3B98B1B6" w14:textId="224FBB01" w:rsidR="00A117AB" w:rsidRDefault="00A117AB" w:rsidP="00747BBD">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Código Civil y Comercial de la Nación. (2015). Ley 26.994. Boletín Oficial de la República Argentina.</w:t>
      </w:r>
    </w:p>
    <w:p w14:paraId="01D65859" w14:textId="7A016374" w:rsidR="00B61861" w:rsidRPr="002B17E8" w:rsidRDefault="00B61861" w:rsidP="00747BBD">
      <w:pPr>
        <w:shd w:val="clear" w:color="auto" w:fill="FFFFFF"/>
        <w:spacing w:after="0" w:line="240" w:lineRule="auto"/>
        <w:ind w:left="709" w:hanging="709"/>
        <w:jc w:val="both"/>
        <w:rPr>
          <w:rFonts w:ascii="Times New Roman" w:eastAsia="Calibri" w:hAnsi="Times New Roman" w:cs="Times New Roman"/>
          <w:lang w:val="es-AR"/>
        </w:rPr>
      </w:pPr>
      <w:r w:rsidRPr="00B61861">
        <w:rPr>
          <w:rFonts w:ascii="Times New Roman" w:eastAsia="Calibri" w:hAnsi="Times New Roman" w:cs="Times New Roman"/>
          <w:lang w:val="es-AR"/>
        </w:rPr>
        <w:t>Contaduría General de la Nación. (2023). Disposición 11/2023. Plan de Cuentas Contable para el Sector Público Nacional. Ministerio de Economía.</w:t>
      </w:r>
    </w:p>
    <w:p w14:paraId="7E1AC9B4" w14:textId="234BF776" w:rsidR="002B17E8" w:rsidRDefault="00A117AB" w:rsidP="002B17E8">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Enrique, A. (2010). Isidro Casanova. Pioneros, barrios, instituciones. Ediciones CLIA.</w:t>
      </w:r>
    </w:p>
    <w:p w14:paraId="2E817B4A" w14:textId="3FE4FD43" w:rsidR="0036188A" w:rsidRPr="0036188A" w:rsidRDefault="0036188A" w:rsidP="002B17E8">
      <w:pPr>
        <w:shd w:val="clear" w:color="auto" w:fill="FFFFFF"/>
        <w:spacing w:after="0" w:line="240" w:lineRule="auto"/>
        <w:ind w:left="709" w:hanging="709"/>
        <w:jc w:val="both"/>
        <w:rPr>
          <w:rFonts w:ascii="Times New Roman" w:eastAsia="Calibri" w:hAnsi="Times New Roman" w:cs="Times New Roman"/>
          <w:lang w:val="es-AR"/>
        </w:rPr>
      </w:pPr>
      <w:r w:rsidRPr="0036188A">
        <w:rPr>
          <w:rFonts w:ascii="Times New Roman" w:eastAsia="Calibri" w:hAnsi="Times New Roman" w:cs="Times New Roman"/>
        </w:rPr>
        <w:t xml:space="preserve">Giménez, C. (2000). </w:t>
      </w:r>
      <w:r w:rsidRPr="0036188A">
        <w:rPr>
          <w:rFonts w:ascii="Times New Roman" w:eastAsia="Calibri" w:hAnsi="Times New Roman" w:cs="Times New Roman"/>
          <w:i/>
          <w:iCs/>
        </w:rPr>
        <w:t>Aldo Bonzi: su historia</w:t>
      </w:r>
      <w:r w:rsidRPr="0036188A">
        <w:rPr>
          <w:rFonts w:ascii="Times New Roman" w:eastAsia="Calibri" w:hAnsi="Times New Roman" w:cs="Times New Roman"/>
        </w:rPr>
        <w:t>. Editorial de la Universidad Nacional de La Matanza.</w:t>
      </w:r>
    </w:p>
    <w:p w14:paraId="2503D8D0" w14:textId="57E95000" w:rsidR="002B17E8" w:rsidRPr="002B17E8" w:rsidRDefault="00A117AB" w:rsidP="002B17E8">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 xml:space="preserve">Guitián, D. (2007). Los bienes culturales en el espacio habitable. Argos, 24(47). </w:t>
      </w:r>
      <w:r w:rsidR="004A6755" w:rsidRPr="00516EB6">
        <w:rPr>
          <w:rFonts w:ascii="Times New Roman" w:eastAsia="Arial" w:hAnsi="Times New Roman" w:cs="Times New Roman"/>
          <w:color w:val="0563C1"/>
          <w:kern w:val="0"/>
          <w:u w:val="single"/>
          <w:lang w:val="pt-BR" w:eastAsia="es-ES"/>
          <w14:ligatures w14:val="none"/>
        </w:rPr>
        <w:t>https://ve.scielo.org/scielo.php?script=sci_arttext&amp;pid=S0254-16372007000200004</w:t>
      </w:r>
      <w:r w:rsidR="004A6755" w:rsidRPr="004A6755">
        <w:rPr>
          <w:rFonts w:ascii="Times New Roman" w:eastAsia="Calibri" w:hAnsi="Times New Roman" w:cs="Times New Roman"/>
          <w:lang w:val="es-AR"/>
        </w:rPr>
        <w:t xml:space="preserve"> </w:t>
      </w:r>
    </w:p>
    <w:p w14:paraId="0FED5A42" w14:textId="1E513FB6" w:rsidR="002B17E8" w:rsidRPr="0036188A" w:rsidRDefault="00A117AB" w:rsidP="002B17E8">
      <w:pPr>
        <w:shd w:val="clear" w:color="auto" w:fill="FFFFFF"/>
        <w:spacing w:after="0" w:line="240" w:lineRule="auto"/>
        <w:ind w:left="709" w:hanging="709"/>
        <w:jc w:val="both"/>
        <w:rPr>
          <w:rFonts w:ascii="Times New Roman" w:eastAsia="Arial" w:hAnsi="Times New Roman" w:cs="Times New Roman"/>
        </w:rPr>
      </w:pPr>
      <w:r w:rsidRPr="002B17E8">
        <w:rPr>
          <w:rFonts w:ascii="Times New Roman" w:eastAsia="Calibri" w:hAnsi="Times New Roman" w:cs="Times New Roman"/>
          <w:lang w:val="es-AR"/>
        </w:rPr>
        <w:t xml:space="preserve">Heinich, N. (2014). La fábrica del patrimonio. Apertura y extensión del corpus patrimonial: del gran monumento al objeto cotidiano. Apuntes, 27(2), 8-25. </w:t>
      </w:r>
      <w:hyperlink r:id="rId10">
        <w:r w:rsidR="004A6755" w:rsidRPr="0036188A">
          <w:rPr>
            <w:rStyle w:val="Hipervnculo"/>
            <w:rFonts w:ascii="Times New Roman" w:eastAsia="Arial" w:hAnsi="Times New Roman" w:cs="Times New Roman"/>
          </w:rPr>
          <w:t>https://revistas.javeriana.edu.co/index.php/revApuntesArq/article/view/15177</w:t>
        </w:r>
      </w:hyperlink>
      <w:r w:rsidR="004A6755" w:rsidRPr="0036188A">
        <w:rPr>
          <w:rFonts w:ascii="Times New Roman" w:eastAsia="Arial" w:hAnsi="Times New Roman" w:cs="Times New Roman"/>
        </w:rPr>
        <w:t xml:space="preserve"> </w:t>
      </w:r>
    </w:p>
    <w:p w14:paraId="6D2423D2" w14:textId="77777777" w:rsidR="0036188A" w:rsidRPr="0036188A" w:rsidRDefault="0036188A" w:rsidP="0036188A">
      <w:pPr>
        <w:shd w:val="clear" w:color="auto" w:fill="FFFFFF"/>
        <w:spacing w:after="0" w:line="240" w:lineRule="auto"/>
        <w:ind w:left="709" w:hanging="709"/>
        <w:jc w:val="both"/>
        <w:rPr>
          <w:rFonts w:ascii="Times New Roman" w:eastAsia="Arial" w:hAnsi="Times New Roman" w:cs="Times New Roman"/>
          <w:i/>
          <w:iCs/>
        </w:rPr>
      </w:pPr>
      <w:r w:rsidRPr="0036188A">
        <w:rPr>
          <w:rFonts w:ascii="Times New Roman" w:eastAsia="Arial" w:hAnsi="Times New Roman" w:cs="Times New Roman"/>
        </w:rPr>
        <w:t>Honorable Concejo Deliberante de La Matanza. (1984</w:t>
      </w:r>
      <w:r w:rsidRPr="0036188A">
        <w:rPr>
          <w:rFonts w:ascii="Times New Roman" w:eastAsia="Arial" w:hAnsi="Times New Roman" w:cs="Times New Roman"/>
          <w:i/>
          <w:iCs/>
        </w:rPr>
        <w:t>). Ordenanza N° 7857: Designación de nombre “Plaza Eva Perón” al espacio ubicado en Gregorio de Laferrere.</w:t>
      </w:r>
      <w:r w:rsidRPr="0036188A">
        <w:rPr>
          <w:rFonts w:ascii="Times New Roman" w:eastAsia="Arial" w:hAnsi="Times New Roman" w:cs="Times New Roman"/>
        </w:rPr>
        <w:t xml:space="preserve"> Digesto Municipal.</w:t>
      </w:r>
    </w:p>
    <w:p w14:paraId="1E7F14E5" w14:textId="77777777" w:rsidR="0036188A" w:rsidRPr="0036188A" w:rsidRDefault="0036188A" w:rsidP="0036188A">
      <w:pPr>
        <w:shd w:val="clear" w:color="auto" w:fill="FFFFFF"/>
        <w:spacing w:after="0" w:line="240" w:lineRule="auto"/>
        <w:ind w:left="709" w:hanging="709"/>
        <w:jc w:val="both"/>
        <w:rPr>
          <w:rFonts w:ascii="Times New Roman" w:eastAsia="Arial" w:hAnsi="Times New Roman" w:cs="Times New Roman"/>
        </w:rPr>
      </w:pPr>
      <w:r w:rsidRPr="0036188A">
        <w:rPr>
          <w:rFonts w:ascii="Times New Roman" w:eastAsia="Arial" w:hAnsi="Times New Roman" w:cs="Times New Roman"/>
          <w:i/>
          <w:iCs/>
        </w:rPr>
        <w:t>Honorable Concejo Deliberante de La Matanza. (1984). Ordenanza N° 7961: Denominación “Malvinas Argentinas” a la plaza del barrio Juan Manuel de Rosas de Villa Celina.</w:t>
      </w:r>
      <w:r w:rsidRPr="0036188A">
        <w:rPr>
          <w:rFonts w:ascii="Times New Roman" w:eastAsia="Arial" w:hAnsi="Times New Roman" w:cs="Times New Roman"/>
        </w:rPr>
        <w:t xml:space="preserve"> Digesto Municipal.</w:t>
      </w:r>
    </w:p>
    <w:p w14:paraId="6348AB3D" w14:textId="0C51545C" w:rsidR="0036188A" w:rsidRPr="0036188A" w:rsidRDefault="0036188A" w:rsidP="0036188A">
      <w:pPr>
        <w:shd w:val="clear" w:color="auto" w:fill="FFFFFF"/>
        <w:spacing w:after="0" w:line="240" w:lineRule="auto"/>
        <w:ind w:left="709" w:hanging="709"/>
        <w:jc w:val="both"/>
        <w:rPr>
          <w:rFonts w:ascii="Times New Roman" w:eastAsia="Arial" w:hAnsi="Times New Roman" w:cs="Times New Roman"/>
        </w:rPr>
      </w:pPr>
      <w:r w:rsidRPr="0036188A">
        <w:rPr>
          <w:rFonts w:ascii="Times New Roman" w:eastAsia="Arial" w:hAnsi="Times New Roman" w:cs="Times New Roman"/>
        </w:rPr>
        <w:t xml:space="preserve">Honorable Concejo Deliberante de La Matanza. (1984). </w:t>
      </w:r>
      <w:r w:rsidRPr="0036188A">
        <w:rPr>
          <w:rFonts w:ascii="Times New Roman" w:eastAsia="Arial" w:hAnsi="Times New Roman" w:cs="Times New Roman"/>
          <w:i/>
          <w:iCs/>
        </w:rPr>
        <w:t xml:space="preserve">Ordenanza N° 7965: Asignación del nombre “Presidente Perón” a la plaza de Lomas del Mirador. </w:t>
      </w:r>
      <w:r w:rsidRPr="0036188A">
        <w:rPr>
          <w:rFonts w:ascii="Times New Roman" w:eastAsia="Arial" w:hAnsi="Times New Roman" w:cs="Times New Roman"/>
        </w:rPr>
        <w:t>Digesto Municipal.</w:t>
      </w:r>
    </w:p>
    <w:p w14:paraId="6399A23F" w14:textId="2527F0C7" w:rsidR="00B61861" w:rsidRPr="00A608BC" w:rsidRDefault="00B61861" w:rsidP="002B17E8">
      <w:pPr>
        <w:shd w:val="clear" w:color="auto" w:fill="FFFFFF"/>
        <w:spacing w:after="0" w:line="240" w:lineRule="auto"/>
        <w:ind w:left="709" w:hanging="709"/>
        <w:jc w:val="both"/>
        <w:rPr>
          <w:rFonts w:ascii="Times New Roman" w:eastAsia="Calibri" w:hAnsi="Times New Roman" w:cs="Times New Roman"/>
          <w:lang w:val="en-US"/>
        </w:rPr>
      </w:pPr>
      <w:r w:rsidRPr="0036188A">
        <w:rPr>
          <w:rFonts w:ascii="Times New Roman" w:eastAsia="Calibri" w:hAnsi="Times New Roman" w:cs="Times New Roman"/>
        </w:rPr>
        <w:t xml:space="preserve">Honorable Concejo Deliberante de La Matanza. (2007). </w:t>
      </w:r>
      <w:r w:rsidRPr="0036188A">
        <w:rPr>
          <w:rFonts w:ascii="Times New Roman" w:eastAsia="Calibri" w:hAnsi="Times New Roman" w:cs="Times New Roman"/>
          <w:i/>
          <w:iCs/>
        </w:rPr>
        <w:t>Ordenanza Nº 17.785: Código de Conformación del Espacio Urbano del Partido de La Matanza y sus modificatorias</w:t>
      </w:r>
      <w:r w:rsidRPr="0036188A">
        <w:rPr>
          <w:rFonts w:ascii="Times New Roman" w:eastAsia="Calibri" w:hAnsi="Times New Roman" w:cs="Times New Roman"/>
        </w:rPr>
        <w:t xml:space="preserve">. </w:t>
      </w:r>
      <w:proofErr w:type="spellStart"/>
      <w:r w:rsidRPr="00A608BC">
        <w:rPr>
          <w:rFonts w:ascii="Times New Roman" w:eastAsia="Calibri" w:hAnsi="Times New Roman" w:cs="Times New Roman"/>
          <w:lang w:val="en-US"/>
        </w:rPr>
        <w:t>Digesto</w:t>
      </w:r>
      <w:proofErr w:type="spellEnd"/>
      <w:r w:rsidRPr="00A608BC">
        <w:rPr>
          <w:rFonts w:ascii="Times New Roman" w:eastAsia="Calibri" w:hAnsi="Times New Roman" w:cs="Times New Roman"/>
          <w:lang w:val="en-US"/>
        </w:rPr>
        <w:t xml:space="preserve"> Municipal</w:t>
      </w:r>
    </w:p>
    <w:p w14:paraId="4708060E" w14:textId="19DD2400" w:rsidR="002B17E8" w:rsidRPr="00A608BC" w:rsidRDefault="00A117AB" w:rsidP="002B17E8">
      <w:pPr>
        <w:shd w:val="clear" w:color="auto" w:fill="FFFFFF"/>
        <w:spacing w:after="0" w:line="240" w:lineRule="auto"/>
        <w:ind w:left="709" w:hanging="709"/>
        <w:jc w:val="both"/>
        <w:rPr>
          <w:rFonts w:ascii="Times New Roman" w:eastAsia="Calibri" w:hAnsi="Times New Roman" w:cs="Times New Roman"/>
          <w:lang w:val="en-US"/>
        </w:rPr>
      </w:pPr>
      <w:r w:rsidRPr="00A608BC">
        <w:rPr>
          <w:rFonts w:ascii="Times New Roman" w:eastAsia="Calibri" w:hAnsi="Times New Roman" w:cs="Times New Roman"/>
          <w:lang w:val="en-US"/>
        </w:rPr>
        <w:t xml:space="preserve">IFRS Foundation. (2021). International Integrated Reporting Framework. IFRS Foundation. </w:t>
      </w:r>
    </w:p>
    <w:p w14:paraId="5EE8D294" w14:textId="77777777" w:rsidR="00434C2D" w:rsidRPr="00434C2D" w:rsidRDefault="00434C2D" w:rsidP="00434C2D">
      <w:pPr>
        <w:shd w:val="clear" w:color="auto" w:fill="FFFFFF"/>
        <w:spacing w:after="0" w:line="240" w:lineRule="auto"/>
        <w:ind w:left="709" w:hanging="709"/>
        <w:jc w:val="both"/>
        <w:rPr>
          <w:rFonts w:ascii="Times New Roman" w:eastAsia="Calibri" w:hAnsi="Times New Roman" w:cs="Times New Roman"/>
          <w:lang w:val="es-AR"/>
        </w:rPr>
      </w:pPr>
      <w:r w:rsidRPr="00434C2D">
        <w:rPr>
          <w:rFonts w:ascii="Times New Roman" w:eastAsia="Calibri" w:hAnsi="Times New Roman" w:cs="Times New Roman"/>
          <w:lang w:val="es-AR"/>
        </w:rPr>
        <w:t xml:space="preserve">Municipalidad de La Matanza. (1950). </w:t>
      </w:r>
      <w:r w:rsidRPr="00434C2D">
        <w:rPr>
          <w:rFonts w:ascii="Times New Roman" w:eastAsia="Calibri" w:hAnsi="Times New Roman" w:cs="Times New Roman"/>
          <w:i/>
          <w:iCs/>
          <w:lang w:val="es-AR"/>
        </w:rPr>
        <w:t>Decreto Municipal Nº 279: Acciones relacionadas con señalización y mantenimiento de plazas</w:t>
      </w:r>
      <w:r w:rsidRPr="00434C2D">
        <w:rPr>
          <w:rFonts w:ascii="Times New Roman" w:eastAsia="Calibri" w:hAnsi="Times New Roman" w:cs="Times New Roman"/>
          <w:lang w:val="es-AR"/>
        </w:rPr>
        <w:t>. Archivo del Instituto Histórico.</w:t>
      </w:r>
    </w:p>
    <w:p w14:paraId="24E35581" w14:textId="77777777" w:rsidR="00434C2D" w:rsidRPr="00434C2D" w:rsidRDefault="00434C2D" w:rsidP="00434C2D">
      <w:pPr>
        <w:shd w:val="clear" w:color="auto" w:fill="FFFFFF"/>
        <w:spacing w:after="0" w:line="240" w:lineRule="auto"/>
        <w:ind w:left="709" w:hanging="709"/>
        <w:jc w:val="both"/>
        <w:rPr>
          <w:rFonts w:ascii="Times New Roman" w:eastAsia="Calibri" w:hAnsi="Times New Roman" w:cs="Times New Roman"/>
          <w:lang w:val="es-AR"/>
        </w:rPr>
      </w:pPr>
      <w:r w:rsidRPr="00434C2D">
        <w:rPr>
          <w:rFonts w:ascii="Times New Roman" w:eastAsia="Calibri" w:hAnsi="Times New Roman" w:cs="Times New Roman"/>
          <w:lang w:val="es-AR"/>
        </w:rPr>
        <w:t xml:space="preserve">Municipalidad de La Matanza. (1950). </w:t>
      </w:r>
      <w:r w:rsidRPr="00434C2D">
        <w:rPr>
          <w:rFonts w:ascii="Times New Roman" w:eastAsia="Calibri" w:hAnsi="Times New Roman" w:cs="Times New Roman"/>
          <w:i/>
          <w:iCs/>
          <w:lang w:val="es-AR"/>
        </w:rPr>
        <w:t>Decreto Municipal Nº 362: Acciones relacionadas con celebraciones patrióticas y equipamiento</w:t>
      </w:r>
      <w:r w:rsidRPr="00434C2D">
        <w:rPr>
          <w:rFonts w:ascii="Times New Roman" w:eastAsia="Calibri" w:hAnsi="Times New Roman" w:cs="Times New Roman"/>
          <w:lang w:val="es-AR"/>
        </w:rPr>
        <w:t>. Archivo del Instituto Histórico.</w:t>
      </w:r>
    </w:p>
    <w:p w14:paraId="4053F241" w14:textId="77777777" w:rsidR="00434C2D" w:rsidRPr="00434C2D" w:rsidRDefault="00434C2D" w:rsidP="00434C2D">
      <w:pPr>
        <w:shd w:val="clear" w:color="auto" w:fill="FFFFFF"/>
        <w:spacing w:after="0" w:line="240" w:lineRule="auto"/>
        <w:ind w:left="709" w:hanging="709"/>
        <w:jc w:val="both"/>
        <w:rPr>
          <w:rFonts w:ascii="Times New Roman" w:eastAsia="Calibri" w:hAnsi="Times New Roman" w:cs="Times New Roman"/>
          <w:lang w:val="es-AR"/>
        </w:rPr>
      </w:pPr>
      <w:r w:rsidRPr="00434C2D">
        <w:rPr>
          <w:rFonts w:ascii="Times New Roman" w:eastAsia="Calibri" w:hAnsi="Times New Roman" w:cs="Times New Roman"/>
          <w:lang w:val="es-AR"/>
        </w:rPr>
        <w:t xml:space="preserve">Municipalidad de La Matanza. (1951). </w:t>
      </w:r>
      <w:r w:rsidRPr="00434C2D">
        <w:rPr>
          <w:rFonts w:ascii="Times New Roman" w:eastAsia="Calibri" w:hAnsi="Times New Roman" w:cs="Times New Roman"/>
          <w:i/>
          <w:iCs/>
          <w:lang w:val="es-AR"/>
        </w:rPr>
        <w:t>Decreto Municipal Nº 783: Adquisición de equipamiento recreativo para plazas y parques</w:t>
      </w:r>
      <w:r w:rsidRPr="00434C2D">
        <w:rPr>
          <w:rFonts w:ascii="Times New Roman" w:eastAsia="Calibri" w:hAnsi="Times New Roman" w:cs="Times New Roman"/>
          <w:lang w:val="es-AR"/>
        </w:rPr>
        <w:t>. Archivo del Instituto Histórico.</w:t>
      </w:r>
    </w:p>
    <w:p w14:paraId="11A8AB24" w14:textId="53EBA93D" w:rsidR="00434C2D" w:rsidRPr="002B17E8" w:rsidRDefault="00434C2D" w:rsidP="00434C2D">
      <w:pPr>
        <w:shd w:val="clear" w:color="auto" w:fill="FFFFFF"/>
        <w:spacing w:after="0" w:line="240" w:lineRule="auto"/>
        <w:ind w:left="709" w:hanging="709"/>
        <w:jc w:val="both"/>
        <w:rPr>
          <w:rFonts w:ascii="Times New Roman" w:eastAsia="Calibri" w:hAnsi="Times New Roman" w:cs="Times New Roman"/>
          <w:lang w:val="es-AR"/>
        </w:rPr>
      </w:pPr>
      <w:r w:rsidRPr="00434C2D">
        <w:rPr>
          <w:rFonts w:ascii="Times New Roman" w:eastAsia="Calibri" w:hAnsi="Times New Roman" w:cs="Times New Roman"/>
          <w:lang w:val="es-AR"/>
        </w:rPr>
        <w:t xml:space="preserve">Municipalidad de La Matanza. (1951). </w:t>
      </w:r>
      <w:r w:rsidRPr="00434C2D">
        <w:rPr>
          <w:rFonts w:ascii="Times New Roman" w:eastAsia="Calibri" w:hAnsi="Times New Roman" w:cs="Times New Roman"/>
          <w:i/>
          <w:iCs/>
          <w:lang w:val="es-AR"/>
        </w:rPr>
        <w:t>Decreto Municipal Nº 824: Acciones de mantenimiento y celebraciones en espacios públicos</w:t>
      </w:r>
      <w:r w:rsidRPr="00434C2D">
        <w:rPr>
          <w:rFonts w:ascii="Times New Roman" w:eastAsia="Calibri" w:hAnsi="Times New Roman" w:cs="Times New Roman"/>
          <w:lang w:val="es-AR"/>
        </w:rPr>
        <w:t>. Archivo del Instituto Histórico.</w:t>
      </w:r>
    </w:p>
    <w:p w14:paraId="0067D645" w14:textId="77777777" w:rsidR="00A117AB" w:rsidRDefault="00A117AB" w:rsidP="002B17E8">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 xml:space="preserve">Municipalidad de La Matanza. (2019). Ordenanza Fiscal Nº 25.660/19 y actualizaciones: Derechos de Ocupación o Uso de Espacios Públicos. Secretaría de Economía y Hacienda. </w:t>
      </w:r>
    </w:p>
    <w:p w14:paraId="126E7B7C" w14:textId="468A848A" w:rsidR="00FE1684" w:rsidRPr="004028AF" w:rsidRDefault="004028AF" w:rsidP="00AB63ED">
      <w:pPr>
        <w:spacing w:after="0" w:line="240" w:lineRule="auto"/>
        <w:ind w:left="709" w:hanging="709"/>
        <w:jc w:val="both"/>
        <w:rPr>
          <w:rFonts w:ascii="Times New Roman" w:hAnsi="Times New Roman" w:cs="Times New Roman"/>
          <w:lang w:val="es-AR" w:eastAsia="es-AR"/>
        </w:rPr>
      </w:pPr>
      <w:r w:rsidRPr="004028AF">
        <w:rPr>
          <w:rFonts w:ascii="Times New Roman" w:hAnsi="Times New Roman" w:cs="Times New Roman"/>
          <w:lang w:val="es-AR" w:eastAsia="es-AR"/>
        </w:rPr>
        <w:t xml:space="preserve">Nora, P. (1984). </w:t>
      </w:r>
      <w:r w:rsidRPr="004028AF">
        <w:rPr>
          <w:rFonts w:ascii="Times New Roman" w:hAnsi="Times New Roman" w:cs="Times New Roman"/>
          <w:i/>
          <w:iCs/>
          <w:lang w:val="es-AR" w:eastAsia="es-AR"/>
        </w:rPr>
        <w:t>Les lieux de mémoire</w:t>
      </w:r>
      <w:r w:rsidRPr="004028AF">
        <w:rPr>
          <w:rFonts w:ascii="Times New Roman" w:hAnsi="Times New Roman" w:cs="Times New Roman"/>
          <w:lang w:val="es-AR" w:eastAsia="es-AR"/>
        </w:rPr>
        <w:t>. París: Gallimard.</w:t>
      </w:r>
    </w:p>
    <w:p w14:paraId="2A93B942" w14:textId="0EF57E44" w:rsidR="00A117AB" w:rsidRDefault="00A117AB" w:rsidP="002B17E8">
      <w:pPr>
        <w:shd w:val="clear" w:color="auto" w:fill="FFFFFF"/>
        <w:spacing w:after="0" w:line="240" w:lineRule="auto"/>
        <w:ind w:left="709" w:hanging="709"/>
        <w:jc w:val="both"/>
        <w:rPr>
          <w:rFonts w:ascii="Times New Roman" w:eastAsia="Calibri" w:hAnsi="Times New Roman" w:cs="Times New Roman"/>
          <w:lang w:val="es-AR"/>
        </w:rPr>
      </w:pPr>
      <w:r w:rsidRPr="002B17E8">
        <w:rPr>
          <w:rFonts w:ascii="Times New Roman" w:eastAsia="Calibri" w:hAnsi="Times New Roman" w:cs="Times New Roman"/>
          <w:lang w:val="es-AR"/>
        </w:rPr>
        <w:t xml:space="preserve">Perissé, H. (2018). </w:t>
      </w:r>
      <w:r w:rsidRPr="00FE1684">
        <w:rPr>
          <w:rFonts w:ascii="Times New Roman" w:eastAsia="Calibri" w:hAnsi="Times New Roman" w:cs="Times New Roman"/>
          <w:i/>
          <w:iCs/>
          <w:lang w:val="es-AR"/>
        </w:rPr>
        <w:t>El Balance Social y el Estado de Valor Agregado. Técnica Administrativa</w:t>
      </w:r>
      <w:r w:rsidRPr="002B17E8">
        <w:rPr>
          <w:rFonts w:ascii="Times New Roman" w:eastAsia="Calibri" w:hAnsi="Times New Roman" w:cs="Times New Roman"/>
          <w:lang w:val="es-AR"/>
        </w:rPr>
        <w:t>, 17(3).</w:t>
      </w:r>
      <w:hyperlink r:id="rId11" w:history="1">
        <w:r w:rsidR="00FE1684" w:rsidRPr="00FE1684">
          <w:rPr>
            <w:rStyle w:val="Hipervnculo"/>
            <w:rFonts w:ascii="Times New Roman" w:eastAsia="Calibri" w:hAnsi="Times New Roman" w:cs="Times New Roman"/>
            <w:i/>
            <w:iCs/>
            <w:lang w:val="es-ES"/>
          </w:rPr>
          <w:t>https://www.cyta.com.ar/ta/article.php?id=170303</w:t>
        </w:r>
      </w:hyperlink>
    </w:p>
    <w:p w14:paraId="411C41C9" w14:textId="3FBAEC16" w:rsidR="00B61861" w:rsidRPr="00B61861" w:rsidRDefault="00B61861" w:rsidP="002B17E8">
      <w:pPr>
        <w:shd w:val="clear" w:color="auto" w:fill="FFFFFF"/>
        <w:spacing w:after="0" w:line="240" w:lineRule="auto"/>
        <w:ind w:left="709" w:hanging="709"/>
        <w:jc w:val="both"/>
        <w:rPr>
          <w:rFonts w:ascii="Times New Roman" w:eastAsia="Calibri" w:hAnsi="Times New Roman" w:cs="Times New Roman"/>
          <w:lang w:val="es-AR"/>
        </w:rPr>
      </w:pPr>
      <w:r w:rsidRPr="00B61861">
        <w:rPr>
          <w:rFonts w:ascii="Times New Roman" w:eastAsia="Calibri" w:hAnsi="Times New Roman" w:cs="Times New Roman"/>
        </w:rPr>
        <w:t xml:space="preserve">Provincia de Buenos Aires. (1977). </w:t>
      </w:r>
      <w:r w:rsidRPr="00B61861">
        <w:rPr>
          <w:rFonts w:ascii="Times New Roman" w:eastAsia="Calibri" w:hAnsi="Times New Roman" w:cs="Times New Roman"/>
          <w:i/>
          <w:iCs/>
        </w:rPr>
        <w:t>Decreto-Ley 8.912/77 de Ordenamiento Territorial y Uso del Suelo</w:t>
      </w:r>
      <w:r w:rsidRPr="00B61861">
        <w:rPr>
          <w:rFonts w:ascii="Times New Roman" w:eastAsia="Calibri" w:hAnsi="Times New Roman" w:cs="Times New Roman"/>
        </w:rPr>
        <w:t>. Boletín Oficial de la Provincia de Buenos Aires</w:t>
      </w:r>
    </w:p>
    <w:p w14:paraId="37F1D122" w14:textId="1B520C8F" w:rsidR="00516EB6" w:rsidRPr="00B61861" w:rsidRDefault="00516EB6" w:rsidP="002B17E8">
      <w:pPr>
        <w:shd w:val="clear" w:color="auto" w:fill="FFFFFF"/>
        <w:spacing w:after="0" w:line="240" w:lineRule="auto"/>
        <w:ind w:left="709" w:hanging="709"/>
        <w:jc w:val="both"/>
        <w:rPr>
          <w:rFonts w:ascii="Times New Roman" w:eastAsia="Calibri" w:hAnsi="Times New Roman" w:cs="Times New Roman"/>
          <w:lang w:val="es-AR"/>
        </w:rPr>
      </w:pPr>
      <w:r w:rsidRPr="00B61861">
        <w:rPr>
          <w:rFonts w:ascii="Times New Roman" w:eastAsia="Calibri" w:hAnsi="Times New Roman" w:cs="Times New Roman"/>
          <w:lang w:val="es-AR"/>
        </w:rPr>
        <w:t>Provincia de Buenos Aires. (2017). Ley 14968 de creación del Cuerpo de Guardaparques de la Provincia de Buenos Aires. Boletín Oficial de la Provincia de Buenos Aires</w:t>
      </w:r>
    </w:p>
    <w:p w14:paraId="55844DB3" w14:textId="77777777" w:rsidR="00A117AB" w:rsidRPr="002B17E8" w:rsidRDefault="00A117AB" w:rsidP="002B17E8">
      <w:pPr>
        <w:spacing w:after="0" w:line="240" w:lineRule="auto"/>
        <w:ind w:left="709" w:hanging="709"/>
        <w:jc w:val="both"/>
        <w:rPr>
          <w:rFonts w:ascii="Times New Roman" w:eastAsia="Calibri" w:hAnsi="Times New Roman" w:cs="Times New Roman"/>
          <w:lang w:val="es-AR"/>
        </w:rPr>
      </w:pPr>
    </w:p>
    <w:p w14:paraId="4FA5BC1F" w14:textId="77777777" w:rsidR="00A117AB" w:rsidRPr="002B17E8" w:rsidRDefault="00A117AB" w:rsidP="002B17E8">
      <w:pPr>
        <w:jc w:val="both"/>
        <w:rPr>
          <w:rFonts w:ascii="Times New Roman" w:eastAsia="Calibri" w:hAnsi="Times New Roman" w:cs="Times New Roman"/>
          <w:lang w:val="es-AR"/>
        </w:rPr>
      </w:pPr>
    </w:p>
    <w:p w14:paraId="242ECF4C" w14:textId="0E794C0D" w:rsidR="00A117AB" w:rsidRPr="002B17E8" w:rsidRDefault="00A117AB" w:rsidP="002B17E8">
      <w:pPr>
        <w:spacing w:line="360" w:lineRule="auto"/>
        <w:jc w:val="both"/>
        <w:rPr>
          <w:rFonts w:ascii="Times New Roman" w:eastAsia="Calibri" w:hAnsi="Times New Roman" w:cs="Times New Roman"/>
          <w:lang w:val="es-AR"/>
        </w:rPr>
      </w:pPr>
    </w:p>
    <w:p w14:paraId="32D36EE0" w14:textId="77777777" w:rsidR="00A117AB" w:rsidRPr="002B17E8" w:rsidRDefault="00A117AB" w:rsidP="002B17E8">
      <w:pPr>
        <w:spacing w:line="360" w:lineRule="auto"/>
        <w:jc w:val="both"/>
        <w:rPr>
          <w:rFonts w:ascii="Times New Roman" w:eastAsia="Calibri" w:hAnsi="Times New Roman" w:cs="Times New Roman"/>
          <w:lang w:val="es-AR"/>
        </w:rPr>
      </w:pPr>
    </w:p>
    <w:p w14:paraId="7E83515B" w14:textId="033D7CAC" w:rsidR="001923DC" w:rsidRPr="002B17E8" w:rsidRDefault="001923DC" w:rsidP="002B17E8">
      <w:pPr>
        <w:spacing w:after="0" w:line="240" w:lineRule="auto"/>
        <w:ind w:left="709" w:hanging="709"/>
        <w:jc w:val="both"/>
        <w:rPr>
          <w:rFonts w:ascii="Times New Roman" w:hAnsi="Times New Roman" w:cs="Times New Roman"/>
          <w:lang w:val="pt-BR"/>
        </w:rPr>
      </w:pPr>
    </w:p>
    <w:sectPr w:rsidR="001923DC" w:rsidRPr="002B17E8"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19F74" w14:textId="77777777" w:rsidR="00215509" w:rsidRPr="00BA642E" w:rsidRDefault="00215509" w:rsidP="00C802F5">
      <w:pPr>
        <w:spacing w:after="0" w:line="240" w:lineRule="auto"/>
      </w:pPr>
      <w:r w:rsidRPr="00BA642E">
        <w:separator/>
      </w:r>
    </w:p>
  </w:endnote>
  <w:endnote w:type="continuationSeparator" w:id="0">
    <w:p w14:paraId="32607084" w14:textId="77777777" w:rsidR="00215509" w:rsidRPr="00BA642E" w:rsidRDefault="0021550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E99E7" w14:textId="77777777" w:rsidR="00215509" w:rsidRPr="00BA642E" w:rsidRDefault="00215509" w:rsidP="00C802F5">
      <w:pPr>
        <w:spacing w:after="0" w:line="240" w:lineRule="auto"/>
      </w:pPr>
      <w:r w:rsidRPr="00BA642E">
        <w:separator/>
      </w:r>
    </w:p>
  </w:footnote>
  <w:footnote w:type="continuationSeparator" w:id="0">
    <w:p w14:paraId="1BA32553" w14:textId="77777777" w:rsidR="00215509" w:rsidRPr="00BA642E" w:rsidRDefault="0021550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C7F"/>
    <w:multiLevelType w:val="multilevel"/>
    <w:tmpl w:val="0BAE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3CD5"/>
    <w:multiLevelType w:val="multilevel"/>
    <w:tmpl w:val="CFBA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93AA6"/>
    <w:multiLevelType w:val="multilevel"/>
    <w:tmpl w:val="3DFE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D4769"/>
    <w:multiLevelType w:val="multilevel"/>
    <w:tmpl w:val="9E84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44047"/>
    <w:multiLevelType w:val="multilevel"/>
    <w:tmpl w:val="267C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416A3"/>
    <w:multiLevelType w:val="hybridMultilevel"/>
    <w:tmpl w:val="9904CD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0C2999"/>
    <w:multiLevelType w:val="multilevel"/>
    <w:tmpl w:val="1392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17DFC"/>
    <w:multiLevelType w:val="multilevel"/>
    <w:tmpl w:val="085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876F6"/>
    <w:multiLevelType w:val="multilevel"/>
    <w:tmpl w:val="1056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A1D1D"/>
    <w:multiLevelType w:val="hybridMultilevel"/>
    <w:tmpl w:val="9156231A"/>
    <w:lvl w:ilvl="0" w:tplc="DEEC814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EBA6E1C"/>
    <w:multiLevelType w:val="hybridMultilevel"/>
    <w:tmpl w:val="4754BDE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37A28EC"/>
    <w:multiLevelType w:val="multilevel"/>
    <w:tmpl w:val="635A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C950F0"/>
    <w:multiLevelType w:val="multilevel"/>
    <w:tmpl w:val="D070EEE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2C26BC"/>
    <w:multiLevelType w:val="multilevel"/>
    <w:tmpl w:val="72FC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C66BDA"/>
    <w:multiLevelType w:val="multilevel"/>
    <w:tmpl w:val="9794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C0460C"/>
    <w:multiLevelType w:val="hybridMultilevel"/>
    <w:tmpl w:val="D2DE46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6CA2891"/>
    <w:multiLevelType w:val="multilevel"/>
    <w:tmpl w:val="1828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D3A25"/>
    <w:multiLevelType w:val="multilevel"/>
    <w:tmpl w:val="C790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563973"/>
    <w:multiLevelType w:val="multilevel"/>
    <w:tmpl w:val="0CC65C0E"/>
    <w:lvl w:ilvl="0">
      <w:start w:val="3"/>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F820CCE"/>
    <w:multiLevelType w:val="multilevel"/>
    <w:tmpl w:val="E754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14E74"/>
    <w:multiLevelType w:val="multilevel"/>
    <w:tmpl w:val="1548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51D48"/>
    <w:multiLevelType w:val="multilevel"/>
    <w:tmpl w:val="1DE6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3467A"/>
    <w:multiLevelType w:val="multilevel"/>
    <w:tmpl w:val="EF5E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9780B"/>
    <w:multiLevelType w:val="multilevel"/>
    <w:tmpl w:val="1BF0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AC4954"/>
    <w:multiLevelType w:val="multilevel"/>
    <w:tmpl w:val="A24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435295">
    <w:abstractNumId w:val="19"/>
  </w:num>
  <w:num w:numId="2" w16cid:durableId="1031146578">
    <w:abstractNumId w:val="3"/>
  </w:num>
  <w:num w:numId="3" w16cid:durableId="61947055">
    <w:abstractNumId w:val="0"/>
  </w:num>
  <w:num w:numId="4" w16cid:durableId="1637642414">
    <w:abstractNumId w:val="21"/>
  </w:num>
  <w:num w:numId="5" w16cid:durableId="966743800">
    <w:abstractNumId w:val="7"/>
  </w:num>
  <w:num w:numId="6" w16cid:durableId="1416130309">
    <w:abstractNumId w:val="14"/>
  </w:num>
  <w:num w:numId="7" w16cid:durableId="388263731">
    <w:abstractNumId w:val="20"/>
  </w:num>
  <w:num w:numId="8" w16cid:durableId="1389105297">
    <w:abstractNumId w:val="13"/>
  </w:num>
  <w:num w:numId="9" w16cid:durableId="416832965">
    <w:abstractNumId w:val="16"/>
  </w:num>
  <w:num w:numId="10" w16cid:durableId="737631425">
    <w:abstractNumId w:val="4"/>
  </w:num>
  <w:num w:numId="11" w16cid:durableId="1196849276">
    <w:abstractNumId w:val="6"/>
  </w:num>
  <w:num w:numId="12" w16cid:durableId="271593048">
    <w:abstractNumId w:val="24"/>
  </w:num>
  <w:num w:numId="13" w16cid:durableId="1593202066">
    <w:abstractNumId w:val="22"/>
  </w:num>
  <w:num w:numId="14" w16cid:durableId="1619943528">
    <w:abstractNumId w:val="8"/>
  </w:num>
  <w:num w:numId="15" w16cid:durableId="648286881">
    <w:abstractNumId w:val="10"/>
  </w:num>
  <w:num w:numId="16" w16cid:durableId="1671637820">
    <w:abstractNumId w:val="15"/>
  </w:num>
  <w:num w:numId="17" w16cid:durableId="511266475">
    <w:abstractNumId w:val="17"/>
  </w:num>
  <w:num w:numId="18" w16cid:durableId="2049524485">
    <w:abstractNumId w:val="12"/>
  </w:num>
  <w:num w:numId="19" w16cid:durableId="1513177171">
    <w:abstractNumId w:val="11"/>
  </w:num>
  <w:num w:numId="20" w16cid:durableId="794449946">
    <w:abstractNumId w:val="1"/>
  </w:num>
  <w:num w:numId="21" w16cid:durableId="1796292973">
    <w:abstractNumId w:val="9"/>
  </w:num>
  <w:num w:numId="22" w16cid:durableId="353389894">
    <w:abstractNumId w:val="5"/>
  </w:num>
  <w:num w:numId="23" w16cid:durableId="2110542128">
    <w:abstractNumId w:val="18"/>
  </w:num>
  <w:num w:numId="24" w16cid:durableId="520626916">
    <w:abstractNumId w:val="23"/>
  </w:num>
  <w:num w:numId="25" w16cid:durableId="407925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C97"/>
    <w:rsid w:val="000A36ED"/>
    <w:rsid w:val="000F20E1"/>
    <w:rsid w:val="00101BA1"/>
    <w:rsid w:val="00101BAB"/>
    <w:rsid w:val="001816D6"/>
    <w:rsid w:val="00185F5E"/>
    <w:rsid w:val="001923DC"/>
    <w:rsid w:val="001C4F0D"/>
    <w:rsid w:val="001D7724"/>
    <w:rsid w:val="00215509"/>
    <w:rsid w:val="002327C3"/>
    <w:rsid w:val="002B17E8"/>
    <w:rsid w:val="002C090D"/>
    <w:rsid w:val="002C11CE"/>
    <w:rsid w:val="00304C52"/>
    <w:rsid w:val="00312392"/>
    <w:rsid w:val="003326ED"/>
    <w:rsid w:val="0036188A"/>
    <w:rsid w:val="00365D93"/>
    <w:rsid w:val="004028AF"/>
    <w:rsid w:val="004040C0"/>
    <w:rsid w:val="004331E0"/>
    <w:rsid w:val="00434C2D"/>
    <w:rsid w:val="00437E9C"/>
    <w:rsid w:val="00460E10"/>
    <w:rsid w:val="004978A8"/>
    <w:rsid w:val="004A6755"/>
    <w:rsid w:val="004F2B35"/>
    <w:rsid w:val="00516EB6"/>
    <w:rsid w:val="00546F25"/>
    <w:rsid w:val="00550766"/>
    <w:rsid w:val="005B1F7B"/>
    <w:rsid w:val="005F3B2E"/>
    <w:rsid w:val="00624CFA"/>
    <w:rsid w:val="006934A5"/>
    <w:rsid w:val="00697BA3"/>
    <w:rsid w:val="006B3138"/>
    <w:rsid w:val="00701F64"/>
    <w:rsid w:val="00746EC2"/>
    <w:rsid w:val="00747BBD"/>
    <w:rsid w:val="007525B8"/>
    <w:rsid w:val="00766B28"/>
    <w:rsid w:val="007B433A"/>
    <w:rsid w:val="007B5B5F"/>
    <w:rsid w:val="007D233B"/>
    <w:rsid w:val="007F6A5A"/>
    <w:rsid w:val="0080632C"/>
    <w:rsid w:val="0085070B"/>
    <w:rsid w:val="008621C4"/>
    <w:rsid w:val="00887EFB"/>
    <w:rsid w:val="008B5C60"/>
    <w:rsid w:val="008E16CF"/>
    <w:rsid w:val="00973252"/>
    <w:rsid w:val="009804C3"/>
    <w:rsid w:val="009A7EB5"/>
    <w:rsid w:val="00A01AAD"/>
    <w:rsid w:val="00A117AB"/>
    <w:rsid w:val="00A17247"/>
    <w:rsid w:val="00A34049"/>
    <w:rsid w:val="00A50EAA"/>
    <w:rsid w:val="00A608BC"/>
    <w:rsid w:val="00AB63ED"/>
    <w:rsid w:val="00AF269A"/>
    <w:rsid w:val="00B13F83"/>
    <w:rsid w:val="00B61861"/>
    <w:rsid w:val="00B73D29"/>
    <w:rsid w:val="00BA642E"/>
    <w:rsid w:val="00BB330C"/>
    <w:rsid w:val="00BC236F"/>
    <w:rsid w:val="00C2620F"/>
    <w:rsid w:val="00C67622"/>
    <w:rsid w:val="00C802F5"/>
    <w:rsid w:val="00C96B2C"/>
    <w:rsid w:val="00CA2612"/>
    <w:rsid w:val="00CA2A4F"/>
    <w:rsid w:val="00CC04C1"/>
    <w:rsid w:val="00D15062"/>
    <w:rsid w:val="00D44DEF"/>
    <w:rsid w:val="00D843EC"/>
    <w:rsid w:val="00DC6A11"/>
    <w:rsid w:val="00E36031"/>
    <w:rsid w:val="00E52463"/>
    <w:rsid w:val="00F140AF"/>
    <w:rsid w:val="00F343CF"/>
    <w:rsid w:val="00F60E4A"/>
    <w:rsid w:val="00F72251"/>
    <w:rsid w:val="00F95F4B"/>
    <w:rsid w:val="00FA2698"/>
    <w:rsid w:val="00FA3566"/>
    <w:rsid w:val="00FA6C95"/>
    <w:rsid w:val="00FD70BB"/>
    <w:rsid w:val="00FE16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59"/>
    <w:rsid w:val="00A117AB"/>
    <w:pPr>
      <w:spacing w:after="0" w:line="240" w:lineRule="auto"/>
    </w:pPr>
    <w:rPr>
      <w:rFonts w:ascii="Times New Roman" w:eastAsia="Times New Roman" w:hAnsi="Times New Roman" w:cs="Times New Roman"/>
      <w:kern w:val="0"/>
      <w:sz w:val="20"/>
      <w:szCs w:val="20"/>
      <w:lang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747BBD"/>
    <w:pPr>
      <w:spacing w:after="0" w:line="240" w:lineRule="auto"/>
    </w:pPr>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olola@unlam.edu.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sancci@unlam.edu.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yta.com.ar/ta/article.php?id=17030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vistas.javeriana.edu.co/index.php/revApuntesArq/article/view/15177" TargetMode="External"/><Relationship Id="rId4" Type="http://schemas.openxmlformats.org/officeDocument/2006/relationships/webSettings" Target="webSettings.xml"/><Relationship Id="rId9" Type="http://schemas.openxmlformats.org/officeDocument/2006/relationships/hyperlink" Target="https://juntahistorica.unlam.edu.ar/index.php?seccion=11&amp;idArticulo=4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15</Pages>
  <Words>6500</Words>
  <Characters>35756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VERONICA TOBAR</cp:lastModifiedBy>
  <cp:revision>8</cp:revision>
  <dcterms:created xsi:type="dcterms:W3CDTF">2026-06-28T23:25:00Z</dcterms:created>
  <dcterms:modified xsi:type="dcterms:W3CDTF">2026-06-29T12:50:00Z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55b88d2c-883a-40b2-a2f2-7529515f4e21</vt:lpwstr>
  </property>
</Properties>
</file>