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49479" w14:textId="15A70950" w:rsidR="005F3B2E" w:rsidRPr="00FA54FA" w:rsidRDefault="00A951D9" w:rsidP="001923DC">
      <w:pPr>
        <w:jc w:val="center"/>
        <w:rPr>
          <w:rFonts w:cs="Times New Roman"/>
        </w:rPr>
      </w:pPr>
      <w:r w:rsidRPr="00FA54FA">
        <w:rPr>
          <w:rFonts w:cs="Times New Roman"/>
          <w:b/>
          <w:bCs/>
        </w:rPr>
        <w:t>Articulación institucional: una experiencia entre el INTA y la Universidad Nacional de La Matanza</w:t>
      </w:r>
    </w:p>
    <w:p w14:paraId="4E738780" w14:textId="448B40A9" w:rsidR="005F3B2E" w:rsidRPr="00FA54FA" w:rsidRDefault="00A951D9" w:rsidP="005F3B2E">
      <w:pPr>
        <w:spacing w:after="0" w:line="240" w:lineRule="auto"/>
        <w:jc w:val="right"/>
        <w:rPr>
          <w:rFonts w:cs="Times New Roman"/>
        </w:rPr>
      </w:pPr>
      <w:r w:rsidRPr="00FA54FA">
        <w:rPr>
          <w:rFonts w:cs="Times New Roman"/>
        </w:rPr>
        <w:t>Muiño Marina Victoria</w:t>
      </w:r>
    </w:p>
    <w:p w14:paraId="31C25360" w14:textId="6519E84A" w:rsidR="00CF49D1" w:rsidRPr="00FA54FA" w:rsidRDefault="00CF49D1" w:rsidP="005F3B2E">
      <w:pPr>
        <w:spacing w:after="0" w:line="240" w:lineRule="auto"/>
        <w:jc w:val="right"/>
        <w:rPr>
          <w:rFonts w:cs="Times New Roman"/>
        </w:rPr>
      </w:pPr>
      <w:hyperlink r:id="rId6" w:history="1">
        <w:r w:rsidRPr="00FA54FA">
          <w:rPr>
            <w:rStyle w:val="Hipervnculo"/>
            <w:rFonts w:cs="Times New Roman"/>
          </w:rPr>
          <w:t>https://orcid.org/0009-0000-0222-9405</w:t>
        </w:r>
      </w:hyperlink>
      <w:r w:rsidRPr="00FA54FA">
        <w:rPr>
          <w:rFonts w:cs="Times New Roman"/>
        </w:rPr>
        <w:t xml:space="preserve"> </w:t>
      </w:r>
    </w:p>
    <w:p w14:paraId="6C2AECCA" w14:textId="7BE8B6EA" w:rsidR="005F3B2E" w:rsidRPr="00FA54FA" w:rsidRDefault="00A951D9" w:rsidP="005F3B2E">
      <w:pPr>
        <w:spacing w:after="0" w:line="240" w:lineRule="auto"/>
        <w:jc w:val="right"/>
        <w:rPr>
          <w:rFonts w:cs="Times New Roman"/>
        </w:rPr>
      </w:pPr>
      <w:r w:rsidRPr="00FA54FA">
        <w:rPr>
          <w:rFonts w:cs="Times New Roman"/>
        </w:rPr>
        <w:t>Universidad Nacional de La Matanza</w:t>
      </w:r>
    </w:p>
    <w:p w14:paraId="7D0026CD" w14:textId="37735D04" w:rsidR="005F3B2E" w:rsidRPr="00FA54FA" w:rsidRDefault="00E1069B" w:rsidP="005F3B2E">
      <w:pPr>
        <w:spacing w:after="0" w:line="240" w:lineRule="auto"/>
        <w:jc w:val="right"/>
        <w:rPr>
          <w:rFonts w:cs="Times New Roman"/>
        </w:rPr>
      </w:pPr>
      <w:hyperlink r:id="rId7" w:history="1">
        <w:r w:rsidRPr="00FA54FA">
          <w:rPr>
            <w:rStyle w:val="Hipervnculo"/>
            <w:rFonts w:cs="Times New Roman"/>
          </w:rPr>
          <w:t>mmuino@unlam.edu.ar</w:t>
        </w:r>
      </w:hyperlink>
      <w:r w:rsidRPr="00FA54FA">
        <w:rPr>
          <w:rFonts w:cs="Times New Roman"/>
        </w:rPr>
        <w:t xml:space="preserve"> </w:t>
      </w:r>
    </w:p>
    <w:p w14:paraId="1FA0F857" w14:textId="77777777" w:rsidR="005F3B2E" w:rsidRPr="00FA54FA" w:rsidRDefault="005F3B2E" w:rsidP="005F3B2E">
      <w:pPr>
        <w:rPr>
          <w:rFonts w:cs="Times New Roman"/>
        </w:rPr>
      </w:pPr>
    </w:p>
    <w:p w14:paraId="2D579952" w14:textId="1354DADF" w:rsidR="00C054FD" w:rsidRPr="00FA54FA" w:rsidRDefault="00BA642E" w:rsidP="00746B6F">
      <w:pPr>
        <w:spacing w:line="240" w:lineRule="auto"/>
        <w:contextualSpacing/>
        <w:jc w:val="both"/>
        <w:rPr>
          <w:rFonts w:cs="Times New Roman"/>
        </w:rPr>
      </w:pPr>
      <w:r w:rsidRPr="00FA54FA">
        <w:rPr>
          <w:rFonts w:cs="Times New Roman"/>
          <w:b/>
          <w:bCs/>
        </w:rPr>
        <w:t>Resumen:</w:t>
      </w:r>
      <w:r w:rsidR="00C054FD" w:rsidRPr="00FA54FA">
        <w:rPr>
          <w:rFonts w:cs="Times New Roman"/>
          <w:b/>
          <w:bCs/>
        </w:rPr>
        <w:t xml:space="preserve"> </w:t>
      </w:r>
      <w:r w:rsidR="00C054FD" w:rsidRPr="00FA54FA">
        <w:rPr>
          <w:rFonts w:cs="Times New Roman"/>
        </w:rPr>
        <w:t>El trabajo analiza una experiencia de articulación institucional entre un organismo del sistema científico-tecnológico y la Universidad Nacional de La Matanza (UNLaM), desarrollada en el marco de la convocatoria de Proyectos de Desarrollo Tecnológico y Social (PDTS), impulsada por el Consejo Interuniversitario Nacional (CIN) y la Alianza Universitaria Argentina Europea para la Transformación Digital (UNI UEAR)</w:t>
      </w:r>
      <w:r w:rsidR="00EA24A0" w:rsidRPr="00FA54FA">
        <w:rPr>
          <w:rFonts w:cs="Times New Roman"/>
        </w:rPr>
        <w:t xml:space="preserve"> que se encuentra en desarrollo. E</w:t>
      </w:r>
      <w:r w:rsidR="00473B00" w:rsidRPr="00FA54FA">
        <w:rPr>
          <w:rFonts w:cs="Times New Roman"/>
        </w:rPr>
        <w:t xml:space="preserve">l caso permite </w:t>
      </w:r>
      <w:r w:rsidR="00C054FD" w:rsidRPr="00FA54FA">
        <w:rPr>
          <w:rFonts w:cs="Times New Roman"/>
        </w:rPr>
        <w:t>examinar las interacciones que se configuran entre el organismo que asume los roles de demandante y adoptante</w:t>
      </w:r>
      <w:r w:rsidR="00B66729" w:rsidRPr="00FA54FA">
        <w:rPr>
          <w:rFonts w:cs="Times New Roman"/>
        </w:rPr>
        <w:t xml:space="preserve"> (agente externo</w:t>
      </w:r>
      <w:r w:rsidR="00525494" w:rsidRPr="00FA54FA">
        <w:rPr>
          <w:rFonts w:cs="Times New Roman"/>
        </w:rPr>
        <w:t>)</w:t>
      </w:r>
      <w:r w:rsidR="00C054FD" w:rsidRPr="00FA54FA">
        <w:rPr>
          <w:rFonts w:cs="Times New Roman"/>
        </w:rPr>
        <w:t xml:space="preserve"> y un equipo de investigación universitario, poniendo atención a cómo se definen los alcances de la intervención académica y se organizan las instancias de intercambio a lo largo del plan de trabajo. El proyecto tiene origen en el Instituto Nacional de Tecnología Agropecuaria (INTA), donde un prototipo de producción hidropónica fue diseñado, desarrollado y validado y actualmente se encuentra operativo en la Antártida Argentina bajo condiciones extremas. En base a esa experiencia, el INTA se vincula con un equipo de investigación de la UNLaM a partir de una demanda orientada a la optimización del prototipo, con el objetivo de facilitar su uso en entornos urbanos y variabilidad climática. Esta demanda se centra en el proceso de optimización técnica y estratégica del dispositivo con miras a su comercialización y escalabilidad. Desde un enfoque de estudio de caso, el trabajo pretende reconstruir las interacciones concretas entre el organismo demandante-adoptante y el equipo de investigación universitario. El análisis se apoya en documentación institucional y en entrevistas </w:t>
      </w:r>
      <w:r w:rsidR="00917618" w:rsidRPr="00FA54FA">
        <w:rPr>
          <w:rFonts w:cs="Times New Roman"/>
          <w:i/>
          <w:iCs/>
        </w:rPr>
        <w:t>semiestructuradas</w:t>
      </w:r>
      <w:r w:rsidR="00917618" w:rsidRPr="00FA54FA">
        <w:rPr>
          <w:rFonts w:cs="Times New Roman"/>
        </w:rPr>
        <w:t xml:space="preserve"> </w:t>
      </w:r>
      <w:r w:rsidR="00C054FD" w:rsidRPr="00FA54FA">
        <w:rPr>
          <w:rFonts w:cs="Times New Roman"/>
        </w:rPr>
        <w:t>a actores clave, con el objetivo de identificar dinámicas de intercambio, instancias de negociación, mecanismos de validación y redefiniciones de rol que emergen en la relación entre ambos actores. El estudio se inscribe en una investigación de maestría en curso que examina las interacciones entre instituciones adoptantes y proyectos de investigación desarrollados en la UNLaM, y aporta evidencia empírica situada para comprender cómo estos vínculos inciden en las dinámicas de Vinculación y Transferencia del Conocimiento a través de instrumentos de política científica.</w:t>
      </w:r>
    </w:p>
    <w:p w14:paraId="14A1A9B8" w14:textId="77777777" w:rsidR="00C054FD" w:rsidRPr="00FA54FA" w:rsidRDefault="00C054FD" w:rsidP="00746B6F">
      <w:pPr>
        <w:spacing w:line="240" w:lineRule="auto"/>
        <w:contextualSpacing/>
        <w:jc w:val="both"/>
        <w:rPr>
          <w:rFonts w:cs="Times New Roman"/>
          <w:b/>
          <w:bCs/>
        </w:rPr>
      </w:pPr>
    </w:p>
    <w:p w14:paraId="35A6682C" w14:textId="6BDE87D9" w:rsidR="00BA642E" w:rsidRPr="00FA54FA" w:rsidRDefault="00C054FD" w:rsidP="00746B6F">
      <w:pPr>
        <w:spacing w:line="240" w:lineRule="auto"/>
        <w:contextualSpacing/>
        <w:jc w:val="both"/>
        <w:rPr>
          <w:rFonts w:cs="Times New Roman"/>
        </w:rPr>
      </w:pPr>
      <w:r w:rsidRPr="00FA54FA">
        <w:rPr>
          <w:rFonts w:cs="Times New Roman"/>
          <w:b/>
          <w:bCs/>
        </w:rPr>
        <w:t xml:space="preserve">Palabras clave: </w:t>
      </w:r>
      <w:r w:rsidR="006567E1" w:rsidRPr="00FA54FA">
        <w:rPr>
          <w:rFonts w:cs="Times New Roman"/>
        </w:rPr>
        <w:t>Vinculación, Universidad-Entorno, Interacciones, Adoptantes, Demandantes.</w:t>
      </w:r>
    </w:p>
    <w:p w14:paraId="0F4B6A61" w14:textId="77777777" w:rsidR="00543A6D" w:rsidRPr="00FA54FA" w:rsidRDefault="00BA642E" w:rsidP="00746B6F">
      <w:pPr>
        <w:pStyle w:val="Ttulo1"/>
        <w:spacing w:line="240" w:lineRule="auto"/>
        <w:rPr>
          <w:rStyle w:val="Ttulo1Car"/>
          <w:rFonts w:cs="Times New Roman"/>
          <w:b/>
          <w:szCs w:val="24"/>
        </w:rPr>
      </w:pPr>
      <w:r w:rsidRPr="00FA54FA">
        <w:rPr>
          <w:rStyle w:val="Ttulo1Car"/>
          <w:rFonts w:cs="Times New Roman"/>
          <w:b/>
          <w:szCs w:val="24"/>
        </w:rPr>
        <w:t>Introducción</w:t>
      </w:r>
    </w:p>
    <w:p w14:paraId="47FB6CF7" w14:textId="5B3CD318" w:rsidR="00B027EE" w:rsidRPr="00FA54FA" w:rsidRDefault="00B027EE" w:rsidP="00746B6F">
      <w:pPr>
        <w:spacing w:line="240" w:lineRule="auto"/>
        <w:contextualSpacing/>
        <w:jc w:val="both"/>
        <w:rPr>
          <w:rFonts w:cs="Times New Roman"/>
        </w:rPr>
      </w:pPr>
      <w:r w:rsidRPr="00FA54FA">
        <w:rPr>
          <w:rFonts w:cs="Times New Roman"/>
        </w:rPr>
        <w:t xml:space="preserve">Las universidades públicas argentinas han incorporado, durante las últimas décadas, instrumentos orientados a fortalecer la relación entre producción académica, demandas sociales y apropiación de resultados. Esta orientación abre una pregunta relevante para el campo de la gestión universitaria y de la política científica: cómo se construyen los </w:t>
      </w:r>
      <w:r w:rsidRPr="00FA54FA">
        <w:rPr>
          <w:rFonts w:cs="Times New Roman"/>
        </w:rPr>
        <w:lastRenderedPageBreak/>
        <w:t>vínculos entre equipos académicos y actores externos cuando el conocimiento se produce en diálogo con necesidades concretas, trayectorias institucionales previas y expectativas de uso. En ese marco, la vinculación universidad-entorno deja de presentarse solo como una instancia posterior a la investigación y pasa a formar parte del modo en que se definen problemas, se organizan responsabilidades y se proyectan resultados con posibilidades de aplicación.</w:t>
      </w:r>
    </w:p>
    <w:p w14:paraId="13901ED1" w14:textId="77777777" w:rsidR="00B027EE" w:rsidRPr="00FA54FA" w:rsidRDefault="00B027EE" w:rsidP="00746B6F">
      <w:pPr>
        <w:spacing w:line="240" w:lineRule="auto"/>
        <w:contextualSpacing/>
        <w:jc w:val="both"/>
        <w:rPr>
          <w:rFonts w:cs="Times New Roman"/>
        </w:rPr>
      </w:pPr>
    </w:p>
    <w:p w14:paraId="1985E8D9" w14:textId="6583AC9F" w:rsidR="00721AFB" w:rsidRPr="00FA54FA" w:rsidRDefault="00721AFB" w:rsidP="00746B6F">
      <w:pPr>
        <w:spacing w:after="0" w:line="240" w:lineRule="auto"/>
        <w:contextualSpacing/>
        <w:jc w:val="both"/>
        <w:rPr>
          <w:rFonts w:cs="Times New Roman"/>
        </w:rPr>
      </w:pPr>
      <w:r w:rsidRPr="00FA54FA">
        <w:rPr>
          <w:rFonts w:cs="Times New Roman"/>
        </w:rPr>
        <w:t xml:space="preserve">La relación entre universidad y sociedad permite observar procesos de generación, intercambio y uso del conocimiento entre actores diversos. Desde esta perspectiva, las interacciones entre universidades, organismos públicos, sectores productivos y actores sociales no se reducen a canales formales de transferencia, sino que incluyen confianza, vínculos personales, conocimiento tácito, procesos de traducción y aprendizajes situados que inciden en la construcción de agendas comunes. La vinculación universidad-entorno puede comprenderse como un proceso de cooperación en el que distintos actores participan en la definición de problemas, usos y validaciones, antes que como una transferencia unidireccional desde la universidad hacia otros sectores (Giraldo, 2024). Esta perspectiva permite situar el caso INTA-UNLaM como una experiencia </w:t>
      </w:r>
      <w:r w:rsidR="00A91E02" w:rsidRPr="00FA54FA">
        <w:rPr>
          <w:rFonts w:cs="Times New Roman"/>
        </w:rPr>
        <w:t xml:space="preserve">donde </w:t>
      </w:r>
      <w:r w:rsidR="00F130E8" w:rsidRPr="00FA54FA">
        <w:rPr>
          <w:rFonts w:cs="Times New Roman"/>
        </w:rPr>
        <w:t>la relación con el actor externo modela la arquitectura del proyecto, la distribución de tareas y la utilidad final del desarrollo.</w:t>
      </w:r>
    </w:p>
    <w:p w14:paraId="3C5727FA" w14:textId="77777777" w:rsidR="00F130E8" w:rsidRPr="00FA54FA" w:rsidRDefault="00F130E8" w:rsidP="00746B6F">
      <w:pPr>
        <w:spacing w:after="0" w:line="240" w:lineRule="auto"/>
        <w:contextualSpacing/>
        <w:jc w:val="both"/>
        <w:rPr>
          <w:rFonts w:cs="Times New Roman"/>
        </w:rPr>
      </w:pPr>
    </w:p>
    <w:p w14:paraId="0E7DD0BA" w14:textId="058D7ED3" w:rsidR="00B027EE" w:rsidRPr="00FA54FA" w:rsidRDefault="002569BA" w:rsidP="00746B6F">
      <w:pPr>
        <w:spacing w:after="0" w:line="240" w:lineRule="auto"/>
        <w:contextualSpacing/>
        <w:jc w:val="both"/>
        <w:rPr>
          <w:rFonts w:cs="Times New Roman"/>
        </w:rPr>
      </w:pPr>
      <w:r w:rsidRPr="00FA54FA">
        <w:rPr>
          <w:rFonts w:cs="Times New Roman"/>
        </w:rPr>
        <w:t>La experiencia analizada se inscribe en la convocatoria PDTS-CIN-UNIUEAR, orientada a promover Proyectos de Desarrollo Tecnológico y Social vinculados con la transformación digital. Esta convocatoria es impulsada por el Consejo Interuniversitario Nacional (CIN) en el marco de la Alianza Universitaria Argentina Europea para la Transformación Digital (UNI UEAR), iniciativa promovida por la Unión Europea junto con el CIN y otros organismos afines. UNI UEAR tiene como propósito contribuir a la promoción de los derechos digitales en Argentina mediante la cooperación entre la Unión Europea y el país, el fortalecimiento de la creación y difusión de conocimiento aplicado, y el desarrollo de alianzas entre la academia, el sector público, el sector privado y la sociedad civil (CIN, 2025).</w:t>
      </w:r>
    </w:p>
    <w:p w14:paraId="21BE80FC" w14:textId="77777777" w:rsidR="002569BA" w:rsidRPr="00FA54FA" w:rsidRDefault="002569BA" w:rsidP="00746B6F">
      <w:pPr>
        <w:spacing w:line="240" w:lineRule="auto"/>
        <w:contextualSpacing/>
        <w:jc w:val="both"/>
        <w:rPr>
          <w:rFonts w:cs="Times New Roman"/>
        </w:rPr>
      </w:pPr>
    </w:p>
    <w:p w14:paraId="7232B250" w14:textId="276E0E83" w:rsidR="00B027EE" w:rsidRPr="00FA54FA" w:rsidRDefault="00D85507" w:rsidP="00746B6F">
      <w:pPr>
        <w:spacing w:before="240" w:after="0" w:line="240" w:lineRule="auto"/>
        <w:contextualSpacing/>
        <w:jc w:val="both"/>
        <w:rPr>
          <w:rFonts w:cs="Times New Roman"/>
        </w:rPr>
      </w:pPr>
      <w:r w:rsidRPr="00FA54FA">
        <w:rPr>
          <w:rFonts w:cs="Times New Roman"/>
        </w:rPr>
        <w:t xml:space="preserve">La convocatoria PDTS-CIN-UNIUEAR recupera, entonces, la lógica de los proyectos orientados a la resolución de problemas, pero la articula con la agenda de transformación digital y con la construcción de alianzas interinstitucionales. Sus bases solicitan identificar actores adoptantes, entendidos como aquellos con capacidad institucional y técnica para validar, aplicar o apropiarse de los resultados, y actores demandantes, vinculados con la formulación de necesidades y la orientación de resultados esperados (Cuschnir, 2021). Asimismo, exigen formular el problema en relación con necesidades explícitas de esos actores, definir objetivos en términos de productos o resultados esperados y precisar el alcance de la propuesta (CIN, 2025). En concordancia con estos requerimientos, las normativas y marcos regulatorios generales de la convocatoria (CIN, 2025), sumados a los instrumentos de adjudicación específicos plasmados en la Resolución P. N.º 522/25, proveen el anclaje institucional y el soporte jurídico que formaliza la convergencia de las agendas universitarias y científico-tecnológicas. Esta estructura institucional resulta relevante porque incorpora la interacción con actores </w:t>
      </w:r>
      <w:r w:rsidRPr="00FA54FA">
        <w:rPr>
          <w:rFonts w:cs="Times New Roman"/>
        </w:rPr>
        <w:lastRenderedPageBreak/>
        <w:t>externos desde la formulación misma de la propuesta, aunque las modalidades concretas que asume esa articulación durante la ejecución del proyecto requieren ser examinadas en cada experiencia particular.</w:t>
      </w:r>
    </w:p>
    <w:p w14:paraId="0AACEDB9" w14:textId="77777777" w:rsidR="00D85507" w:rsidRPr="00FA54FA" w:rsidRDefault="00D85507" w:rsidP="00746B6F">
      <w:pPr>
        <w:spacing w:before="240" w:after="0" w:line="240" w:lineRule="auto"/>
        <w:contextualSpacing/>
        <w:jc w:val="both"/>
        <w:rPr>
          <w:rFonts w:cs="Times New Roman"/>
        </w:rPr>
      </w:pPr>
    </w:p>
    <w:p w14:paraId="618F29FC" w14:textId="410D7BE6" w:rsidR="00B027EE" w:rsidRPr="00FA54FA" w:rsidRDefault="00B027EE" w:rsidP="00746B6F">
      <w:pPr>
        <w:spacing w:before="240" w:after="0" w:line="240" w:lineRule="auto"/>
        <w:contextualSpacing/>
        <w:jc w:val="both"/>
        <w:rPr>
          <w:rFonts w:cs="Times New Roman"/>
        </w:rPr>
      </w:pPr>
      <w:r w:rsidRPr="00FA54FA">
        <w:rPr>
          <w:rFonts w:cs="Times New Roman"/>
        </w:rPr>
        <w:t xml:space="preserve">La experiencia entre el Instituto Nacional de Tecnología Agropecuaria (INTA) y la Universidad Nacional de La Matanza (UNLaM) resulta especialmente fértil porque no parte de una demanda abstracta ni de una relación ocasional. El proyecto tiene origen en una trayectoria previa del INTA, donde un prototipo de producción hidropónica fue diseñado, desarrollado y validado, y actualmente se encuentra operativo en la Antártida Argentina bajo condiciones extremas. Sobre esa base, el organismo se vincula con un equipo de investigación de la UNLaM </w:t>
      </w:r>
      <w:r w:rsidR="006F0EEE" w:rsidRPr="00FA54FA">
        <w:rPr>
          <w:rFonts w:cs="Times New Roman"/>
        </w:rPr>
        <w:t>con la propuesta de</w:t>
      </w:r>
      <w:r w:rsidRPr="00FA54FA">
        <w:rPr>
          <w:rFonts w:cs="Times New Roman"/>
        </w:rPr>
        <w:t xml:space="preserve"> optimizar el prototipo, facilitar su uso en entornos urbanos y considerar su adaptación a condiciones de variabilidad climática. Así, el INTA asume un doble rol: demanda una nueva etapa de trabajo y, al mismo tiempo, aparece como actor con capacidades técnicas e institucionales para adoptar, validar y orientar los resultados esperados.</w:t>
      </w:r>
    </w:p>
    <w:p w14:paraId="4C4A87EE" w14:textId="77777777" w:rsidR="00B027EE" w:rsidRPr="00FA54FA" w:rsidRDefault="00B027EE" w:rsidP="00746B6F">
      <w:pPr>
        <w:spacing w:after="0" w:line="240" w:lineRule="auto"/>
        <w:contextualSpacing/>
        <w:jc w:val="both"/>
        <w:rPr>
          <w:rFonts w:cs="Times New Roman"/>
        </w:rPr>
      </w:pPr>
    </w:p>
    <w:p w14:paraId="55CF9F83" w14:textId="48A2F2A9" w:rsidR="00B027EE" w:rsidRPr="00FA54FA" w:rsidRDefault="00DD6C16" w:rsidP="00746B6F">
      <w:pPr>
        <w:spacing w:before="240" w:after="0" w:line="240" w:lineRule="auto"/>
        <w:contextualSpacing/>
        <w:jc w:val="both"/>
        <w:rPr>
          <w:rFonts w:cs="Times New Roman"/>
        </w:rPr>
      </w:pPr>
      <w:r w:rsidRPr="00FA54FA">
        <w:rPr>
          <w:rFonts w:cs="Times New Roman"/>
        </w:rPr>
        <w:t>El interés central de este trabajo consiste en analizar cómo se construye y sostiene la articulación entre una universidad pública y un organismo científico-tecnológico en el marco de una experiencia PDTS-CIN-UNIUEAR. Para ello, se examinan los mecanismos de coordinación, las modalidades de interacción y los acuerdos institucionales que acompañaron el desarrollo del proyecto. Esta decisión analítica evita una lectura meramente formal de la convocatoria. La presencia de un actor demandante-adoptante constituye un requisito de diseño del instrumento; sin embargo, el interés reside en comprender cómo esa relación se expresa en prácticas concretas de trabajo, validación y toma de decisiones durante la ejecución de la experiencia.</w:t>
      </w:r>
    </w:p>
    <w:p w14:paraId="2F7E545F" w14:textId="77777777" w:rsidR="00FD2EE9" w:rsidRPr="00FA54FA" w:rsidRDefault="00FD2EE9" w:rsidP="00746B6F">
      <w:pPr>
        <w:spacing w:before="240" w:line="240" w:lineRule="auto"/>
        <w:contextualSpacing/>
        <w:jc w:val="both"/>
        <w:rPr>
          <w:rFonts w:cs="Times New Roman"/>
        </w:rPr>
      </w:pPr>
    </w:p>
    <w:p w14:paraId="19274E8B" w14:textId="48C36086" w:rsidR="00B027EE" w:rsidRPr="00FA54FA" w:rsidRDefault="00B027EE" w:rsidP="00746B6F">
      <w:pPr>
        <w:spacing w:before="240" w:line="240" w:lineRule="auto"/>
        <w:contextualSpacing/>
        <w:jc w:val="both"/>
        <w:rPr>
          <w:rFonts w:cs="Times New Roman"/>
        </w:rPr>
      </w:pPr>
      <w:r w:rsidRPr="00FA54FA">
        <w:rPr>
          <w:rFonts w:cs="Times New Roman"/>
        </w:rPr>
        <w:t xml:space="preserve">Metodológicamente, se adopta un enfoque cualitativo de estudio de caso. El análisis se apoya en documentación institucional de la convocatoria y del proyecto, así como en entrevistas al director del proyecto y al referente del INTA que asume el rol de demandante-adoptante. Esta estrategia permite reconstruir la experiencia desde la perspectiva de actores directamente involucrados, sin reducir el caso a la información formal contenida en formularios o resoluciones. </w:t>
      </w:r>
    </w:p>
    <w:p w14:paraId="78F12CB9" w14:textId="496FE2AA" w:rsidR="00365B4C" w:rsidRPr="00FA54FA" w:rsidRDefault="00EA0F00" w:rsidP="00746B6F">
      <w:pPr>
        <w:spacing w:line="240" w:lineRule="auto"/>
        <w:contextualSpacing/>
        <w:jc w:val="both"/>
        <w:rPr>
          <w:rFonts w:cs="Times New Roman"/>
        </w:rPr>
      </w:pPr>
      <w:r w:rsidRPr="00FA54FA">
        <w:rPr>
          <w:rFonts w:cs="Times New Roman"/>
        </w:rPr>
        <w:t>Desde esta perspectiva, el aporte del trabajo se concentra en producir evidencia empírica situada sobre una experiencia concreta de articulación entre un organismo científico-tecnológico nacional y una universidad pública del conurbano bonaerense. El interés no reside únicamente en describir una experiencia de vinculación, sino en reconstruir cómo se organizan las interacciones, negociaciones y redefiniciones de rol cuando actores externos participan activamente en la producción, validación y proyección de resultados tecnológicos.</w:t>
      </w:r>
    </w:p>
    <w:p w14:paraId="69E4B469" w14:textId="77777777" w:rsidR="00365B4C" w:rsidRPr="00FA54FA" w:rsidRDefault="002B122B" w:rsidP="00746B6F">
      <w:pPr>
        <w:pStyle w:val="Ttulo1"/>
        <w:spacing w:line="240" w:lineRule="auto"/>
        <w:rPr>
          <w:rFonts w:eastAsiaTheme="minorHAnsi" w:cs="Times New Roman"/>
          <w:bCs/>
          <w:color w:val="auto"/>
          <w:szCs w:val="24"/>
        </w:rPr>
      </w:pPr>
      <w:r w:rsidRPr="00FA54FA">
        <w:rPr>
          <w:rFonts w:eastAsiaTheme="minorHAnsi" w:cs="Times New Roman"/>
          <w:bCs/>
          <w:color w:val="auto"/>
          <w:szCs w:val="24"/>
        </w:rPr>
        <w:t>La articulación INTA-UNLaM: construcción de la demanda, roles e intercambio institucional</w:t>
      </w:r>
    </w:p>
    <w:p w14:paraId="02995ECB" w14:textId="7B415084" w:rsidR="001B737C" w:rsidRPr="00FA54FA" w:rsidRDefault="001B737C" w:rsidP="00746B6F">
      <w:pPr>
        <w:spacing w:before="240" w:after="0" w:line="240" w:lineRule="auto"/>
        <w:jc w:val="both"/>
        <w:rPr>
          <w:rFonts w:cs="Times New Roman"/>
        </w:rPr>
      </w:pPr>
      <w:r w:rsidRPr="00FA54FA">
        <w:rPr>
          <w:rFonts w:cs="Times New Roman"/>
        </w:rPr>
        <w:t>El caso INTA-UNLaM permite observar cómo la orientación hacia problemas concretos adquiere forma práctica en las interacciones entre universidad y organismo demandante-</w:t>
      </w:r>
      <w:r w:rsidRPr="00FA54FA">
        <w:rPr>
          <w:rFonts w:cs="Times New Roman"/>
        </w:rPr>
        <w:lastRenderedPageBreak/>
        <w:t>adoptante. La utilidad social del conocimiento no surge automáticamente de la producción científica, sino que se construye en relación con actores, contextos de uso y procesos de apropiación situados (Vaccarezza &amp; Zabala, 2002). En los PDTS, esa orientación se institucionaliza mediante criterios de relevancia socioproductiva y participación de actores externos en la definición de necesidades y resultados esperados (Naidorf</w:t>
      </w:r>
      <w:r w:rsidR="00842A32" w:rsidRPr="00FA54FA">
        <w:rPr>
          <w:rFonts w:cs="Times New Roman"/>
          <w:i/>
          <w:iCs/>
        </w:rPr>
        <w:t xml:space="preserve">, </w:t>
      </w:r>
      <w:r w:rsidR="00842A32" w:rsidRPr="00FA54FA">
        <w:rPr>
          <w:rFonts w:cs="Times New Roman"/>
        </w:rPr>
        <w:t>Vasen &amp; Alonso</w:t>
      </w:r>
      <w:r w:rsidRPr="00FA54FA">
        <w:rPr>
          <w:rFonts w:cs="Times New Roman"/>
          <w:i/>
          <w:iCs/>
        </w:rPr>
        <w:t>,</w:t>
      </w:r>
      <w:r w:rsidRPr="00FA54FA">
        <w:rPr>
          <w:rFonts w:cs="Times New Roman"/>
        </w:rPr>
        <w:t xml:space="preserve"> 2016). Desde esta perspectiva, el primer aspecto a analizar es cómo se construye el vínculo entre las partes</w:t>
      </w:r>
      <w:r w:rsidR="00D23E2A" w:rsidRPr="00FA54FA">
        <w:rPr>
          <w:rFonts w:cs="Times New Roman"/>
        </w:rPr>
        <w:t xml:space="preserve">, </w:t>
      </w:r>
      <w:r w:rsidR="007D6E71" w:rsidRPr="00FA54FA">
        <w:rPr>
          <w:rFonts w:cs="Times New Roman"/>
        </w:rPr>
        <w:t xml:space="preserve">para después conocer </w:t>
      </w:r>
      <w:r w:rsidR="00D23E2A" w:rsidRPr="00FA54FA">
        <w:rPr>
          <w:rFonts w:cs="Times New Roman"/>
        </w:rPr>
        <w:t>c</w:t>
      </w:r>
      <w:r w:rsidR="007D6E71" w:rsidRPr="00FA54FA">
        <w:rPr>
          <w:rFonts w:cs="Times New Roman"/>
        </w:rPr>
        <w:t>ó</w:t>
      </w:r>
      <w:r w:rsidR="00D23E2A" w:rsidRPr="00FA54FA">
        <w:rPr>
          <w:rFonts w:cs="Times New Roman"/>
        </w:rPr>
        <w:t>mo se organizan</w:t>
      </w:r>
      <w:r w:rsidR="000118D7" w:rsidRPr="00FA54FA">
        <w:rPr>
          <w:rFonts w:cs="Times New Roman"/>
        </w:rPr>
        <w:t xml:space="preserve"> y coordinan</w:t>
      </w:r>
      <w:r w:rsidR="00D23E2A" w:rsidRPr="00FA54FA">
        <w:rPr>
          <w:rFonts w:cs="Times New Roman"/>
        </w:rPr>
        <w:t xml:space="preserve"> los equipos de trabajo</w:t>
      </w:r>
      <w:r w:rsidRPr="00FA54FA">
        <w:rPr>
          <w:rFonts w:cs="Times New Roman"/>
        </w:rPr>
        <w:t xml:space="preserve"> y de qué manera esa</w:t>
      </w:r>
      <w:r w:rsidR="000118D7" w:rsidRPr="00FA54FA">
        <w:rPr>
          <w:rFonts w:cs="Times New Roman"/>
        </w:rPr>
        <w:t xml:space="preserve"> interacción</w:t>
      </w:r>
      <w:r w:rsidRPr="00FA54FA">
        <w:rPr>
          <w:rFonts w:cs="Times New Roman"/>
        </w:rPr>
        <w:t xml:space="preserve"> redefine los lugares ocupados por quienes demandan, producen, validan y </w:t>
      </w:r>
      <w:r w:rsidR="000B1544" w:rsidRPr="00FA54FA">
        <w:rPr>
          <w:rFonts w:cs="Times New Roman"/>
        </w:rPr>
        <w:t xml:space="preserve">aplican </w:t>
      </w:r>
      <w:r w:rsidRPr="00FA54FA">
        <w:rPr>
          <w:rFonts w:cs="Times New Roman"/>
        </w:rPr>
        <w:t>el conocimiento.</w:t>
      </w:r>
    </w:p>
    <w:p w14:paraId="47A327F3" w14:textId="366860D1" w:rsidR="001B737C" w:rsidRPr="00FA54FA" w:rsidRDefault="001B737C" w:rsidP="00746B6F">
      <w:pPr>
        <w:spacing w:before="240" w:after="0" w:line="240" w:lineRule="auto"/>
        <w:rPr>
          <w:rFonts w:cs="Times New Roman"/>
          <w:b/>
          <w:bCs/>
        </w:rPr>
      </w:pPr>
      <w:r w:rsidRPr="00FA54FA">
        <w:rPr>
          <w:rFonts w:cs="Times New Roman"/>
          <w:b/>
          <w:bCs/>
        </w:rPr>
        <w:t xml:space="preserve">Construcción del </w:t>
      </w:r>
      <w:r w:rsidRPr="00FA54FA">
        <w:rPr>
          <w:rStyle w:val="Ttulo1Car"/>
          <w:rFonts w:cs="Times New Roman"/>
          <w:szCs w:val="24"/>
        </w:rPr>
        <w:t>vínculo y redefinición de roles</w:t>
      </w:r>
    </w:p>
    <w:p w14:paraId="5C1501A0" w14:textId="3088DC80" w:rsidR="00DF24AD" w:rsidRPr="00FA54FA" w:rsidRDefault="005D717E" w:rsidP="00746B6F">
      <w:pPr>
        <w:spacing w:before="240" w:line="240" w:lineRule="auto"/>
        <w:jc w:val="both"/>
        <w:rPr>
          <w:rFonts w:cs="Times New Roman"/>
        </w:rPr>
      </w:pPr>
      <w:r w:rsidRPr="00FA54FA">
        <w:rPr>
          <w:rFonts w:cs="Times New Roman"/>
        </w:rPr>
        <w:t>La articulación entre el INTA y la UNLaM se apoy</w:t>
      </w:r>
      <w:r w:rsidR="00193E8C" w:rsidRPr="00FA54FA">
        <w:rPr>
          <w:rFonts w:cs="Times New Roman"/>
        </w:rPr>
        <w:t>ó</w:t>
      </w:r>
      <w:r w:rsidRPr="00FA54FA">
        <w:rPr>
          <w:rFonts w:cs="Times New Roman"/>
        </w:rPr>
        <w:t xml:space="preserve"> en una trayectoria previa </w:t>
      </w:r>
      <w:r w:rsidR="00A10DB7" w:rsidRPr="00FA54FA">
        <w:rPr>
          <w:rFonts w:cs="Times New Roman"/>
        </w:rPr>
        <w:t xml:space="preserve">entre dos actores </w:t>
      </w:r>
      <w:r w:rsidRPr="00FA54FA">
        <w:rPr>
          <w:rFonts w:cs="Times New Roman"/>
        </w:rPr>
        <w:t>vinculada al desarrollo del Módulo Antártico de Producción Hidropónica (MAPHI). Ese proyecto fue desarrollado mediante la colaboración entre un equipo técnico del INTA (espacio institucional de pertenencia del demandante) y quien representaba entonces a la Dirección Nacional del Antártico</w:t>
      </w:r>
      <w:r w:rsidR="005D62B3" w:rsidRPr="00FA54FA">
        <w:rPr>
          <w:rFonts w:cs="Times New Roman"/>
        </w:rPr>
        <w:t xml:space="preserve"> (DNA)</w:t>
      </w:r>
      <w:r w:rsidRPr="00FA54FA">
        <w:rPr>
          <w:rFonts w:cs="Times New Roman"/>
        </w:rPr>
        <w:t xml:space="preserve">, actualmente </w:t>
      </w:r>
      <w:r w:rsidR="00977E65" w:rsidRPr="00FA54FA">
        <w:rPr>
          <w:rFonts w:cs="Times New Roman"/>
        </w:rPr>
        <w:t>director</w:t>
      </w:r>
      <w:r w:rsidRPr="00FA54FA">
        <w:rPr>
          <w:rFonts w:cs="Times New Roman"/>
        </w:rPr>
        <w:t xml:space="preserve"> del equipo investigador de la UNLaM. </w:t>
      </w:r>
      <w:r w:rsidR="005D62B3" w:rsidRPr="00FA54FA">
        <w:rPr>
          <w:rFonts w:cs="Times New Roman"/>
        </w:rPr>
        <w:t>Por aquel entonces, la DNA</w:t>
      </w:r>
      <w:r w:rsidR="00ED4133" w:rsidRPr="00FA54FA">
        <w:rPr>
          <w:rFonts w:cs="Times New Roman"/>
        </w:rPr>
        <w:t xml:space="preserve"> se acercó a</w:t>
      </w:r>
      <w:r w:rsidR="006D5E00" w:rsidRPr="00FA54FA">
        <w:rPr>
          <w:rFonts w:cs="Times New Roman"/>
        </w:rPr>
        <w:t xml:space="preserve">l </w:t>
      </w:r>
      <w:r w:rsidR="00ED4133" w:rsidRPr="00FA54FA">
        <w:rPr>
          <w:rFonts w:cs="Times New Roman"/>
        </w:rPr>
        <w:t xml:space="preserve">investigador del INTA </w:t>
      </w:r>
      <w:r w:rsidR="00514089" w:rsidRPr="00FA54FA">
        <w:rPr>
          <w:rFonts w:cs="Times New Roman"/>
        </w:rPr>
        <w:t xml:space="preserve">cuando </w:t>
      </w:r>
      <w:r w:rsidR="0037103B" w:rsidRPr="00FA54FA">
        <w:rPr>
          <w:rFonts w:cs="Times New Roman"/>
        </w:rPr>
        <w:t>fue informada</w:t>
      </w:r>
      <w:r w:rsidR="00947E96" w:rsidRPr="00FA54FA">
        <w:rPr>
          <w:rFonts w:cs="Times New Roman"/>
        </w:rPr>
        <w:t xml:space="preserve"> del objeto del proyecto y comenzaron las negociaciones</w:t>
      </w:r>
      <w:r w:rsidR="00D731AA" w:rsidRPr="00FA54FA">
        <w:rPr>
          <w:rFonts w:cs="Times New Roman"/>
        </w:rPr>
        <w:t xml:space="preserve"> para </w:t>
      </w:r>
      <w:r w:rsidR="00411B9B" w:rsidRPr="00FA54FA">
        <w:rPr>
          <w:rFonts w:cs="Times New Roman"/>
        </w:rPr>
        <w:t xml:space="preserve">pergeñar, construir y </w:t>
      </w:r>
      <w:r w:rsidR="00D731AA" w:rsidRPr="00FA54FA">
        <w:rPr>
          <w:rFonts w:cs="Times New Roman"/>
        </w:rPr>
        <w:t>trasladar</w:t>
      </w:r>
      <w:r w:rsidR="00947E96" w:rsidRPr="00FA54FA">
        <w:rPr>
          <w:rFonts w:cs="Times New Roman"/>
        </w:rPr>
        <w:t xml:space="preserve"> el </w:t>
      </w:r>
      <w:r w:rsidR="002D568F" w:rsidRPr="00FA54FA">
        <w:rPr>
          <w:rFonts w:cs="Times New Roman"/>
        </w:rPr>
        <w:t>Módulo Antártico de Producción Hidropónica</w:t>
      </w:r>
      <w:r w:rsidR="00D731AA" w:rsidRPr="00FA54FA">
        <w:rPr>
          <w:rFonts w:cs="Times New Roman"/>
        </w:rPr>
        <w:t xml:space="preserve"> </w:t>
      </w:r>
      <w:r w:rsidR="002D568F" w:rsidRPr="00FA54FA">
        <w:rPr>
          <w:rFonts w:cs="Times New Roman"/>
        </w:rPr>
        <w:t xml:space="preserve">(MAPHI) </w:t>
      </w:r>
      <w:r w:rsidR="00D731AA" w:rsidRPr="00FA54FA">
        <w:rPr>
          <w:rFonts w:cs="Times New Roman"/>
        </w:rPr>
        <w:t xml:space="preserve">a </w:t>
      </w:r>
      <w:r w:rsidR="00947E96" w:rsidRPr="00FA54FA">
        <w:rPr>
          <w:rFonts w:cs="Times New Roman"/>
        </w:rPr>
        <w:t xml:space="preserve">una de las </w:t>
      </w:r>
      <w:r w:rsidR="00D731AA" w:rsidRPr="00FA54FA">
        <w:rPr>
          <w:rFonts w:cs="Times New Roman"/>
        </w:rPr>
        <w:t>Base</w:t>
      </w:r>
      <w:r w:rsidR="00947E96" w:rsidRPr="00FA54FA">
        <w:rPr>
          <w:rFonts w:cs="Times New Roman"/>
        </w:rPr>
        <w:t>s</w:t>
      </w:r>
      <w:r w:rsidR="00D731AA" w:rsidRPr="00FA54FA">
        <w:rPr>
          <w:rFonts w:cs="Times New Roman"/>
        </w:rPr>
        <w:t xml:space="preserve"> </w:t>
      </w:r>
      <w:r w:rsidR="00414E65" w:rsidRPr="00FA54FA">
        <w:rPr>
          <w:rFonts w:cs="Times New Roman"/>
        </w:rPr>
        <w:t>en territorio Antártico</w:t>
      </w:r>
      <w:r w:rsidR="003B5AED" w:rsidRPr="00FA54FA">
        <w:rPr>
          <w:rFonts w:cs="Times New Roman"/>
        </w:rPr>
        <w:t xml:space="preserve"> operativas</w:t>
      </w:r>
      <w:r w:rsidR="00D731AA" w:rsidRPr="00FA54FA">
        <w:rPr>
          <w:rFonts w:cs="Times New Roman"/>
        </w:rPr>
        <w:t xml:space="preserve"> </w:t>
      </w:r>
      <w:r w:rsidR="00416204" w:rsidRPr="00FA54FA">
        <w:rPr>
          <w:rFonts w:cs="Times New Roman"/>
        </w:rPr>
        <w:t xml:space="preserve">con las </w:t>
      </w:r>
      <w:r w:rsidR="00583352" w:rsidRPr="00FA54FA">
        <w:rPr>
          <w:rFonts w:cs="Times New Roman"/>
        </w:rPr>
        <w:t>que cuenta Argentina en dicho lugar.</w:t>
      </w:r>
      <w:r w:rsidR="00416204" w:rsidRPr="00FA54FA">
        <w:rPr>
          <w:rFonts w:cs="Times New Roman"/>
        </w:rPr>
        <w:t xml:space="preserve"> Cabe aclarar que </w:t>
      </w:r>
      <w:r w:rsidR="003B5AED" w:rsidRPr="00FA54FA">
        <w:rPr>
          <w:rFonts w:cs="Times New Roman"/>
        </w:rPr>
        <w:t>Argentina</w:t>
      </w:r>
      <w:r w:rsidR="00416204" w:rsidRPr="00FA54FA">
        <w:rPr>
          <w:rFonts w:cs="Times New Roman"/>
        </w:rPr>
        <w:t xml:space="preserve"> </w:t>
      </w:r>
      <w:r w:rsidR="003B5AED" w:rsidRPr="00FA54FA">
        <w:rPr>
          <w:rFonts w:cs="Times New Roman"/>
        </w:rPr>
        <w:t>tiene presencia en el territorio Antártico</w:t>
      </w:r>
      <w:r w:rsidR="009D694F" w:rsidRPr="00FA54FA">
        <w:rPr>
          <w:rFonts w:cs="Times New Roman"/>
        </w:rPr>
        <w:t xml:space="preserve"> </w:t>
      </w:r>
      <w:r w:rsidR="00BE0A6B" w:rsidRPr="00FA54FA">
        <w:rPr>
          <w:rFonts w:cs="Times New Roman"/>
        </w:rPr>
        <w:t>desde 1904</w:t>
      </w:r>
      <w:r w:rsidR="0059492F" w:rsidRPr="00FA54FA">
        <w:rPr>
          <w:rFonts w:cs="Times New Roman"/>
        </w:rPr>
        <w:t xml:space="preserve"> </w:t>
      </w:r>
      <w:r w:rsidR="009D694F" w:rsidRPr="00FA54FA">
        <w:rPr>
          <w:rFonts w:cs="Times New Roman"/>
        </w:rPr>
        <w:t>a través de</w:t>
      </w:r>
      <w:r w:rsidR="00416204" w:rsidRPr="00FA54FA">
        <w:rPr>
          <w:rFonts w:cs="Times New Roman"/>
        </w:rPr>
        <w:t xml:space="preserve"> 13 Bases en total, </w:t>
      </w:r>
      <w:r w:rsidR="009D694F" w:rsidRPr="00FA54FA">
        <w:rPr>
          <w:rFonts w:cs="Times New Roman"/>
        </w:rPr>
        <w:t>seis</w:t>
      </w:r>
      <w:r w:rsidR="00416204" w:rsidRPr="00FA54FA">
        <w:rPr>
          <w:rFonts w:cs="Times New Roman"/>
        </w:rPr>
        <w:t xml:space="preserve"> </w:t>
      </w:r>
      <w:r w:rsidR="00556E9D" w:rsidRPr="00FA54FA">
        <w:rPr>
          <w:rFonts w:cs="Times New Roman"/>
        </w:rPr>
        <w:t>activas</w:t>
      </w:r>
      <w:r w:rsidR="00416204" w:rsidRPr="00FA54FA">
        <w:rPr>
          <w:rFonts w:cs="Times New Roman"/>
        </w:rPr>
        <w:t xml:space="preserve"> y siete </w:t>
      </w:r>
      <w:r w:rsidR="003B5AED" w:rsidRPr="00FA54FA">
        <w:rPr>
          <w:rFonts w:cs="Times New Roman"/>
        </w:rPr>
        <w:t>temporarias.</w:t>
      </w:r>
    </w:p>
    <w:p w14:paraId="3CF09BBF" w14:textId="1EEDB97A" w:rsidR="002B43A4" w:rsidRPr="00FA54FA" w:rsidRDefault="002B43A4" w:rsidP="00746B6F">
      <w:pPr>
        <w:spacing w:line="240" w:lineRule="auto"/>
        <w:jc w:val="both"/>
        <w:rPr>
          <w:rFonts w:cs="Times New Roman"/>
        </w:rPr>
      </w:pPr>
      <w:r w:rsidRPr="00FA54FA">
        <w:rPr>
          <w:rFonts w:cs="Times New Roman"/>
        </w:rPr>
        <w:t>Este trabajo previo entre el demandante y el director del proyecto funcionó como soporte relacional para la experiencia actual porque permitió construir reconocimiento técnico mutuo, un conocimiento compartido sobre las formas de trabajo y circuitos de confianza entre los actores involucrados. La articulación entre el INTA y la UNLaM no surgió a partir de un vínculo generado por la convocatoria, sino sobre una relación de trabajo que ya había atravesado experiencias previas de cooperación. Diversos estudios muestran que los procesos de interacción entre investigadores y actores externos suelen apoyarse en contactos construidos con anterioridad, ya que esos vínculos permiten identificar problemas compartidos y movilizar capacidades para abordarlos (Waiter, 202</w:t>
      </w:r>
      <w:r w:rsidR="00D924D2" w:rsidRPr="00FA54FA">
        <w:rPr>
          <w:rFonts w:cs="Times New Roman"/>
        </w:rPr>
        <w:t>4</w:t>
      </w:r>
      <w:r w:rsidRPr="00FA54FA">
        <w:rPr>
          <w:rFonts w:cs="Times New Roman"/>
        </w:rPr>
        <w:t>). En este caso, la experiencia previa vinculada al MAPHI no solo facilitó el inicio del proyecto, sino que también otorgó previsibilidad sobre las capacidades de cada actor y sobre las posibilidades concretas de sostener una nueva instancia de trabajo conjunto.</w:t>
      </w:r>
      <w:r w:rsidR="00D27D46" w:rsidRPr="00FA54FA">
        <w:rPr>
          <w:rFonts w:cs="Times New Roman"/>
        </w:rPr>
        <w:t xml:space="preserve"> La experiencia permite advertir que las trayectorias previas no solo reducen incertidumbres respecto de las capacidades técnicas disponibles, sino que también facilitan la identificación de nuevas oportunidades de cooperación cuando emergen problemas que requieren capacidades complementarias.</w:t>
      </w:r>
    </w:p>
    <w:p w14:paraId="2881D7F4" w14:textId="084179DC" w:rsidR="00725CFB" w:rsidRPr="00FA54FA" w:rsidRDefault="00846CE4" w:rsidP="00746B6F">
      <w:pPr>
        <w:spacing w:before="240" w:after="0" w:line="240" w:lineRule="auto"/>
        <w:jc w:val="both"/>
        <w:rPr>
          <w:rFonts w:cs="Times New Roman"/>
        </w:rPr>
      </w:pPr>
      <w:r w:rsidRPr="00FA54FA">
        <w:rPr>
          <w:rFonts w:cs="Times New Roman"/>
        </w:rPr>
        <w:t>Sobre esa base relacional previa, la articulación actual comenzó a tomar forma en 2025, cuando el investigador del INTA</w:t>
      </w:r>
      <w:r w:rsidR="006D5E00" w:rsidRPr="00FA54FA">
        <w:rPr>
          <w:rFonts w:cs="Times New Roman"/>
        </w:rPr>
        <w:t xml:space="preserve"> (</w:t>
      </w:r>
      <w:r w:rsidR="009A2CE5" w:rsidRPr="00FA54FA">
        <w:rPr>
          <w:rFonts w:cs="Times New Roman"/>
        </w:rPr>
        <w:t xml:space="preserve">en adelante </w:t>
      </w:r>
      <w:r w:rsidR="006D5E00" w:rsidRPr="00FA54FA">
        <w:rPr>
          <w:rFonts w:cs="Times New Roman"/>
        </w:rPr>
        <w:t>J.B)</w:t>
      </w:r>
      <w:r w:rsidRPr="00FA54FA">
        <w:rPr>
          <w:rFonts w:cs="Times New Roman"/>
        </w:rPr>
        <w:t xml:space="preserve"> identificó la necesidad de avanzar sobre la optimización, escalabilidad y proyección de uso de un prototipo basado en el MAPHI, aunque orientado específicamente al uso urbano. En este caso, el INTA formul</w:t>
      </w:r>
      <w:r w:rsidR="00BD3184" w:rsidRPr="00FA54FA">
        <w:rPr>
          <w:rFonts w:cs="Times New Roman"/>
        </w:rPr>
        <w:t>ó</w:t>
      </w:r>
      <w:r w:rsidRPr="00FA54FA">
        <w:rPr>
          <w:rFonts w:cs="Times New Roman"/>
        </w:rPr>
        <w:t xml:space="preserve"> una </w:t>
      </w:r>
      <w:r w:rsidRPr="00FA54FA">
        <w:rPr>
          <w:rFonts w:cs="Times New Roman"/>
        </w:rPr>
        <w:lastRenderedPageBreak/>
        <w:t xml:space="preserve">necesidad concreta y </w:t>
      </w:r>
      <w:r w:rsidR="00BD3184" w:rsidRPr="00FA54FA">
        <w:rPr>
          <w:rFonts w:cs="Times New Roman"/>
        </w:rPr>
        <w:t xml:space="preserve">a partir de allí </w:t>
      </w:r>
      <w:r w:rsidRPr="00FA54FA">
        <w:rPr>
          <w:rFonts w:cs="Times New Roman"/>
        </w:rPr>
        <w:t>particip</w:t>
      </w:r>
      <w:r w:rsidR="00640A39" w:rsidRPr="00FA54FA">
        <w:rPr>
          <w:rFonts w:cs="Times New Roman"/>
        </w:rPr>
        <w:t>ó</w:t>
      </w:r>
      <w:r w:rsidRPr="00FA54FA">
        <w:rPr>
          <w:rFonts w:cs="Times New Roman"/>
        </w:rPr>
        <w:t xml:space="preserve"> en instancias de validación técnica, aunque requi</w:t>
      </w:r>
      <w:r w:rsidR="00640A39" w:rsidRPr="00FA54FA">
        <w:rPr>
          <w:rFonts w:cs="Times New Roman"/>
        </w:rPr>
        <w:t>rió</w:t>
      </w:r>
      <w:r w:rsidRPr="00FA54FA">
        <w:rPr>
          <w:rFonts w:cs="Times New Roman"/>
        </w:rPr>
        <w:t xml:space="preserve"> capacidades complementarias aportadas por la UNLaM para avanzar sobre aspectos vinculados con optimización, escalabilidad y proyección comercial del dispositivo. </w:t>
      </w:r>
    </w:p>
    <w:p w14:paraId="7B4B4BF4" w14:textId="51A1E444" w:rsidR="007C20F2" w:rsidRPr="00FA54FA" w:rsidRDefault="00846CE4" w:rsidP="00746B6F">
      <w:pPr>
        <w:spacing w:before="240" w:line="240" w:lineRule="auto"/>
        <w:jc w:val="both"/>
        <w:rPr>
          <w:rFonts w:cs="Times New Roman"/>
        </w:rPr>
      </w:pPr>
      <w:r w:rsidRPr="00FA54FA">
        <w:rPr>
          <w:rFonts w:cs="Times New Roman"/>
        </w:rPr>
        <w:t xml:space="preserve">En el caso particular de J.B. y </w:t>
      </w:r>
      <w:r w:rsidR="00D47E1C" w:rsidRPr="00FA54FA">
        <w:rPr>
          <w:rFonts w:cs="Times New Roman"/>
        </w:rPr>
        <w:t>quien dirig</w:t>
      </w:r>
      <w:r w:rsidR="008376F9" w:rsidRPr="00FA54FA">
        <w:rPr>
          <w:rFonts w:cs="Times New Roman"/>
        </w:rPr>
        <w:t>ía</w:t>
      </w:r>
      <w:r w:rsidR="00D47E1C" w:rsidRPr="00FA54FA">
        <w:rPr>
          <w:rFonts w:cs="Times New Roman"/>
        </w:rPr>
        <w:t xml:space="preserve"> el proyecto desde UNLaM (en adelante </w:t>
      </w:r>
      <w:r w:rsidRPr="00FA54FA">
        <w:rPr>
          <w:rFonts w:cs="Times New Roman"/>
        </w:rPr>
        <w:t>M.D.</w:t>
      </w:r>
      <w:r w:rsidR="00D47E1C" w:rsidRPr="00FA54FA">
        <w:rPr>
          <w:rFonts w:cs="Times New Roman"/>
        </w:rPr>
        <w:t>)</w:t>
      </w:r>
      <w:r w:rsidRPr="00FA54FA">
        <w:rPr>
          <w:rFonts w:cs="Times New Roman"/>
        </w:rPr>
        <w:t xml:space="preserve">, </w:t>
      </w:r>
      <w:r w:rsidR="00F12803" w:rsidRPr="00FA54FA">
        <w:rPr>
          <w:rFonts w:cs="Times New Roman"/>
        </w:rPr>
        <w:t>se observa</w:t>
      </w:r>
      <w:r w:rsidR="007C20F2" w:rsidRPr="00FA54FA">
        <w:rPr>
          <w:rFonts w:cs="Times New Roman"/>
        </w:rPr>
        <w:t xml:space="preserve"> una dimensión fuertemente personal y profesional. J.B. explic</w:t>
      </w:r>
      <w:r w:rsidR="00552146" w:rsidRPr="00FA54FA">
        <w:rPr>
          <w:rFonts w:cs="Times New Roman"/>
        </w:rPr>
        <w:t>ó</w:t>
      </w:r>
      <w:r w:rsidR="007C20F2" w:rsidRPr="00FA54FA">
        <w:rPr>
          <w:rFonts w:cs="Times New Roman"/>
        </w:rPr>
        <w:t xml:space="preserve"> que la decisión de volver a trabajar con uno de los integrantes del actual equipo de la UNLaM no surgió únicamente de capacidades técnicas disponibles, sino de experiencias previas compartidas durante el desarrollo del MAPHI. En distintos momentos de la entrevista J.B. insist</w:t>
      </w:r>
      <w:r w:rsidR="00552146" w:rsidRPr="00FA54FA">
        <w:rPr>
          <w:rFonts w:cs="Times New Roman"/>
        </w:rPr>
        <w:t>ió</w:t>
      </w:r>
      <w:r w:rsidR="007C20F2" w:rsidRPr="00FA54FA">
        <w:rPr>
          <w:rFonts w:cs="Times New Roman"/>
        </w:rPr>
        <w:t xml:space="preserve"> en que “la articulación, siempre se da con personas de mi confianza” y “no recurrí a un desconocido, tengo la suficiente confianza con M.D. como para volver a trabajar con él las veces que haga falta”</w:t>
      </w:r>
      <w:r w:rsidR="00BB2661" w:rsidRPr="00FA54FA">
        <w:rPr>
          <w:rFonts w:cs="Times New Roman"/>
        </w:rPr>
        <w:t xml:space="preserve">. De esta manera, </w:t>
      </w:r>
      <w:r w:rsidR="00226C4D" w:rsidRPr="00FA54FA">
        <w:rPr>
          <w:rFonts w:cs="Times New Roman"/>
        </w:rPr>
        <w:t>la decisión de convocar a la universidad apar</w:t>
      </w:r>
      <w:r w:rsidR="00130267" w:rsidRPr="00FA54FA">
        <w:rPr>
          <w:rFonts w:cs="Times New Roman"/>
        </w:rPr>
        <w:t>eció</w:t>
      </w:r>
      <w:r w:rsidR="00226C4D" w:rsidRPr="00FA54FA">
        <w:rPr>
          <w:rFonts w:cs="Times New Roman"/>
        </w:rPr>
        <w:t xml:space="preserve"> asociada tanto a capacidades institucionales como a experiencias previas de trabajo que permitían anticipar modalidades de interacción, niveles de compromiso y posibilidades concretas de cooperación.</w:t>
      </w:r>
    </w:p>
    <w:p w14:paraId="7B950D20" w14:textId="64457F74" w:rsidR="001B737C" w:rsidRPr="00FA54FA" w:rsidRDefault="001B737C" w:rsidP="00746B6F">
      <w:pPr>
        <w:spacing w:line="240" w:lineRule="auto"/>
        <w:jc w:val="both"/>
        <w:rPr>
          <w:rFonts w:cs="Times New Roman"/>
        </w:rPr>
      </w:pPr>
      <w:r w:rsidRPr="00FA54FA">
        <w:rPr>
          <w:rFonts w:cs="Times New Roman"/>
        </w:rPr>
        <w:t xml:space="preserve">La reconstrucción de ese antecedente permite comprender que la relación actual no puede explicarse únicamente </w:t>
      </w:r>
      <w:r w:rsidR="00F651AE" w:rsidRPr="00FA54FA">
        <w:rPr>
          <w:rFonts w:cs="Times New Roman"/>
        </w:rPr>
        <w:t>desde lo formal</w:t>
      </w:r>
      <w:r w:rsidRPr="00FA54FA">
        <w:rPr>
          <w:rFonts w:cs="Times New Roman"/>
        </w:rPr>
        <w:t xml:space="preserve"> de la convocatoria. En la experiencia inicial del MAPHI, la necesidad provenía de la </w:t>
      </w:r>
      <w:r w:rsidR="00BB0158" w:rsidRPr="00FA54FA">
        <w:rPr>
          <w:rFonts w:cs="Times New Roman"/>
        </w:rPr>
        <w:t xml:space="preserve">DNA </w:t>
      </w:r>
      <w:r w:rsidRPr="00FA54FA">
        <w:rPr>
          <w:rFonts w:cs="Times New Roman"/>
        </w:rPr>
        <w:t>y el INTA aportaba una solución tecnológica para producir vegetales frescos en condiciones extremas</w:t>
      </w:r>
      <w:r w:rsidR="00BB0158" w:rsidRPr="00FA54FA">
        <w:rPr>
          <w:rFonts w:cs="Times New Roman"/>
        </w:rPr>
        <w:t xml:space="preserve"> de frío</w:t>
      </w:r>
      <w:r w:rsidRPr="00FA54FA">
        <w:rPr>
          <w:rFonts w:cs="Times New Roman"/>
        </w:rPr>
        <w:t>. En la etapa actual, esa relación se reconfigur</w:t>
      </w:r>
      <w:r w:rsidR="00EA7F66" w:rsidRPr="00FA54FA">
        <w:rPr>
          <w:rFonts w:cs="Times New Roman"/>
        </w:rPr>
        <w:t>ó</w:t>
      </w:r>
      <w:r w:rsidRPr="00FA54FA">
        <w:rPr>
          <w:rFonts w:cs="Times New Roman"/>
        </w:rPr>
        <w:t>: el organismo que antes respondía técnicamente a una demanda externa identific</w:t>
      </w:r>
      <w:r w:rsidR="00ED661D" w:rsidRPr="00FA54FA">
        <w:rPr>
          <w:rFonts w:cs="Times New Roman"/>
        </w:rPr>
        <w:t>ó</w:t>
      </w:r>
      <w:r w:rsidRPr="00FA54FA">
        <w:rPr>
          <w:rFonts w:cs="Times New Roman"/>
        </w:rPr>
        <w:t xml:space="preserve"> nuevas necesidades sobre el artefacto y convoca a la universidad para trabajar sobre su optimización</w:t>
      </w:r>
      <w:r w:rsidR="00356C44" w:rsidRPr="00FA54FA">
        <w:rPr>
          <w:rFonts w:cs="Times New Roman"/>
        </w:rPr>
        <w:t xml:space="preserve"> y comercialización</w:t>
      </w:r>
      <w:r w:rsidRPr="00FA54FA">
        <w:rPr>
          <w:rFonts w:cs="Times New Roman"/>
        </w:rPr>
        <w:t xml:space="preserve">. </w:t>
      </w:r>
      <w:r w:rsidR="000B28A4" w:rsidRPr="00FA54FA">
        <w:rPr>
          <w:rFonts w:cs="Times New Roman"/>
        </w:rPr>
        <w:t>M.D. señal</w:t>
      </w:r>
      <w:r w:rsidR="00ED661D" w:rsidRPr="00FA54FA">
        <w:rPr>
          <w:rFonts w:cs="Times New Roman"/>
        </w:rPr>
        <w:t>ó</w:t>
      </w:r>
      <w:r w:rsidR="000B28A4" w:rsidRPr="00FA54FA">
        <w:rPr>
          <w:rFonts w:cs="Times New Roman"/>
        </w:rPr>
        <w:t xml:space="preserve"> que</w:t>
      </w:r>
      <w:r w:rsidR="004E690A" w:rsidRPr="00FA54FA">
        <w:rPr>
          <w:rFonts w:cs="Times New Roman"/>
        </w:rPr>
        <w:t xml:space="preserve"> los roles se invirtieron:</w:t>
      </w:r>
      <w:r w:rsidR="000B28A4" w:rsidRPr="00FA54FA">
        <w:rPr>
          <w:rFonts w:cs="Times New Roman"/>
        </w:rPr>
        <w:t xml:space="preserve"> “los que resolv</w:t>
      </w:r>
      <w:r w:rsidR="004E690A" w:rsidRPr="00FA54FA">
        <w:rPr>
          <w:rFonts w:cs="Times New Roman"/>
        </w:rPr>
        <w:t>ieron</w:t>
      </w:r>
      <w:r w:rsidR="000B28A4" w:rsidRPr="00FA54FA">
        <w:rPr>
          <w:rFonts w:cs="Times New Roman"/>
        </w:rPr>
        <w:t xml:space="preserve"> el problema</w:t>
      </w:r>
      <w:r w:rsidR="004E690A" w:rsidRPr="00FA54FA">
        <w:rPr>
          <w:rFonts w:cs="Times New Roman"/>
        </w:rPr>
        <w:t xml:space="preserve"> en su momento</w:t>
      </w:r>
      <w:r w:rsidR="000B28A4" w:rsidRPr="00FA54FA">
        <w:rPr>
          <w:rFonts w:cs="Times New Roman"/>
        </w:rPr>
        <w:t xml:space="preserve"> pasaron a ser</w:t>
      </w:r>
      <w:r w:rsidR="004E690A" w:rsidRPr="00FA54FA">
        <w:rPr>
          <w:rFonts w:cs="Times New Roman"/>
        </w:rPr>
        <w:t xml:space="preserve"> los demandantes</w:t>
      </w:r>
      <w:r w:rsidR="000B28A4" w:rsidRPr="00FA54FA">
        <w:rPr>
          <w:rFonts w:cs="Times New Roman"/>
        </w:rPr>
        <w:t xml:space="preserve">”. </w:t>
      </w:r>
      <w:r w:rsidRPr="00FA54FA">
        <w:rPr>
          <w:rFonts w:cs="Times New Roman"/>
        </w:rPr>
        <w:t>Esta inversión de posiciones muestra que las categorías de demandante y adoptante no operan como lugares rígidos,</w:t>
      </w:r>
      <w:r w:rsidR="00375054" w:rsidRPr="00FA54FA">
        <w:rPr>
          <w:rFonts w:cs="Times New Roman"/>
        </w:rPr>
        <w:t xml:space="preserve"> estancos, </w:t>
      </w:r>
      <w:r w:rsidRPr="00FA54FA">
        <w:rPr>
          <w:rFonts w:cs="Times New Roman"/>
        </w:rPr>
        <w:t>sino como posiciones relacionales que se redefinen según trayectorias, capacidades y problemas emergentes.</w:t>
      </w:r>
    </w:p>
    <w:p w14:paraId="30DBBB08" w14:textId="7A49BA85" w:rsidR="0097068F" w:rsidRPr="00FA54FA" w:rsidRDefault="0097068F" w:rsidP="00746B6F">
      <w:pPr>
        <w:pStyle w:val="Ttulo1"/>
        <w:spacing w:before="0" w:line="240" w:lineRule="auto"/>
        <w:rPr>
          <w:rFonts w:cs="Times New Roman"/>
          <w:szCs w:val="24"/>
        </w:rPr>
      </w:pPr>
      <w:r w:rsidRPr="00FA54FA">
        <w:rPr>
          <w:rFonts w:cs="Times New Roman"/>
          <w:szCs w:val="24"/>
        </w:rPr>
        <w:t>Participación del demandante y construcción conjunta de decisiones</w:t>
      </w:r>
    </w:p>
    <w:p w14:paraId="643CC4A8" w14:textId="163C4C1E" w:rsidR="008F7137" w:rsidRPr="00FA54FA" w:rsidRDefault="00A1314F" w:rsidP="00746B6F">
      <w:pPr>
        <w:spacing w:before="240" w:after="80" w:line="240" w:lineRule="auto"/>
        <w:jc w:val="both"/>
        <w:rPr>
          <w:rFonts w:cs="Times New Roman"/>
        </w:rPr>
      </w:pPr>
      <w:r w:rsidRPr="00FA54FA">
        <w:rPr>
          <w:rFonts w:cs="Times New Roman"/>
        </w:rPr>
        <w:t>La centralidad que adquieren los vínculos interpersonales en esta experiencia permite observar que la articulación entre instituciones no depende exclusivamente de mecanismos formales de cooperación. Las relaciones de colaboración suelen construirse entre actores que pertenecen a organizaciones con objetivos, incentivos y culturas de trabajo diferentes, por lo que los espacios de interacción y los lazos de confianza adquieren un papel relevante para sostener procesos conjuntos de innovación y resolución de problemas (Casalet, 2012). Esta perspectiva permite comprender por qué la relación entre el INTA y la UNLaM se apoyó inicialmente en una trayectoria compartida entre sus referentes y no únicamente en las capacidades institucionales de cada organismo.</w:t>
      </w:r>
    </w:p>
    <w:p w14:paraId="7471F471" w14:textId="6A35CA74" w:rsidR="00A1314F" w:rsidRPr="00FA54FA" w:rsidRDefault="00A1314F" w:rsidP="00746B6F">
      <w:pPr>
        <w:spacing w:before="240" w:after="0" w:line="240" w:lineRule="auto"/>
        <w:jc w:val="both"/>
        <w:rPr>
          <w:rFonts w:cs="Times New Roman"/>
        </w:rPr>
      </w:pPr>
      <w:r w:rsidRPr="00FA54FA">
        <w:rPr>
          <w:rFonts w:cs="Times New Roman"/>
        </w:rPr>
        <w:t>En el caso analizado, la referencia no remite solamente a afinidades personales; aparece asociada a la posibilidad de asumir riesgos institucionales apoyándose en experiencias previamente validadas. En ese sentido, J.B. sost</w:t>
      </w:r>
      <w:r w:rsidR="00C5217F" w:rsidRPr="00FA54FA">
        <w:rPr>
          <w:rFonts w:cs="Times New Roman"/>
        </w:rPr>
        <w:t>uvo</w:t>
      </w:r>
      <w:r w:rsidRPr="00FA54FA">
        <w:rPr>
          <w:rFonts w:cs="Times New Roman"/>
        </w:rPr>
        <w:t xml:space="preserve"> que “lo que uno apuesta en este tipo de trabajos es su propia trayectoria”, vinculando la cooperación con capacidades técnicas, aunque también con reputación, previsibilidad y formas previas de trabajo compartido.</w:t>
      </w:r>
    </w:p>
    <w:p w14:paraId="091CAF40" w14:textId="5830AE11" w:rsidR="00721236" w:rsidRPr="00FA54FA" w:rsidRDefault="006E2C0B" w:rsidP="00746B6F">
      <w:pPr>
        <w:spacing w:line="240" w:lineRule="auto"/>
        <w:jc w:val="both"/>
        <w:rPr>
          <w:rFonts w:cs="Times New Roman"/>
        </w:rPr>
      </w:pPr>
      <w:r w:rsidRPr="00FA54FA">
        <w:rPr>
          <w:rFonts w:cs="Times New Roman"/>
        </w:rPr>
        <w:lastRenderedPageBreak/>
        <w:t>Esta dimensión aparece claramente en el relato de J.B., quien rec</w:t>
      </w:r>
      <w:r w:rsidR="00C5217F" w:rsidRPr="00FA54FA">
        <w:rPr>
          <w:rFonts w:cs="Times New Roman"/>
        </w:rPr>
        <w:t>ordó</w:t>
      </w:r>
      <w:r w:rsidRPr="00FA54FA">
        <w:rPr>
          <w:rFonts w:cs="Times New Roman"/>
        </w:rPr>
        <w:t xml:space="preserve"> que el desarrollo inicial del MAPHI solo pudo avanzar a partir del acompañamiento recibido por quienes luego integrarían el proyecto desde la universidad. Según explic</w:t>
      </w:r>
      <w:r w:rsidR="00DA5356" w:rsidRPr="00FA54FA">
        <w:rPr>
          <w:rFonts w:cs="Times New Roman"/>
        </w:rPr>
        <w:t>ó</w:t>
      </w:r>
      <w:r w:rsidRPr="00FA54FA">
        <w:rPr>
          <w:rFonts w:cs="Times New Roman"/>
        </w:rPr>
        <w:t>, “si no fuese por M.D. y por otro actor sumamente relevante para el proyecto, probablemente no existiría el MAPHI</w:t>
      </w:r>
      <w:r w:rsidR="00352358" w:rsidRPr="00FA54FA">
        <w:rPr>
          <w:rFonts w:cs="Times New Roman"/>
        </w:rPr>
        <w:t xml:space="preserve"> tal cual se lo conoce hoy</w:t>
      </w:r>
      <w:r w:rsidRPr="00FA54FA">
        <w:rPr>
          <w:rFonts w:cs="Times New Roman"/>
        </w:rPr>
        <w:t>. Porque una cosa es tener la idea y otra cosa es tener el apoyo”</w:t>
      </w:r>
      <w:r w:rsidR="00541043" w:rsidRPr="00FA54FA">
        <w:rPr>
          <w:rFonts w:cs="Times New Roman"/>
        </w:rPr>
        <w:t>.</w:t>
      </w:r>
    </w:p>
    <w:p w14:paraId="591B3448" w14:textId="67D9B8A6" w:rsidR="003516B9" w:rsidRPr="00FA54FA" w:rsidRDefault="00C05076" w:rsidP="00746B6F">
      <w:pPr>
        <w:spacing w:line="240" w:lineRule="auto"/>
        <w:jc w:val="both"/>
        <w:rPr>
          <w:rFonts w:cs="Times New Roman"/>
        </w:rPr>
      </w:pPr>
      <w:r w:rsidRPr="00FA54FA">
        <w:rPr>
          <w:rFonts w:cs="Times New Roman"/>
        </w:rPr>
        <w:t xml:space="preserve">La articulación entre las partes se aleja de esquemas donde los actores externos intervienen únicamente como receptores finales de los resultados. Los procesos de cooperación para la producción de conocimiento suponen formas de participación más activas, donde diferentes actores intervienen en la definición de problemas, validaciones y usos posibles de los desarrollos generados (Giraldo, 2024). </w:t>
      </w:r>
      <w:r w:rsidR="00CC3723" w:rsidRPr="00FA54FA">
        <w:rPr>
          <w:rFonts w:cs="Times New Roman"/>
        </w:rPr>
        <w:t xml:space="preserve">El caso también pone de relieve que la participación del actor externo </w:t>
      </w:r>
      <w:r w:rsidR="004C5FE0" w:rsidRPr="00FA54FA">
        <w:rPr>
          <w:rFonts w:cs="Times New Roman"/>
        </w:rPr>
        <w:t>incide sobre la organización</w:t>
      </w:r>
      <w:r w:rsidR="00D9584A" w:rsidRPr="00FA54FA">
        <w:rPr>
          <w:rFonts w:cs="Times New Roman"/>
        </w:rPr>
        <w:t xml:space="preserve"> </w:t>
      </w:r>
      <w:r w:rsidR="00CC3723" w:rsidRPr="00FA54FA">
        <w:rPr>
          <w:rFonts w:cs="Times New Roman"/>
        </w:rPr>
        <w:t>del trabajo académico. El INTA no aparece</w:t>
      </w:r>
      <w:r w:rsidR="00541043" w:rsidRPr="00FA54FA">
        <w:rPr>
          <w:rFonts w:cs="Times New Roman"/>
        </w:rPr>
        <w:t xml:space="preserve"> </w:t>
      </w:r>
      <w:r w:rsidR="000C21C2" w:rsidRPr="00FA54FA">
        <w:rPr>
          <w:rFonts w:cs="Times New Roman"/>
        </w:rPr>
        <w:t>aquí</w:t>
      </w:r>
      <w:r w:rsidR="00CC3723" w:rsidRPr="00FA54FA">
        <w:rPr>
          <w:rFonts w:cs="Times New Roman"/>
        </w:rPr>
        <w:t xml:space="preserve"> como destinatario pasivo del resultado final, sino como un actor que interviene en la definición de prioridades, formula observaciones y participa en instancias de validación. La experiencia permite observar que la producción de conocimiento orientado no se organiza mediante una lógica unidireccional de transferencia, sino a través de dinámicas de interacción donde los actores externos inciden sobre la orientación de agendas, los criterios de relevancia y las posibilidades de aplicación de los resultados (Alonso &amp; Nápoli, 2021)</w:t>
      </w:r>
      <w:r w:rsidR="007C535F" w:rsidRPr="00FA54FA">
        <w:rPr>
          <w:rFonts w:cs="Times New Roman"/>
        </w:rPr>
        <w:t>.</w:t>
      </w:r>
    </w:p>
    <w:p w14:paraId="20C2E457" w14:textId="2704A90E" w:rsidR="001B737C" w:rsidRPr="00FA54FA" w:rsidRDefault="001B737C" w:rsidP="00746B6F">
      <w:pPr>
        <w:spacing w:line="240" w:lineRule="auto"/>
        <w:rPr>
          <w:rFonts w:cs="Times New Roman"/>
          <w:b/>
          <w:bCs/>
        </w:rPr>
      </w:pPr>
      <w:r w:rsidRPr="00FA54FA">
        <w:rPr>
          <w:rFonts w:cs="Times New Roman"/>
          <w:b/>
          <w:bCs/>
        </w:rPr>
        <w:t>Organización del trabajo y mecanismos de coordinación</w:t>
      </w:r>
    </w:p>
    <w:p w14:paraId="2017D6D3" w14:textId="6EC5DBA0" w:rsidR="00146721" w:rsidRPr="00FA54FA" w:rsidRDefault="002908FF" w:rsidP="00746B6F">
      <w:pPr>
        <w:spacing w:line="240" w:lineRule="auto"/>
        <w:jc w:val="both"/>
        <w:rPr>
          <w:rFonts w:cs="Times New Roman"/>
        </w:rPr>
      </w:pPr>
      <w:r w:rsidRPr="00FA54FA">
        <w:rPr>
          <w:rFonts w:cs="Times New Roman"/>
        </w:rPr>
        <w:t>L</w:t>
      </w:r>
      <w:r w:rsidR="00146721" w:rsidRPr="00FA54FA">
        <w:rPr>
          <w:rFonts w:cs="Times New Roman"/>
        </w:rPr>
        <w:t>a organización</w:t>
      </w:r>
      <w:r w:rsidR="009249CA" w:rsidRPr="00FA54FA">
        <w:rPr>
          <w:rFonts w:cs="Times New Roman"/>
        </w:rPr>
        <w:t xml:space="preserve"> de los equipos de trabajo</w:t>
      </w:r>
      <w:r w:rsidR="00146721" w:rsidRPr="00FA54FA">
        <w:rPr>
          <w:rFonts w:cs="Times New Roman"/>
        </w:rPr>
        <w:t xml:space="preserve"> del proyecto exigió construir mecanismos de coordinación entre equipos con perfiles técnicos, responsabilidades y temporalidades diferentes. La dinámica de trabajo se estructuró a partir de una fuerte interdependencia entre tareas vinculadas al desarrollo del prototipo físico, programación, análisis de datos, inteligencia artificial, validación técnica, diseño industrial</w:t>
      </w:r>
      <w:r w:rsidR="009249CA" w:rsidRPr="00FA54FA">
        <w:rPr>
          <w:rFonts w:cs="Times New Roman"/>
        </w:rPr>
        <w:t>, plan de negocios</w:t>
      </w:r>
      <w:r w:rsidR="00146721" w:rsidRPr="00FA54FA">
        <w:rPr>
          <w:rFonts w:cs="Times New Roman"/>
        </w:rPr>
        <w:t xml:space="preserve"> y estudio de mercado. En términos operativos, los avances de un área condicionaban directamente el trabajo de </w:t>
      </w:r>
      <w:r w:rsidR="009249CA" w:rsidRPr="00FA54FA">
        <w:rPr>
          <w:rFonts w:cs="Times New Roman"/>
        </w:rPr>
        <w:t xml:space="preserve">la </w:t>
      </w:r>
      <w:r w:rsidR="00146721" w:rsidRPr="00FA54FA">
        <w:rPr>
          <w:rFonts w:cs="Times New Roman"/>
        </w:rPr>
        <w:t>otra, lo que impedía organizar el proyecto mediante una lógica secuencial tradicional.</w:t>
      </w:r>
    </w:p>
    <w:p w14:paraId="1845A926" w14:textId="0A9A283F" w:rsidR="00621A80" w:rsidRPr="00FA54FA" w:rsidRDefault="00621A80" w:rsidP="00746B6F">
      <w:pPr>
        <w:spacing w:line="240" w:lineRule="auto"/>
        <w:jc w:val="both"/>
        <w:rPr>
          <w:rFonts w:cs="Times New Roman"/>
        </w:rPr>
      </w:pPr>
      <w:r w:rsidRPr="00FA54FA">
        <w:rPr>
          <w:rFonts w:cs="Times New Roman"/>
        </w:rPr>
        <w:t xml:space="preserve">El </w:t>
      </w:r>
      <w:r w:rsidR="00156A35" w:rsidRPr="00FA54FA">
        <w:rPr>
          <w:rFonts w:cs="Times New Roman"/>
        </w:rPr>
        <w:t>director del proyecto</w:t>
      </w:r>
      <w:r w:rsidRPr="00FA54FA">
        <w:rPr>
          <w:rFonts w:cs="Times New Roman"/>
        </w:rPr>
        <w:t xml:space="preserve"> sintetiz</w:t>
      </w:r>
      <w:r w:rsidR="004F0140" w:rsidRPr="00FA54FA">
        <w:rPr>
          <w:rFonts w:cs="Times New Roman"/>
        </w:rPr>
        <w:t>ó</w:t>
      </w:r>
      <w:r w:rsidRPr="00FA54FA">
        <w:rPr>
          <w:rFonts w:cs="Times New Roman"/>
        </w:rPr>
        <w:t xml:space="preserve"> esa dinámica al señalar que “el producto de uno es el insumo de</w:t>
      </w:r>
      <w:r w:rsidR="00156A35" w:rsidRPr="00FA54FA">
        <w:rPr>
          <w:rFonts w:cs="Times New Roman"/>
        </w:rPr>
        <w:t>l</w:t>
      </w:r>
      <w:r w:rsidRPr="00FA54FA">
        <w:rPr>
          <w:rFonts w:cs="Times New Roman"/>
        </w:rPr>
        <w:t xml:space="preserve"> otro”</w:t>
      </w:r>
      <w:r w:rsidR="009A4CC9" w:rsidRPr="00FA54FA">
        <w:rPr>
          <w:rFonts w:cs="Times New Roman"/>
        </w:rPr>
        <w:t xml:space="preserve">. </w:t>
      </w:r>
      <w:r w:rsidR="00156A35" w:rsidRPr="00FA54FA">
        <w:rPr>
          <w:rFonts w:cs="Times New Roman"/>
        </w:rPr>
        <w:t>Esta</w:t>
      </w:r>
      <w:r w:rsidRPr="00FA54FA">
        <w:rPr>
          <w:rFonts w:cs="Times New Roman"/>
        </w:rPr>
        <w:t xml:space="preserve"> planificación del trabajo tampoco surgió como una estructura completamente definida desde el inicio del proyecto. Según explic</w:t>
      </w:r>
      <w:r w:rsidR="004F0140" w:rsidRPr="00FA54FA">
        <w:rPr>
          <w:rFonts w:cs="Times New Roman"/>
        </w:rPr>
        <w:t>ó</w:t>
      </w:r>
      <w:r w:rsidRPr="00FA54FA">
        <w:rPr>
          <w:rFonts w:cs="Times New Roman"/>
        </w:rPr>
        <w:t xml:space="preserve"> M.D., la complejidad técnica y la diversidad de áreas involucradas obligaron a reorganizar progresivamente las formas de coordinación y comunicación entre </w:t>
      </w:r>
      <w:r w:rsidR="0045484F" w:rsidRPr="00FA54FA">
        <w:rPr>
          <w:rFonts w:cs="Times New Roman"/>
        </w:rPr>
        <w:t xml:space="preserve">los </w:t>
      </w:r>
      <w:r w:rsidRPr="00FA54FA">
        <w:rPr>
          <w:rFonts w:cs="Times New Roman"/>
        </w:rPr>
        <w:t>equipos, particularmente a medida que se incorporaban nuevas tareas y perfiles especializados. Incluso lleg</w:t>
      </w:r>
      <w:r w:rsidR="00C82110" w:rsidRPr="00FA54FA">
        <w:rPr>
          <w:rFonts w:cs="Times New Roman"/>
        </w:rPr>
        <w:t>ó</w:t>
      </w:r>
      <w:r w:rsidRPr="00FA54FA">
        <w:rPr>
          <w:rFonts w:cs="Times New Roman"/>
        </w:rPr>
        <w:t xml:space="preserve"> a describir el </w:t>
      </w:r>
      <w:r w:rsidR="0045484F" w:rsidRPr="00FA54FA">
        <w:rPr>
          <w:rFonts w:cs="Times New Roman"/>
        </w:rPr>
        <w:t>trabajo</w:t>
      </w:r>
      <w:r w:rsidR="009064A4" w:rsidRPr="00FA54FA">
        <w:rPr>
          <w:rFonts w:cs="Times New Roman"/>
        </w:rPr>
        <w:t xml:space="preserve"> de una manera particular porque</w:t>
      </w:r>
      <w:r w:rsidRPr="00FA54FA">
        <w:rPr>
          <w:rFonts w:cs="Times New Roman"/>
        </w:rPr>
        <w:t xml:space="preserve"> “</w:t>
      </w:r>
      <w:r w:rsidR="00F4192D" w:rsidRPr="00FA54FA">
        <w:rPr>
          <w:rFonts w:cs="Times New Roman"/>
        </w:rPr>
        <w:t xml:space="preserve">en un momento teníamos </w:t>
      </w:r>
      <w:r w:rsidRPr="00FA54FA">
        <w:rPr>
          <w:rFonts w:cs="Times New Roman"/>
        </w:rPr>
        <w:t>cuatro proyectos</w:t>
      </w:r>
      <w:r w:rsidR="009064A4" w:rsidRPr="00FA54FA">
        <w:rPr>
          <w:rFonts w:cs="Times New Roman"/>
        </w:rPr>
        <w:t xml:space="preserve"> en marcha</w:t>
      </w:r>
      <w:r w:rsidRPr="00FA54FA">
        <w:rPr>
          <w:rFonts w:cs="Times New Roman"/>
        </w:rPr>
        <w:t xml:space="preserve"> en uno</w:t>
      </w:r>
      <w:r w:rsidR="009064A4" w:rsidRPr="00FA54FA">
        <w:rPr>
          <w:rFonts w:cs="Times New Roman"/>
        </w:rPr>
        <w:t xml:space="preserve"> solo</w:t>
      </w:r>
      <w:r w:rsidRPr="00FA54FA">
        <w:rPr>
          <w:rFonts w:cs="Times New Roman"/>
        </w:rPr>
        <w:t xml:space="preserve">” en referencia a la coexistencia simultánea de desarrollos vinculados con hardware, software, </w:t>
      </w:r>
      <w:r w:rsidR="00A22184" w:rsidRPr="00FA54FA">
        <w:rPr>
          <w:rFonts w:cs="Times New Roman"/>
        </w:rPr>
        <w:t>evaluación de escalabilidad,</w:t>
      </w:r>
      <w:r w:rsidRPr="00FA54FA">
        <w:rPr>
          <w:rFonts w:cs="Times New Roman"/>
        </w:rPr>
        <w:t xml:space="preserve"> diseño industrial y proyección comercial. </w:t>
      </w:r>
    </w:p>
    <w:p w14:paraId="6E056F5A" w14:textId="4CC702C7" w:rsidR="00325270" w:rsidRPr="00FA54FA" w:rsidRDefault="00A22184" w:rsidP="00746B6F">
      <w:pPr>
        <w:spacing w:line="240" w:lineRule="auto"/>
        <w:jc w:val="both"/>
        <w:rPr>
          <w:rFonts w:cs="Times New Roman"/>
        </w:rPr>
      </w:pPr>
      <w:r w:rsidRPr="00FA54FA">
        <w:rPr>
          <w:rFonts w:cs="Times New Roman"/>
        </w:rPr>
        <w:t>M.D.</w:t>
      </w:r>
      <w:r w:rsidR="00146721" w:rsidRPr="00FA54FA">
        <w:rPr>
          <w:rFonts w:cs="Times New Roman"/>
        </w:rPr>
        <w:t xml:space="preserve"> reconoc</w:t>
      </w:r>
      <w:r w:rsidR="00C82110" w:rsidRPr="00FA54FA">
        <w:rPr>
          <w:rFonts w:cs="Times New Roman"/>
        </w:rPr>
        <w:t>ió</w:t>
      </w:r>
      <w:r w:rsidR="00146721" w:rsidRPr="00FA54FA">
        <w:rPr>
          <w:rFonts w:cs="Times New Roman"/>
        </w:rPr>
        <w:t xml:space="preserve"> que uno de los principales desafíos consistió en “encontrar cuál podía ser la mejor forma de trabaj</w:t>
      </w:r>
      <w:r w:rsidR="00AF3D6B" w:rsidRPr="00FA54FA">
        <w:rPr>
          <w:rFonts w:cs="Times New Roman"/>
        </w:rPr>
        <w:t xml:space="preserve">ar sin </w:t>
      </w:r>
      <w:r w:rsidR="00C12C1E" w:rsidRPr="00FA54FA">
        <w:rPr>
          <w:rFonts w:cs="Times New Roman"/>
        </w:rPr>
        <w:t>solapar tareas</w:t>
      </w:r>
      <w:r w:rsidR="00146721" w:rsidRPr="00FA54FA">
        <w:rPr>
          <w:rFonts w:cs="Times New Roman"/>
        </w:rPr>
        <w:t xml:space="preserve">”. </w:t>
      </w:r>
      <w:r w:rsidR="00635F77" w:rsidRPr="00FA54FA">
        <w:rPr>
          <w:rFonts w:cs="Times New Roman"/>
        </w:rPr>
        <w:t>Esta necesidad excedía lo estrictamente operativo y obligaba a generar instancias de articulación permanentes entre áreas especializadas con trayectorias, formas de trabajo y niveles de participación diferentes</w:t>
      </w:r>
      <w:r w:rsidR="00146721" w:rsidRPr="00FA54FA">
        <w:rPr>
          <w:rFonts w:cs="Times New Roman"/>
        </w:rPr>
        <w:t xml:space="preserve">. </w:t>
      </w:r>
      <w:r w:rsidR="00325270" w:rsidRPr="00FA54FA">
        <w:rPr>
          <w:rFonts w:cs="Times New Roman"/>
        </w:rPr>
        <w:t xml:space="preserve">A </w:t>
      </w:r>
      <w:r w:rsidR="00325270" w:rsidRPr="00FA54FA">
        <w:rPr>
          <w:rFonts w:cs="Times New Roman"/>
        </w:rPr>
        <w:lastRenderedPageBreak/>
        <w:t xml:space="preserve">esto se sumaba una particularidad señalada reiteradamente por ambos entrevistados: el demandante no ocupaba un rol pasivo dentro del proyecto. Por el contrario, </w:t>
      </w:r>
      <w:r w:rsidR="00B7484E" w:rsidRPr="00FA54FA">
        <w:rPr>
          <w:rFonts w:cs="Times New Roman"/>
        </w:rPr>
        <w:t>intervenía transversalmente en distintas instancias del proyecto.</w:t>
      </w:r>
    </w:p>
    <w:p w14:paraId="1DC8288F" w14:textId="3452BB54" w:rsidR="004251E7" w:rsidRPr="00FA54FA" w:rsidRDefault="00F75E33" w:rsidP="00746B6F">
      <w:pPr>
        <w:spacing w:line="240" w:lineRule="auto"/>
        <w:jc w:val="both"/>
        <w:rPr>
          <w:rFonts w:cs="Times New Roman"/>
        </w:rPr>
      </w:pPr>
      <w:r w:rsidRPr="00FA54FA">
        <w:rPr>
          <w:rFonts w:cs="Times New Roman"/>
        </w:rPr>
        <w:t>La articulación entre las partes no se organizó mediante una división rígida entre quien investiga y quien espera resultados. Los procesos de vinculación pueden comprenderse como espacios de cooperación donde distintos actores participan activamente en la producción y utilización del conocimiento, superando interpretaciones que conciben la transferencia como un movimiento unidireccional desde la universidad hacia el entorno (Giraldo, 2024). Esta perspectiva permite interpretar la experiencia analizada más allá de una relación convencional entre proveedor y usuario de conocimiento, ya que el organismo demandante-adoptante intervino de manera sostenida en la definición de prioridades, la validación de decisiones y la orientación general del proyecto. Desde la dirección universitaria</w:t>
      </w:r>
      <w:r w:rsidR="004251E7" w:rsidRPr="00FA54FA">
        <w:rPr>
          <w:rFonts w:cs="Times New Roman"/>
        </w:rPr>
        <w:t xml:space="preserve">, M.D. </w:t>
      </w:r>
      <w:r w:rsidRPr="00FA54FA">
        <w:rPr>
          <w:rFonts w:cs="Times New Roman"/>
        </w:rPr>
        <w:t>describ</w:t>
      </w:r>
      <w:r w:rsidR="006C7D04" w:rsidRPr="00FA54FA">
        <w:rPr>
          <w:rFonts w:cs="Times New Roman"/>
        </w:rPr>
        <w:t>ió</w:t>
      </w:r>
      <w:r w:rsidRPr="00FA54FA">
        <w:rPr>
          <w:rFonts w:cs="Times New Roman"/>
        </w:rPr>
        <w:t xml:space="preserve"> esa situación al señalar que el referente del INTA era “un demandante que participa activamente y que va marcando las ideas, el rumbo”</w:t>
      </w:r>
      <w:r w:rsidR="004251E7" w:rsidRPr="00FA54FA">
        <w:rPr>
          <w:rFonts w:cs="Times New Roman"/>
        </w:rPr>
        <w:t>.</w:t>
      </w:r>
    </w:p>
    <w:p w14:paraId="37FFFBFB" w14:textId="699D87D2" w:rsidR="00146721" w:rsidRPr="00FA54FA" w:rsidRDefault="007615CF" w:rsidP="00746B6F">
      <w:pPr>
        <w:spacing w:line="240" w:lineRule="auto"/>
        <w:jc w:val="both"/>
        <w:rPr>
          <w:rFonts w:cs="Times New Roman"/>
        </w:rPr>
      </w:pPr>
      <w:r w:rsidRPr="00FA54FA">
        <w:rPr>
          <w:rFonts w:cs="Times New Roman"/>
        </w:rPr>
        <w:t>Esta participación también incid</w:t>
      </w:r>
      <w:r w:rsidR="006C7D04" w:rsidRPr="00FA54FA">
        <w:rPr>
          <w:rFonts w:cs="Times New Roman"/>
        </w:rPr>
        <w:t>ía</w:t>
      </w:r>
      <w:r w:rsidRPr="00FA54FA">
        <w:rPr>
          <w:rFonts w:cs="Times New Roman"/>
        </w:rPr>
        <w:t xml:space="preserve"> sobre las dinámicas internas del equipo, ya que determinadas decisiones técnicas debían discutirse considerando criterios de aplicabilidad, escalabilidad y validación futura del dispositivo. En este sentido, la orientación del proyecto se construía a partir de intercambios continuos entre actores con capacidades institucionales y trayectorias distintas, donde las definiciones sobre prioridades y posibles usos del desarrollo tecnológico se configuraban de manera relacional y no exclusivamente desde la universidad (Giraldo, 202</w:t>
      </w:r>
      <w:r w:rsidR="00C21F8F" w:rsidRPr="00FA54FA">
        <w:rPr>
          <w:rFonts w:cs="Times New Roman"/>
        </w:rPr>
        <w:t>4</w:t>
      </w:r>
      <w:r w:rsidRPr="00FA54FA">
        <w:rPr>
          <w:rFonts w:cs="Times New Roman"/>
        </w:rPr>
        <w:t>).</w:t>
      </w:r>
    </w:p>
    <w:p w14:paraId="6CDC714F" w14:textId="77777777" w:rsidR="00982AB6" w:rsidRPr="00FA54FA" w:rsidRDefault="00982AB6" w:rsidP="00746B6F">
      <w:pPr>
        <w:spacing w:line="240" w:lineRule="auto"/>
        <w:jc w:val="both"/>
        <w:rPr>
          <w:rFonts w:cs="Times New Roman"/>
        </w:rPr>
      </w:pPr>
      <w:r w:rsidRPr="00FA54FA">
        <w:rPr>
          <w:rFonts w:cs="Times New Roman"/>
        </w:rPr>
        <w:t>En este punto aparecen algunas tensiones vinculadas a la organización del trabajo académico en proyectos orientados. Mientras los PDTS buscan incorporar actores externos en la definición y validación de problemas concretos, estas experiencias conviven con estructuras académicas que todavía preservan criterios tradicionales de organización y evaluación de la investigación (Naidorf et al., 2016). En este sentido, distintos estudios sobre PDTS muestran que la orientación de agendas hacia problemas socioproductivos suele coexistir con dinámicas académicas donde continúan predominando lógicas disciplinares, criterios tradicionales de evaluación y formas heterogéneas de comprender la vinculación entre universidad y entorno (Senejko &amp; Versino, 2019). En el caso analizado, esa tensión se expresa en la necesidad de equilibrar la participación activa del demandante con las responsabilidades metodológicas, administrativas y jurídicas asumidas por la universidad como institución beneficiaria del financiamiento.</w:t>
      </w:r>
    </w:p>
    <w:p w14:paraId="62F71497" w14:textId="5385E4CA" w:rsidR="00146721" w:rsidRPr="00FA54FA" w:rsidRDefault="0099329B" w:rsidP="00746B6F">
      <w:pPr>
        <w:spacing w:before="240" w:line="240" w:lineRule="auto"/>
        <w:jc w:val="both"/>
        <w:rPr>
          <w:rFonts w:cs="Times New Roman"/>
        </w:rPr>
      </w:pPr>
      <w:r w:rsidRPr="00FA54FA">
        <w:rPr>
          <w:rFonts w:cs="Times New Roman"/>
        </w:rPr>
        <w:t>El</w:t>
      </w:r>
      <w:r w:rsidR="001A6954" w:rsidRPr="00FA54FA">
        <w:rPr>
          <w:rFonts w:cs="Times New Roman"/>
        </w:rPr>
        <w:t xml:space="preserve"> director del proyecto</w:t>
      </w:r>
      <w:r w:rsidR="00146721" w:rsidRPr="00FA54FA">
        <w:rPr>
          <w:rFonts w:cs="Times New Roman"/>
        </w:rPr>
        <w:t xml:space="preserve"> h</w:t>
      </w:r>
      <w:r w:rsidR="006C7D04" w:rsidRPr="00FA54FA">
        <w:rPr>
          <w:rFonts w:cs="Times New Roman"/>
        </w:rPr>
        <w:t>izo</w:t>
      </w:r>
      <w:r w:rsidR="00146721" w:rsidRPr="00FA54FA">
        <w:rPr>
          <w:rFonts w:cs="Times New Roman"/>
        </w:rPr>
        <w:t xml:space="preserve"> referencia explícita a esta situación cuando señal</w:t>
      </w:r>
      <w:r w:rsidR="006C7D04" w:rsidRPr="00FA54FA">
        <w:rPr>
          <w:rFonts w:cs="Times New Roman"/>
        </w:rPr>
        <w:t>ó</w:t>
      </w:r>
      <w:r w:rsidR="00146721" w:rsidRPr="00FA54FA">
        <w:rPr>
          <w:rFonts w:cs="Times New Roman"/>
        </w:rPr>
        <w:t xml:space="preserve"> que, en determinadas instancias, “la universidad es la responsable del proyecto</w:t>
      </w:r>
      <w:r w:rsidR="00042523" w:rsidRPr="00FA54FA">
        <w:rPr>
          <w:rFonts w:cs="Times New Roman"/>
        </w:rPr>
        <w:t xml:space="preserve"> en lo</w:t>
      </w:r>
      <w:r w:rsidRPr="00FA54FA">
        <w:rPr>
          <w:rFonts w:cs="Times New Roman"/>
        </w:rPr>
        <w:t xml:space="preserve"> técnico pero también en lo administrativo</w:t>
      </w:r>
      <w:r w:rsidR="00146721" w:rsidRPr="00FA54FA">
        <w:rPr>
          <w:rFonts w:cs="Times New Roman"/>
        </w:rPr>
        <w:t>” y que, por lo tanto, “también tiene que a veces guardarse el derecho de decir: vamos a ir por acá o vamos a ir por allá”</w:t>
      </w:r>
      <w:r w:rsidRPr="00FA54FA">
        <w:rPr>
          <w:rFonts w:cs="Times New Roman"/>
        </w:rPr>
        <w:t xml:space="preserve">. </w:t>
      </w:r>
      <w:r w:rsidR="00146721" w:rsidRPr="00FA54FA">
        <w:rPr>
          <w:rFonts w:cs="Times New Roman"/>
        </w:rPr>
        <w:t>La afirmación aparece asociada a discusiones concretas sobre criterios metodológicos, tiempos de ejecución y modalidades de trabajo. En este sentido, las diferencias entre las partes forman parte de las negociaciones necesarias para sostener un proyecto donde convergen responsabilidades institucionales distintas.</w:t>
      </w:r>
    </w:p>
    <w:p w14:paraId="168F61A9" w14:textId="11D4F841" w:rsidR="00CD6344" w:rsidRPr="00FA54FA" w:rsidRDefault="008B6EA7" w:rsidP="00746B6F">
      <w:pPr>
        <w:pStyle w:val="Ttulo1"/>
        <w:spacing w:before="240" w:after="160" w:line="240" w:lineRule="auto"/>
        <w:rPr>
          <w:rFonts w:cs="Times New Roman"/>
          <w:szCs w:val="24"/>
        </w:rPr>
      </w:pPr>
      <w:r w:rsidRPr="00FA54FA">
        <w:rPr>
          <w:rFonts w:cs="Times New Roman"/>
          <w:szCs w:val="24"/>
        </w:rPr>
        <w:lastRenderedPageBreak/>
        <w:t>Lógicas de comunicación y segmentación por áreas técnicas</w:t>
      </w:r>
    </w:p>
    <w:p w14:paraId="48DD56D0" w14:textId="166D52B7" w:rsidR="00146721" w:rsidRPr="00FA54FA" w:rsidRDefault="00A06B10" w:rsidP="00746B6F">
      <w:pPr>
        <w:spacing w:line="240" w:lineRule="auto"/>
        <w:jc w:val="both"/>
        <w:rPr>
          <w:rFonts w:cs="Times New Roman"/>
        </w:rPr>
      </w:pPr>
      <w:r w:rsidRPr="00FA54FA">
        <w:rPr>
          <w:rFonts w:cs="Times New Roman"/>
        </w:rPr>
        <w:t>Las</w:t>
      </w:r>
      <w:r w:rsidR="00146721" w:rsidRPr="00FA54FA">
        <w:rPr>
          <w:rFonts w:cs="Times New Roman"/>
        </w:rPr>
        <w:t xml:space="preserve"> entrevistas </w:t>
      </w:r>
      <w:r w:rsidRPr="00FA54FA">
        <w:rPr>
          <w:rFonts w:cs="Times New Roman"/>
        </w:rPr>
        <w:t>dieron</w:t>
      </w:r>
      <w:r w:rsidR="00F7189E" w:rsidRPr="00FA54FA">
        <w:rPr>
          <w:rFonts w:cs="Times New Roman"/>
        </w:rPr>
        <w:t xml:space="preserve"> cuenta</w:t>
      </w:r>
      <w:r w:rsidR="00146721" w:rsidRPr="00FA54FA">
        <w:rPr>
          <w:rFonts w:cs="Times New Roman"/>
        </w:rPr>
        <w:t xml:space="preserve"> que la primera estructura de coordinación comenz</w:t>
      </w:r>
      <w:r w:rsidR="003915BA" w:rsidRPr="00FA54FA">
        <w:rPr>
          <w:rFonts w:cs="Times New Roman"/>
        </w:rPr>
        <w:t>ó</w:t>
      </w:r>
      <w:r w:rsidR="00146721" w:rsidRPr="00FA54FA">
        <w:rPr>
          <w:rFonts w:cs="Times New Roman"/>
        </w:rPr>
        <w:t xml:space="preserve"> a presentar dificultades a medida que el proyecto incorporaba nuevas áreas y perfiles técnicos. Inicialmente, el equipo trabajaba mediante reuniones generales y canales colectivos de intercambio de información. Sin embargo, la coexistencia de discusiones sobre automatización, programación, estudios de mercado, diseño industrial, propiedad intelectual y validación técnica comenzó a producir problemas de circulación y procesamiento de información entre los participantes.</w:t>
      </w:r>
    </w:p>
    <w:p w14:paraId="4C214C73" w14:textId="57A9DCAF" w:rsidR="00146721" w:rsidRPr="00FA54FA" w:rsidRDefault="00064E8E" w:rsidP="00746B6F">
      <w:pPr>
        <w:spacing w:line="240" w:lineRule="auto"/>
        <w:jc w:val="both"/>
        <w:rPr>
          <w:rFonts w:cs="Times New Roman"/>
        </w:rPr>
      </w:pPr>
      <w:r w:rsidRPr="00FA54FA">
        <w:rPr>
          <w:rFonts w:cs="Times New Roman"/>
        </w:rPr>
        <w:t>El responsable de la gestión del equipo de UNLaM</w:t>
      </w:r>
      <w:r w:rsidR="00146721" w:rsidRPr="00FA54FA">
        <w:rPr>
          <w:rFonts w:cs="Times New Roman"/>
        </w:rPr>
        <w:t xml:space="preserve"> reconoc</w:t>
      </w:r>
      <w:r w:rsidR="003915BA" w:rsidRPr="00FA54FA">
        <w:rPr>
          <w:rFonts w:cs="Times New Roman"/>
        </w:rPr>
        <w:t>ió</w:t>
      </w:r>
      <w:r w:rsidR="00146721" w:rsidRPr="00FA54FA">
        <w:rPr>
          <w:rFonts w:cs="Times New Roman"/>
        </w:rPr>
        <w:t xml:space="preserve"> retrospectivamente que “tratamos de reunirnos todos para hablar de todos los temas y me parece que eso no funcionaba” (</w:t>
      </w:r>
      <w:r w:rsidR="00147BBC" w:rsidRPr="00FA54FA">
        <w:rPr>
          <w:rFonts w:cs="Times New Roman"/>
        </w:rPr>
        <w:t>M.D.</w:t>
      </w:r>
      <w:r w:rsidR="00146721" w:rsidRPr="00FA54FA">
        <w:rPr>
          <w:rFonts w:cs="Times New Roman"/>
        </w:rPr>
        <w:t>, mayo de 2026). Según explic</w:t>
      </w:r>
      <w:r w:rsidR="00955502" w:rsidRPr="00FA54FA">
        <w:rPr>
          <w:rFonts w:cs="Times New Roman"/>
        </w:rPr>
        <w:t>ó</w:t>
      </w:r>
      <w:r w:rsidR="00146721" w:rsidRPr="00FA54FA">
        <w:rPr>
          <w:rFonts w:cs="Times New Roman"/>
        </w:rPr>
        <w:t xml:space="preserve">, el crecimiento del proyecto produjo situaciones donde cierta información resultaba central para algunos </w:t>
      </w:r>
      <w:r w:rsidR="007545E6" w:rsidRPr="00FA54FA">
        <w:rPr>
          <w:rFonts w:cs="Times New Roman"/>
        </w:rPr>
        <w:t>integrantes</w:t>
      </w:r>
      <w:r w:rsidR="00146721" w:rsidRPr="00FA54FA">
        <w:rPr>
          <w:rFonts w:cs="Times New Roman"/>
        </w:rPr>
        <w:t>, pero irrelevante para otros. La dificultad no estaba asociada únicamente al volumen de información, sino también a la heterogeneidad de lenguajes técnicos y necesidades operativas. El propio entrevistado ejemplific</w:t>
      </w:r>
      <w:r w:rsidR="00955502" w:rsidRPr="00FA54FA">
        <w:rPr>
          <w:rFonts w:cs="Times New Roman"/>
        </w:rPr>
        <w:t>ó</w:t>
      </w:r>
      <w:r w:rsidR="00146721" w:rsidRPr="00FA54FA">
        <w:rPr>
          <w:rFonts w:cs="Times New Roman"/>
        </w:rPr>
        <w:t xml:space="preserve"> esta situación al señalar que quienes trabajaban sobre el plan de negocios probablemente no necesitaban participar de discusiones sobre componentes electrónicos o programación específica del dispositivo.</w:t>
      </w:r>
    </w:p>
    <w:p w14:paraId="7D4836DB" w14:textId="507788B6" w:rsidR="00146721" w:rsidRPr="00FA54FA" w:rsidRDefault="00146721" w:rsidP="00746B6F">
      <w:pPr>
        <w:spacing w:line="240" w:lineRule="auto"/>
        <w:jc w:val="both"/>
        <w:rPr>
          <w:rFonts w:cs="Times New Roman"/>
        </w:rPr>
      </w:pPr>
      <w:r w:rsidRPr="00FA54FA">
        <w:rPr>
          <w:rFonts w:cs="Times New Roman"/>
        </w:rPr>
        <w:t xml:space="preserve">Frente a esto, el equipo comenzó a reorganizar gradualmente la dinámica de trabajo mediante subgrupos especializados con responsabilidades diferenciadas. La reorganización permitió ordenar tareas y reducir interferencias entre áreas; al mismo tiempo, introdujo nuevas dificultades vinculadas a la circulación parcial de información entre equipos. </w:t>
      </w:r>
      <w:r w:rsidR="00212EF5" w:rsidRPr="00FA54FA">
        <w:rPr>
          <w:rFonts w:cs="Times New Roman"/>
        </w:rPr>
        <w:t>M.D.</w:t>
      </w:r>
      <w:r w:rsidRPr="00FA54FA">
        <w:rPr>
          <w:rFonts w:cs="Times New Roman"/>
        </w:rPr>
        <w:t xml:space="preserve"> señal</w:t>
      </w:r>
      <w:r w:rsidR="00955502" w:rsidRPr="00FA54FA">
        <w:rPr>
          <w:rFonts w:cs="Times New Roman"/>
        </w:rPr>
        <w:t>ó</w:t>
      </w:r>
      <w:r w:rsidRPr="00FA54FA">
        <w:rPr>
          <w:rFonts w:cs="Times New Roman"/>
        </w:rPr>
        <w:t xml:space="preserve"> que “todo empezó a funcionar cuando se separaron</w:t>
      </w:r>
      <w:r w:rsidR="00142A8F" w:rsidRPr="00FA54FA">
        <w:rPr>
          <w:rFonts w:cs="Times New Roman"/>
        </w:rPr>
        <w:t xml:space="preserve"> en base a los objetivos del proyecto</w:t>
      </w:r>
      <w:r w:rsidR="002D5969" w:rsidRPr="00FA54FA">
        <w:rPr>
          <w:rFonts w:cs="Times New Roman"/>
        </w:rPr>
        <w:t>, en áreas</w:t>
      </w:r>
      <w:r w:rsidRPr="00FA54FA">
        <w:rPr>
          <w:rFonts w:cs="Times New Roman"/>
        </w:rPr>
        <w:t>”, aunque inmediatamente agreg</w:t>
      </w:r>
      <w:r w:rsidR="00995676" w:rsidRPr="00FA54FA">
        <w:rPr>
          <w:rFonts w:cs="Times New Roman"/>
        </w:rPr>
        <w:t>ó</w:t>
      </w:r>
      <w:r w:rsidRPr="00FA54FA">
        <w:rPr>
          <w:rFonts w:cs="Times New Roman"/>
        </w:rPr>
        <w:t xml:space="preserve"> que esa separación producía el riesgo de que </w:t>
      </w:r>
      <w:r w:rsidR="002D5969" w:rsidRPr="00FA54FA">
        <w:rPr>
          <w:rFonts w:cs="Times New Roman"/>
        </w:rPr>
        <w:t>alguien no</w:t>
      </w:r>
      <w:r w:rsidRPr="00FA54FA">
        <w:rPr>
          <w:rFonts w:cs="Times New Roman"/>
        </w:rPr>
        <w:t xml:space="preserve"> </w:t>
      </w:r>
      <w:r w:rsidR="00142A8F" w:rsidRPr="00FA54FA">
        <w:rPr>
          <w:rFonts w:cs="Times New Roman"/>
        </w:rPr>
        <w:t>supiera</w:t>
      </w:r>
      <w:r w:rsidRPr="00FA54FA">
        <w:rPr>
          <w:rFonts w:cs="Times New Roman"/>
        </w:rPr>
        <w:t xml:space="preserve"> qué está haciendo el otro (</w:t>
      </w:r>
      <w:r w:rsidR="002D5969" w:rsidRPr="00FA54FA">
        <w:rPr>
          <w:rFonts w:cs="Times New Roman"/>
        </w:rPr>
        <w:t>M.D.</w:t>
      </w:r>
      <w:r w:rsidRPr="00FA54FA">
        <w:rPr>
          <w:rFonts w:cs="Times New Roman"/>
        </w:rPr>
        <w:t xml:space="preserve">, mayo de 2026). La coordinación dejó entonces de depender de reuniones generales permanentes y pasó a sostenerse mediante mecanismos de sincronización específicos entre referentes de cada área. Esta reorganización adquirió una dinámica similar al modelo </w:t>
      </w:r>
      <w:r w:rsidRPr="00FA54FA">
        <w:rPr>
          <w:rFonts w:cs="Times New Roman"/>
          <w:i/>
          <w:iCs/>
        </w:rPr>
        <w:t>Scrum of Scrums</w:t>
      </w:r>
      <w:r w:rsidRPr="00FA54FA">
        <w:rPr>
          <w:rFonts w:cs="Times New Roman"/>
        </w:rPr>
        <w:t>, utilizado para coordinar múltiples equipos con tareas interdependientes y gestionar dependencias cruzadas en proyectos complejos (SCRUMstudy™, 2017).</w:t>
      </w:r>
    </w:p>
    <w:p w14:paraId="0FB48E1E" w14:textId="55FCC621" w:rsidR="008C1499" w:rsidRPr="00FA54FA" w:rsidRDefault="004D77AE" w:rsidP="00746B6F">
      <w:pPr>
        <w:spacing w:line="240" w:lineRule="auto"/>
        <w:jc w:val="both"/>
        <w:rPr>
          <w:rFonts w:cs="Times New Roman"/>
        </w:rPr>
      </w:pPr>
      <w:r w:rsidRPr="00FA54FA">
        <w:rPr>
          <w:rFonts w:cs="Times New Roman"/>
        </w:rPr>
        <w:t xml:space="preserve">La reorganización de tareas también involucró áreas vinculadas al diseño industrial, identidad visual del producto y protección de activos intangibles. Estas dimensiones no se desarrollaban de manera aislada respecto del prototipo físico, sino en articulación permanente con las decisiones de optimización técnica y proyección comercial. En este proceso se incorporó progresivamente una diseñadora industrial externa, cuya participación comenzó a adquirir relevancia a medida que la reorganización del trabajo identificaba nuevas necesidades asociadas al diseño del producto, documentación técnica e identidad visual vinculadas con hitos y entregables que debían informarse ante la convocatoria PDTS-CIN-UNIUEAR como parte del seguimiento técnico y avance formal del proyecto. En términos operativos, modificaciones sobre materiales, escalabilidad o configuración del dispositivo impactaban directamente sobre aspectos asociados al diseño del producto y su posterior protección institucional. </w:t>
      </w:r>
      <w:r w:rsidR="008C1499" w:rsidRPr="00FA54FA">
        <w:rPr>
          <w:rFonts w:cs="Times New Roman"/>
        </w:rPr>
        <w:t>En este sentido, J.B. señal</w:t>
      </w:r>
      <w:r w:rsidR="00DC3C31" w:rsidRPr="00FA54FA">
        <w:rPr>
          <w:rFonts w:cs="Times New Roman"/>
        </w:rPr>
        <w:t>aba</w:t>
      </w:r>
      <w:r w:rsidR="008C1499" w:rsidRPr="00FA54FA">
        <w:rPr>
          <w:rFonts w:cs="Times New Roman"/>
        </w:rPr>
        <w:t xml:space="preserve"> que determinadas decisiones vinculadas con diseño, identidad del producto y presentación institucional comenzaban a adquirir importancia porque el dispositivo debía pensarse no </w:t>
      </w:r>
      <w:r w:rsidR="008C1499" w:rsidRPr="00FA54FA">
        <w:rPr>
          <w:rFonts w:cs="Times New Roman"/>
        </w:rPr>
        <w:lastRenderedPageBreak/>
        <w:t>solo desde su funcionamiento técnico, sino también desde sus posibilidades futuras de adopción y escalabilidad</w:t>
      </w:r>
      <w:r w:rsidR="005322A5" w:rsidRPr="00FA54FA">
        <w:rPr>
          <w:rFonts w:cs="Times New Roman"/>
        </w:rPr>
        <w:t xml:space="preserve"> (J.B., mayo de 2026).</w:t>
      </w:r>
    </w:p>
    <w:p w14:paraId="7AD0201F" w14:textId="11D426F9" w:rsidR="00146721" w:rsidRPr="00FA54FA" w:rsidRDefault="00146721" w:rsidP="00746B6F">
      <w:pPr>
        <w:spacing w:line="240" w:lineRule="auto"/>
        <w:jc w:val="both"/>
        <w:rPr>
          <w:rFonts w:cs="Times New Roman"/>
        </w:rPr>
      </w:pPr>
      <w:r w:rsidRPr="00FA54FA">
        <w:rPr>
          <w:rFonts w:cs="Times New Roman"/>
        </w:rPr>
        <w:t xml:space="preserve">Esto producía nuevas dependencias entre áreas que, inicialmente, trabajaban con dinámicas relativamente autónomas. </w:t>
      </w:r>
      <w:r w:rsidR="00EA6581" w:rsidRPr="00FA54FA">
        <w:rPr>
          <w:rFonts w:cs="Times New Roman"/>
        </w:rPr>
        <w:t xml:space="preserve">La articulación entre desarrollo técnico, diseño industrial y proyección comercial muestra que la transferencia no se limita a la producción de un artefacto funcional, sino que involucra procesos simultáneos de valorización, identificación y proyección institucional del resultado tecnológico. </w:t>
      </w:r>
      <w:r w:rsidR="003324E9" w:rsidRPr="00FA54FA">
        <w:rPr>
          <w:rFonts w:cs="Times New Roman"/>
        </w:rPr>
        <w:t>Así</w:t>
      </w:r>
      <w:r w:rsidR="00EA6581" w:rsidRPr="00FA54FA">
        <w:rPr>
          <w:rFonts w:cs="Times New Roman"/>
        </w:rPr>
        <w:t xml:space="preserve">, la transferencia tecnológica deja de entenderse como </w:t>
      </w:r>
      <w:r w:rsidR="00875C15" w:rsidRPr="00FA54FA">
        <w:rPr>
          <w:rFonts w:cs="Times New Roman"/>
        </w:rPr>
        <w:t>una dinámica unidireccional</w:t>
      </w:r>
      <w:r w:rsidR="00EA6581" w:rsidRPr="00FA54FA">
        <w:rPr>
          <w:rFonts w:cs="Times New Roman"/>
        </w:rPr>
        <w:t xml:space="preserve"> y pasa a involucrar procesos de intermediación, circulación y apropiación entre actores con capacidades y responsabilidades diferentes (Codner et al., 2012).</w:t>
      </w:r>
    </w:p>
    <w:p w14:paraId="74A3A5E8" w14:textId="6E71D898" w:rsidR="00C030EE" w:rsidRPr="00FA54FA" w:rsidRDefault="00536C99" w:rsidP="00746B6F">
      <w:pPr>
        <w:spacing w:line="240" w:lineRule="auto"/>
        <w:jc w:val="both"/>
        <w:rPr>
          <w:rFonts w:cs="Times New Roman"/>
        </w:rPr>
      </w:pPr>
      <w:r w:rsidRPr="00FA54FA">
        <w:rPr>
          <w:rFonts w:cs="Times New Roman"/>
        </w:rPr>
        <w:t>El intercambio</w:t>
      </w:r>
      <w:r w:rsidR="00146721" w:rsidRPr="00FA54FA">
        <w:rPr>
          <w:rFonts w:cs="Times New Roman"/>
        </w:rPr>
        <w:t xml:space="preserve"> de </w:t>
      </w:r>
      <w:r w:rsidR="00C8176D" w:rsidRPr="00FA54FA">
        <w:rPr>
          <w:rFonts w:cs="Times New Roman"/>
        </w:rPr>
        <w:t xml:space="preserve">la </w:t>
      </w:r>
      <w:r w:rsidR="00146721" w:rsidRPr="00FA54FA">
        <w:rPr>
          <w:rFonts w:cs="Times New Roman"/>
        </w:rPr>
        <w:t>información también aparece vinculad</w:t>
      </w:r>
      <w:r w:rsidR="008F4C4B" w:rsidRPr="00FA54FA">
        <w:rPr>
          <w:rFonts w:cs="Times New Roman"/>
        </w:rPr>
        <w:t>o</w:t>
      </w:r>
      <w:r w:rsidR="00146721" w:rsidRPr="00FA54FA">
        <w:rPr>
          <w:rFonts w:cs="Times New Roman"/>
        </w:rPr>
        <w:t xml:space="preserve"> a cuestiones de legitimidad y manejo institucional de los vínculos. </w:t>
      </w:r>
      <w:r w:rsidR="00BE4239" w:rsidRPr="00FA54FA">
        <w:rPr>
          <w:rFonts w:cs="Times New Roman"/>
        </w:rPr>
        <w:t>El referente del INTA</w:t>
      </w:r>
      <w:r w:rsidR="00146721" w:rsidRPr="00FA54FA">
        <w:rPr>
          <w:rFonts w:cs="Times New Roman"/>
        </w:rPr>
        <w:t xml:space="preserve"> sost</w:t>
      </w:r>
      <w:r w:rsidR="00652AB0" w:rsidRPr="00FA54FA">
        <w:rPr>
          <w:rFonts w:cs="Times New Roman"/>
        </w:rPr>
        <w:t>uvo</w:t>
      </w:r>
      <w:r w:rsidR="00146721" w:rsidRPr="00FA54FA">
        <w:rPr>
          <w:rFonts w:cs="Times New Roman"/>
        </w:rPr>
        <w:t xml:space="preserve"> que </w:t>
      </w:r>
      <w:r w:rsidR="00C8176D" w:rsidRPr="00FA54FA">
        <w:rPr>
          <w:rFonts w:cs="Times New Roman"/>
        </w:rPr>
        <w:t>“</w:t>
      </w:r>
      <w:r w:rsidR="00146721" w:rsidRPr="00FA54FA">
        <w:rPr>
          <w:rFonts w:cs="Times New Roman"/>
        </w:rPr>
        <w:t>ciertos contactos con autoridades universitarias o decisiones institucionales debían canalizarse a través de quienes coordinaban formalmente el proyecto dentro de la universidad</w:t>
      </w:r>
      <w:r w:rsidR="00C8176D" w:rsidRPr="00FA54FA">
        <w:rPr>
          <w:rFonts w:cs="Times New Roman"/>
        </w:rPr>
        <w:t>”</w:t>
      </w:r>
      <w:r w:rsidR="00146721" w:rsidRPr="00FA54FA">
        <w:rPr>
          <w:rFonts w:cs="Times New Roman"/>
        </w:rPr>
        <w:t xml:space="preserve"> (</w:t>
      </w:r>
      <w:r w:rsidR="00BE4239" w:rsidRPr="00FA54FA">
        <w:rPr>
          <w:rFonts w:cs="Times New Roman"/>
        </w:rPr>
        <w:t>Comunicación</w:t>
      </w:r>
      <w:r w:rsidR="00146721" w:rsidRPr="00FA54FA">
        <w:rPr>
          <w:rFonts w:cs="Times New Roman"/>
        </w:rPr>
        <w:t xml:space="preserve"> personal, mayo de 2026). Esta delimitación no se presenta como una cuestión protocolar menor, sino como parte de la construcción de responsabilidades y reconocimiento entre las partes. </w:t>
      </w:r>
      <w:r w:rsidR="00487310" w:rsidRPr="00FA54FA">
        <w:rPr>
          <w:rFonts w:cs="Times New Roman"/>
        </w:rPr>
        <w:t>En este proceso, las trayectorias previas compartidas entre los actores facilitaron ciertos acuerdos operativos y permitieron sostener instancias de coordinación aun frente a diferencias de criterio o reorganizaciones internas del trabajo.</w:t>
      </w:r>
      <w:r w:rsidR="007C2BDB" w:rsidRPr="00FA54FA">
        <w:rPr>
          <w:rFonts w:cs="Times New Roman"/>
        </w:rPr>
        <w:t xml:space="preserve"> </w:t>
      </w:r>
    </w:p>
    <w:p w14:paraId="039E9CF3" w14:textId="2C6ED81B" w:rsidR="00146721" w:rsidRPr="00FA54FA" w:rsidRDefault="006C6BF8" w:rsidP="00746B6F">
      <w:pPr>
        <w:spacing w:line="240" w:lineRule="auto"/>
        <w:jc w:val="both"/>
        <w:rPr>
          <w:rFonts w:cs="Times New Roman"/>
        </w:rPr>
      </w:pPr>
      <w:r w:rsidRPr="00FA54FA">
        <w:rPr>
          <w:rFonts w:cs="Times New Roman"/>
        </w:rPr>
        <w:t>Desde esta perspectiva, las interacciones entre instituciones pueden entenderse como espacios donde circulan capacidades, conocimientos y recursos que se construyen históricamente a través de experiencias compartidas (Casas, 2015). Esta mirada permite interpretar por qué determinadas formas de coordinación lograron sostenerse más allá de las modificaciones organizativas introducidas durante la ejecución del proyecto.</w:t>
      </w:r>
    </w:p>
    <w:p w14:paraId="5FD7D665" w14:textId="363EEB89" w:rsidR="00146721" w:rsidRPr="00FA54FA" w:rsidRDefault="00146721" w:rsidP="00746B6F">
      <w:pPr>
        <w:spacing w:line="240" w:lineRule="auto"/>
        <w:jc w:val="both"/>
        <w:rPr>
          <w:rFonts w:cs="Times New Roman"/>
        </w:rPr>
      </w:pPr>
      <w:r w:rsidRPr="00FA54FA">
        <w:rPr>
          <w:rFonts w:cs="Times New Roman"/>
        </w:rPr>
        <w:t>En paralelo, ambos entrevistados menciona</w:t>
      </w:r>
      <w:r w:rsidR="002F608D" w:rsidRPr="00FA54FA">
        <w:rPr>
          <w:rFonts w:cs="Times New Roman"/>
        </w:rPr>
        <w:t>ron</w:t>
      </w:r>
      <w:r w:rsidRPr="00FA54FA">
        <w:rPr>
          <w:rFonts w:cs="Times New Roman"/>
        </w:rPr>
        <w:t xml:space="preserve"> el peso que adquieren las tareas burocráticas y administrativas dentro de proyectos de este tipo. Rendiciones, seguimiento de gastos, informes y validaciones institucionales aparecen como actividades que consumen tiempo y reorientan parte del esfuerzo de coordinación. </w:t>
      </w:r>
      <w:r w:rsidR="00BA3A07" w:rsidRPr="00FA54FA">
        <w:rPr>
          <w:rFonts w:cs="Times New Roman"/>
        </w:rPr>
        <w:t>Desde el nodo UNLaM se</w:t>
      </w:r>
      <w:r w:rsidRPr="00FA54FA">
        <w:rPr>
          <w:rFonts w:cs="Times New Roman"/>
        </w:rPr>
        <w:t xml:space="preserve"> señal</w:t>
      </w:r>
      <w:r w:rsidR="00251217" w:rsidRPr="00FA54FA">
        <w:rPr>
          <w:rFonts w:cs="Times New Roman"/>
        </w:rPr>
        <w:t>ó</w:t>
      </w:r>
      <w:r w:rsidRPr="00FA54FA">
        <w:rPr>
          <w:rFonts w:cs="Times New Roman"/>
        </w:rPr>
        <w:t xml:space="preserve"> que debió asumir gran parte de esas responsabilidades para permitir que el demandante pudiera concentrarse en el desarrollo técnico del dispositivo (</w:t>
      </w:r>
      <w:r w:rsidR="00BA3A07" w:rsidRPr="00FA54FA">
        <w:rPr>
          <w:rFonts w:cs="Times New Roman"/>
        </w:rPr>
        <w:t>Comunicación</w:t>
      </w:r>
      <w:r w:rsidR="00C7477B" w:rsidRPr="00FA54FA">
        <w:rPr>
          <w:rFonts w:cs="Times New Roman"/>
        </w:rPr>
        <w:t xml:space="preserve"> </w:t>
      </w:r>
      <w:r w:rsidRPr="00FA54FA">
        <w:rPr>
          <w:rFonts w:cs="Times New Roman"/>
        </w:rPr>
        <w:t xml:space="preserve">personal, mayo de 2026). </w:t>
      </w:r>
    </w:p>
    <w:p w14:paraId="071CD965" w14:textId="134CB1EE" w:rsidR="00146721" w:rsidRPr="00FA54FA" w:rsidRDefault="008B406C" w:rsidP="00746B6F">
      <w:pPr>
        <w:spacing w:line="240" w:lineRule="auto"/>
        <w:jc w:val="both"/>
        <w:rPr>
          <w:rFonts w:cs="Times New Roman"/>
        </w:rPr>
      </w:pPr>
      <w:r w:rsidRPr="00FA54FA">
        <w:rPr>
          <w:rFonts w:cs="Times New Roman"/>
        </w:rPr>
        <w:t>Estas dinámicas muestran que la coordinación del proyecto excede la dimensión estrictamente técnica y se configura como un proceso de negociación permanente entre actores, temporalidades, responsabilidades institucionales y expectativas de aplicación. La necesidad de reorganizar reuniones, redistribuir circuitos de información y establecer mecanismos de comunicación más focalizados muestra que la planificación del trabajo debió ajustarse progresivamente a la complejidad del proyecto y a la diversidad de perfiles involucrados. Sobre esta base emergen también tensiones vinculadas con validación, proyección futura del dispositivo y sostenibilidad del vínculo entre las partes</w:t>
      </w:r>
      <w:r w:rsidR="00EB1222" w:rsidRPr="00FA54FA">
        <w:rPr>
          <w:rFonts w:cs="Times New Roman"/>
        </w:rPr>
        <w:t>.</w:t>
      </w:r>
    </w:p>
    <w:p w14:paraId="12CE0BCB" w14:textId="28C77694" w:rsidR="005F3B2E" w:rsidRPr="00FA54FA" w:rsidRDefault="005F3B2E" w:rsidP="00746B6F">
      <w:pPr>
        <w:pStyle w:val="Ttulo1"/>
        <w:spacing w:line="240" w:lineRule="auto"/>
        <w:jc w:val="both"/>
        <w:rPr>
          <w:rFonts w:cs="Times New Roman"/>
          <w:szCs w:val="24"/>
        </w:rPr>
      </w:pPr>
      <w:r w:rsidRPr="00FA54FA">
        <w:rPr>
          <w:rFonts w:cs="Times New Roman"/>
          <w:szCs w:val="24"/>
        </w:rPr>
        <w:lastRenderedPageBreak/>
        <w:t>Conclusiones</w:t>
      </w:r>
    </w:p>
    <w:p w14:paraId="2B5FE9DE" w14:textId="2406CDAB" w:rsidR="00773910" w:rsidRPr="00FA54FA" w:rsidRDefault="00773910" w:rsidP="00746B6F">
      <w:pPr>
        <w:spacing w:line="240" w:lineRule="auto"/>
        <w:jc w:val="both"/>
        <w:rPr>
          <w:rFonts w:cs="Times New Roman"/>
        </w:rPr>
      </w:pPr>
      <w:r w:rsidRPr="00FA54FA">
        <w:rPr>
          <w:rFonts w:cs="Times New Roman"/>
        </w:rPr>
        <w:t xml:space="preserve">La experiencia analizada permite </w:t>
      </w:r>
      <w:r w:rsidR="00933ECD" w:rsidRPr="00FA54FA">
        <w:rPr>
          <w:rFonts w:cs="Times New Roman"/>
        </w:rPr>
        <w:t>dar cuenta</w:t>
      </w:r>
      <w:r w:rsidRPr="00FA54FA">
        <w:rPr>
          <w:rFonts w:cs="Times New Roman"/>
        </w:rPr>
        <w:t xml:space="preserve"> </w:t>
      </w:r>
      <w:r w:rsidR="00D82D9A" w:rsidRPr="00FA54FA">
        <w:rPr>
          <w:rFonts w:cs="Times New Roman"/>
        </w:rPr>
        <w:t xml:space="preserve">de </w:t>
      </w:r>
      <w:r w:rsidRPr="00FA54FA">
        <w:rPr>
          <w:rFonts w:cs="Times New Roman"/>
        </w:rPr>
        <w:t>que la articulación entre el INTA y la UNLaM excede ampliamente la dimensión formal prevista por los instrumentos de política científica orientados. Si bien la convocatoria PDTS-CIN-UNIUEAR establece condiciones institucionales para promover la vinculación entre universidades y actores externos, el caso muestra que la construcción efectiva del vínculo se sostiene sobre elementos que difícilmente pueden formalizarse completamente en bases, formularios o requisitos administrativos. La confianza previa, el reconocimiento técnico acumulado y las trayectorias compartidas entre los actores aparecen como condiciones relevantes para organizar acuerdos, distribuir responsabilidades y sostener la cooperación durante el desarrollo del proyecto.</w:t>
      </w:r>
    </w:p>
    <w:p w14:paraId="04A506BF" w14:textId="77777777" w:rsidR="00773910" w:rsidRPr="00FA54FA" w:rsidRDefault="00773910" w:rsidP="00746B6F">
      <w:pPr>
        <w:spacing w:line="240" w:lineRule="auto"/>
        <w:jc w:val="both"/>
        <w:rPr>
          <w:rFonts w:cs="Times New Roman"/>
        </w:rPr>
      </w:pPr>
      <w:r w:rsidRPr="00FA54FA">
        <w:rPr>
          <w:rFonts w:cs="Times New Roman"/>
        </w:rPr>
        <w:t>En este sentido, la experiencia reconstruida muestra que la relación entre ambas instituciones no surge únicamente a partir de una convocatoria específica, sino sobre una trayectoria previa de trabajo vinculada al desarrollo del MAPHI. Ese antecedente permitió consolidar formas de reconocimiento mutuo, conocimiento sobre las modalidades de trabajo y mecanismos de coordinación que posteriormente facilitaron la construcción de una nueva agenda de cooperación. La reformulación del proyecto sobre la base de una experiencia anterior también permite observar cómo las categorías de demandante y adoptante adquieren un carácter dinámico durante el proceso. Más que posiciones fijas, estos roles se redefinen según las capacidades disponibles, las necesidades técnicas emergentes y las posibilidades concretas de aplicación del desarrollo tecnológico.</w:t>
      </w:r>
    </w:p>
    <w:p w14:paraId="0F14BEB4" w14:textId="2E47008F" w:rsidR="00773910" w:rsidRPr="00FA54FA" w:rsidRDefault="00773910" w:rsidP="00746B6F">
      <w:pPr>
        <w:spacing w:line="240" w:lineRule="auto"/>
        <w:jc w:val="both"/>
        <w:rPr>
          <w:rFonts w:cs="Times New Roman"/>
        </w:rPr>
      </w:pPr>
      <w:r w:rsidRPr="00FA54FA">
        <w:rPr>
          <w:rFonts w:cs="Times New Roman"/>
        </w:rPr>
        <w:t xml:space="preserve">La participación del organismo demandante-adoptante tampoco se restringe a formular una necesidad inicial o validar resultados finales. Por el contrario, el actor externo interviene activamente en discusiones técnicas, prioridades de trabajo, criterios de escalabilidad y decisiones vinculadas con la proyección futura del dispositivo. Esta participación </w:t>
      </w:r>
      <w:r w:rsidR="0028202D" w:rsidRPr="00FA54FA">
        <w:rPr>
          <w:rFonts w:cs="Times New Roman"/>
        </w:rPr>
        <w:t>permite observar que la producción de conocimiento se construye mediante intercambios permanentes entre las partes, donde los problemas, las alternativas de solución y los criterios de validación se redefinen a lo largo del proceso de trabajo.</w:t>
      </w:r>
      <w:r w:rsidRPr="00FA54FA">
        <w:rPr>
          <w:rFonts w:cs="Times New Roman"/>
        </w:rPr>
        <w:t xml:space="preserve"> La experiencia permite advertir que la orientación de proyectos hacia problemas concretos no elimina las tensiones entre actores; por el contrario, introduce nuevas instancias de negociación vinculadas con tiempos de ejecución, criterios metodológicos, prioridades técnicas y expectativas de aplicación.</w:t>
      </w:r>
    </w:p>
    <w:p w14:paraId="4707B0CD" w14:textId="77777777" w:rsidR="00773910" w:rsidRPr="00FA54FA" w:rsidRDefault="00773910" w:rsidP="00746B6F">
      <w:pPr>
        <w:spacing w:line="240" w:lineRule="auto"/>
        <w:jc w:val="both"/>
        <w:rPr>
          <w:rFonts w:cs="Times New Roman"/>
        </w:rPr>
      </w:pPr>
      <w:r w:rsidRPr="00FA54FA">
        <w:rPr>
          <w:rFonts w:cs="Times New Roman"/>
        </w:rPr>
        <w:t>En paralelo, el caso muestra que la coordinación de proyectos orientados exige construir formas de organización capaces de sostener simultáneamente integración general y especialización técnica. La reorganización de reuniones, la separación de equipos por áreas específicas y la necesidad de generar mecanismos de sincronización entre subgrupos surgieron como respuestas concretas frente al crecimiento del proyecto y a la complejidad de las tareas involucradas. De este modo, la planificación del trabajo dejó de depender exclusivamente de estructuras generales de intercambio y comenzó a apoyarse en circuitos de comunicación más focalizados, donde la circulación de información se ajustaba a necesidades operativas específicas de cada área.</w:t>
      </w:r>
    </w:p>
    <w:p w14:paraId="3421C245" w14:textId="2886299D" w:rsidR="00773910" w:rsidRPr="00FA54FA" w:rsidRDefault="00773910" w:rsidP="00746B6F">
      <w:pPr>
        <w:spacing w:line="240" w:lineRule="auto"/>
        <w:jc w:val="both"/>
        <w:rPr>
          <w:rFonts w:cs="Times New Roman"/>
        </w:rPr>
      </w:pPr>
      <w:r w:rsidRPr="00FA54FA">
        <w:rPr>
          <w:rFonts w:cs="Times New Roman"/>
        </w:rPr>
        <w:lastRenderedPageBreak/>
        <w:t>Otro aspecto relevante reside en el lugar que adquiere el propio artefacto tecnológico dentro de la relación entre las partes. El dispositivo desarrollado deja de funcionar únicamente como resultado puntual y comienza a operar como soporte para futuras instancias de validación, optimización y posible escalamiento.</w:t>
      </w:r>
      <w:r w:rsidR="002D24B4" w:rsidRPr="00FA54FA">
        <w:rPr>
          <w:rFonts w:cs="Times New Roman"/>
        </w:rPr>
        <w:t xml:space="preserve"> La incorporación de actividades vinculadas con diseño industrial, identidad del producto, protección de activos intangibles y análisis de mercado muestra que la proyección del desarrollo excede la resolución de un problema técnico específico y se vincula con procesos más amplios de valorización y apropiación institucional del conocimiento producido</w:t>
      </w:r>
      <w:r w:rsidR="004F00CB" w:rsidRPr="00FA54FA">
        <w:rPr>
          <w:rFonts w:cs="Times New Roman"/>
        </w:rPr>
        <w:t>.</w:t>
      </w:r>
      <w:r w:rsidRPr="00FA54FA">
        <w:rPr>
          <w:rFonts w:cs="Times New Roman"/>
        </w:rPr>
        <w:t xml:space="preserve"> La proyección de nuevas aplicaciones y mejoras técnicas contribuye a sostener la interacción entre los actores más allá de la convocatoria específica que dio origen al proyecto. En este sentido, la continuidad del vínculo aparece asociada no solo a la existencia de financiamiento, sino también a la capacidad del desarrollo tecnológico para seguir generando nuevas necesidades de cooperación e intercambio institucional.</w:t>
      </w:r>
    </w:p>
    <w:p w14:paraId="7A43F14C" w14:textId="77E3EE3E" w:rsidR="00773910" w:rsidRPr="00FA54FA" w:rsidRDefault="00773910" w:rsidP="00746B6F">
      <w:pPr>
        <w:spacing w:line="240" w:lineRule="auto"/>
        <w:jc w:val="both"/>
        <w:rPr>
          <w:rFonts w:cs="Times New Roman"/>
        </w:rPr>
      </w:pPr>
      <w:r w:rsidRPr="00FA54FA">
        <w:rPr>
          <w:rFonts w:cs="Times New Roman"/>
        </w:rPr>
        <w:t xml:space="preserve">A su vez, la experiencia evidencia que las dinámicas de articulación entre universidad y entorno no pueden comprenderse únicamente desde las estructuras formales de financiamiento o acreditación. </w:t>
      </w:r>
      <w:r w:rsidR="00E71E42" w:rsidRPr="00FA54FA">
        <w:rPr>
          <w:rFonts w:cs="Times New Roman"/>
        </w:rPr>
        <w:t>Los instrumentos orientados crean condiciones institucionales para la cooperación, pero la experiencia analizada muestra que su efectividad depende de la capacidad de los actores para construir acuerdos, reorganizar prácticas de trabajo y sostener espacios de interacción frente a problemas emergentes.</w:t>
      </w:r>
      <w:r w:rsidRPr="00FA54FA">
        <w:rPr>
          <w:rFonts w:cs="Times New Roman"/>
        </w:rPr>
        <w:t xml:space="preserve"> La confianza construida entre actores, la posibilidad de reorganizar dinámicas de trabajo frente a problemas emergentes y la capacidad de sostener mecanismos de coordinación entre perfiles técnicos diversos aparecen como dimensiones centrales para comprender cómo se desarrollan este tipo de proyectos.</w:t>
      </w:r>
    </w:p>
    <w:p w14:paraId="40F37916" w14:textId="03CE6CB6" w:rsidR="00A965D9" w:rsidRPr="00FA54FA" w:rsidRDefault="00A965D9" w:rsidP="00746B6F">
      <w:pPr>
        <w:spacing w:line="240" w:lineRule="auto"/>
        <w:jc w:val="both"/>
        <w:rPr>
          <w:rFonts w:cs="Times New Roman"/>
        </w:rPr>
      </w:pPr>
      <w:r w:rsidRPr="00FA54FA">
        <w:rPr>
          <w:rFonts w:cs="Times New Roman"/>
        </w:rPr>
        <w:t>Finalmente, la experiencia analizada permite advertir que la participación del organismo demandante-adoptante no se limita a acompañar un proceso de investigación previamente definido ni a intervenir únicamente en la validación de resultados. Por el contrario, su involucramiento incid</w:t>
      </w:r>
      <w:r w:rsidR="00A26DAA" w:rsidRPr="00FA54FA">
        <w:rPr>
          <w:rFonts w:cs="Times New Roman"/>
        </w:rPr>
        <w:t>e</w:t>
      </w:r>
      <w:r w:rsidRPr="00FA54FA">
        <w:rPr>
          <w:rFonts w:cs="Times New Roman"/>
        </w:rPr>
        <w:t xml:space="preserve"> sobre la definición de prioridades, la organización del trabajo, los criterios de validación y las posibilidades de proyección futura del desarrollo tecnológico. En este sentido, la articulación entre el INTA y la UNLaM muestra que la producción de conocimiento con potencial de aplicación se construye mediante procesos de interacción donde las capacidades técnicas, experiencias y saberes de cada actor se incorporan al desarrollo de manera progresiva. La cooperación no aparece entonces como una instancia externa a la investigación, sino como una dimensión que participa activamente en la construcción de soluciones, en la redefinición de problemas y en la ampliación de los horizontes de aplicación del conocimiento producido.</w:t>
      </w:r>
    </w:p>
    <w:p w14:paraId="39B57161" w14:textId="526D00AD" w:rsidR="005F3B2E" w:rsidRPr="00FA54FA" w:rsidRDefault="005F3B2E" w:rsidP="00746B6F">
      <w:pPr>
        <w:pStyle w:val="Ttulo1"/>
        <w:spacing w:line="240" w:lineRule="auto"/>
        <w:rPr>
          <w:rFonts w:cs="Times New Roman"/>
          <w:b w:val="0"/>
          <w:szCs w:val="24"/>
        </w:rPr>
      </w:pPr>
      <w:r w:rsidRPr="00FA54FA">
        <w:rPr>
          <w:rFonts w:cs="Times New Roman"/>
          <w:szCs w:val="24"/>
        </w:rPr>
        <w:t xml:space="preserve">Referencias Bibliográficas </w:t>
      </w:r>
    </w:p>
    <w:p w14:paraId="1CE82350" w14:textId="1F5BFD95" w:rsidR="00F67E0F" w:rsidRPr="00FA54FA" w:rsidRDefault="00F67E0F" w:rsidP="00746B6F">
      <w:pPr>
        <w:spacing w:line="240" w:lineRule="auto"/>
        <w:contextualSpacing/>
        <w:jc w:val="both"/>
        <w:rPr>
          <w:rFonts w:cs="Times New Roman"/>
        </w:rPr>
      </w:pPr>
      <w:r w:rsidRPr="00FA54FA">
        <w:rPr>
          <w:rFonts w:cs="Times New Roman"/>
        </w:rPr>
        <w:t xml:space="preserve">Alonso, M., &amp; Nápoli, M. (2021). </w:t>
      </w:r>
      <w:r w:rsidR="003B579E" w:rsidRPr="00FA54FA">
        <w:rPr>
          <w:rFonts w:cs="Times New Roman"/>
          <w:i/>
          <w:iCs/>
        </w:rPr>
        <w:t xml:space="preserve">Gobernanza de la investigación científico-tecnológica: orientación de las agendas y evaluación académica en el marco de los Proyectos de Desarrollo Tecnológico y Social (PDTS). </w:t>
      </w:r>
      <w:r w:rsidR="003B579E" w:rsidRPr="00FA54FA">
        <w:rPr>
          <w:rFonts w:cs="Times New Roman"/>
        </w:rPr>
        <w:t>Revista de Educación, 12(23), 75-102.</w:t>
      </w:r>
    </w:p>
    <w:p w14:paraId="31CDA9F2" w14:textId="77777777" w:rsidR="00625B09" w:rsidRPr="00FA54FA" w:rsidRDefault="00625B09" w:rsidP="00746B6F">
      <w:pPr>
        <w:spacing w:line="240" w:lineRule="auto"/>
        <w:contextualSpacing/>
        <w:jc w:val="both"/>
        <w:rPr>
          <w:rFonts w:cs="Times New Roman"/>
        </w:rPr>
      </w:pPr>
    </w:p>
    <w:p w14:paraId="4C8E234B" w14:textId="1E947986" w:rsidR="00625B09" w:rsidRPr="00FA54FA" w:rsidRDefault="00ED7423" w:rsidP="00746B6F">
      <w:pPr>
        <w:spacing w:line="240" w:lineRule="auto"/>
        <w:contextualSpacing/>
        <w:jc w:val="both"/>
        <w:rPr>
          <w:rFonts w:cs="Times New Roman"/>
        </w:rPr>
      </w:pPr>
      <w:r w:rsidRPr="00FA54FA">
        <w:rPr>
          <w:rFonts w:cs="Times New Roman"/>
        </w:rPr>
        <w:t xml:space="preserve">Casalet, M. (2012). </w:t>
      </w:r>
      <w:r w:rsidRPr="00FA54FA">
        <w:rPr>
          <w:rFonts w:cs="Times New Roman"/>
          <w:i/>
          <w:iCs/>
        </w:rPr>
        <w:t>Las relaciones de colaboración entre la universidad y los sectores productivos: Una oportunidad a construir en la política de innovación</w:t>
      </w:r>
      <w:r w:rsidRPr="00FA54FA">
        <w:rPr>
          <w:rFonts w:cs="Times New Roman"/>
        </w:rPr>
        <w:t xml:space="preserve">. En A. Hualde, D. </w:t>
      </w:r>
      <w:r w:rsidRPr="00FA54FA">
        <w:rPr>
          <w:rFonts w:cs="Times New Roman"/>
        </w:rPr>
        <w:lastRenderedPageBreak/>
        <w:t xml:space="preserve">Villavicencio y J. Carrillo (Eds.), </w:t>
      </w:r>
      <w:r w:rsidRPr="00FA54FA">
        <w:rPr>
          <w:rFonts w:cs="Times New Roman"/>
          <w:i/>
          <w:iCs/>
        </w:rPr>
        <w:t xml:space="preserve">Dilemas de la innovación en México: Dinámicas sectoriales, territoriales e institucionales. </w:t>
      </w:r>
      <w:hyperlink r:id="rId8" w:history="1">
        <w:r w:rsidR="00496243" w:rsidRPr="00FA54FA">
          <w:rPr>
            <w:rStyle w:val="Hipervnculo"/>
            <w:rFonts w:cs="Times New Roman"/>
            <w:i/>
            <w:iCs/>
          </w:rPr>
          <w:t>https://www.researchgate.net/publication/299507005_LAS_RELACIONES_DE_COLABORACION_ENTRE_LA_UNIVERSIDAD_Y_LOS_SECTORES_PRODUCTIVOS_UNA_OPORTUNIDAD_A_CONSTRUIR_EN_LA_POLITICA_DE_INNOVACION</w:t>
        </w:r>
      </w:hyperlink>
      <w:r w:rsidR="00496243" w:rsidRPr="00FA54FA">
        <w:rPr>
          <w:rFonts w:cs="Times New Roman"/>
          <w:i/>
          <w:iCs/>
        </w:rPr>
        <w:t xml:space="preserve"> </w:t>
      </w:r>
    </w:p>
    <w:p w14:paraId="109F745B" w14:textId="77777777" w:rsidR="00F67E0F" w:rsidRPr="00FA54FA" w:rsidRDefault="00F67E0F" w:rsidP="00746B6F">
      <w:pPr>
        <w:spacing w:line="240" w:lineRule="auto"/>
        <w:contextualSpacing/>
        <w:jc w:val="both"/>
        <w:rPr>
          <w:rFonts w:cs="Times New Roman"/>
        </w:rPr>
      </w:pPr>
    </w:p>
    <w:p w14:paraId="2D6C7588" w14:textId="0B379D16" w:rsidR="00F67E0F" w:rsidRPr="00FA54FA" w:rsidRDefault="00100B01" w:rsidP="00746B6F">
      <w:pPr>
        <w:spacing w:line="240" w:lineRule="auto"/>
        <w:contextualSpacing/>
        <w:jc w:val="both"/>
        <w:rPr>
          <w:rFonts w:cs="Times New Roman"/>
        </w:rPr>
      </w:pPr>
      <w:r w:rsidRPr="00FA54FA">
        <w:rPr>
          <w:rFonts w:cs="Times New Roman"/>
        </w:rPr>
        <w:t xml:space="preserve">Casas, R. (2015). </w:t>
      </w:r>
      <w:r w:rsidRPr="00FA54FA">
        <w:rPr>
          <w:rFonts w:cs="Times New Roman"/>
          <w:i/>
          <w:iCs/>
        </w:rPr>
        <w:t>Hacia un enfoque analítico y de políticas para las interacciones entre ciencia, universidad y sociedad en la región latinoamericana</w:t>
      </w:r>
      <w:r w:rsidRPr="00FA54FA">
        <w:rPr>
          <w:rFonts w:cs="Times New Roman"/>
        </w:rPr>
        <w:t xml:space="preserve">. Cuestiones de Sociología, (12). </w:t>
      </w:r>
      <w:hyperlink r:id="rId9" w:history="1">
        <w:r w:rsidRPr="00FA54FA">
          <w:rPr>
            <w:rStyle w:val="Hipervnculo"/>
            <w:rFonts w:cs="Times New Roman"/>
          </w:rPr>
          <w:t>http://www.cuestionessociologia.fahce.unlp.edu.ar/article/view/CSn12a04</w:t>
        </w:r>
      </w:hyperlink>
    </w:p>
    <w:p w14:paraId="534E5C73" w14:textId="77777777" w:rsidR="00100B01" w:rsidRPr="00FA54FA" w:rsidRDefault="00100B01" w:rsidP="00746B6F">
      <w:pPr>
        <w:spacing w:line="240" w:lineRule="auto"/>
        <w:contextualSpacing/>
        <w:jc w:val="both"/>
        <w:rPr>
          <w:rFonts w:cs="Times New Roman"/>
        </w:rPr>
      </w:pPr>
    </w:p>
    <w:p w14:paraId="34E5A3F8" w14:textId="653D6959" w:rsidR="00F67E0F" w:rsidRPr="00FA54FA" w:rsidRDefault="00F67E0F" w:rsidP="00746B6F">
      <w:pPr>
        <w:spacing w:line="240" w:lineRule="auto"/>
        <w:contextualSpacing/>
        <w:jc w:val="both"/>
        <w:rPr>
          <w:rFonts w:cs="Times New Roman"/>
        </w:rPr>
      </w:pPr>
      <w:r w:rsidRPr="00FA54FA">
        <w:rPr>
          <w:rFonts w:cs="Times New Roman"/>
        </w:rPr>
        <w:t>Codner, D., Baudry, G., &amp; Becerra, P. (201</w:t>
      </w:r>
      <w:r w:rsidR="00155DFB" w:rsidRPr="00FA54FA">
        <w:rPr>
          <w:rFonts w:cs="Times New Roman"/>
        </w:rPr>
        <w:t>2</w:t>
      </w:r>
      <w:r w:rsidRPr="00FA54FA">
        <w:rPr>
          <w:rFonts w:cs="Times New Roman"/>
        </w:rPr>
        <w:t xml:space="preserve">). </w:t>
      </w:r>
      <w:r w:rsidRPr="00FA54FA">
        <w:rPr>
          <w:rFonts w:cs="Times New Roman"/>
          <w:i/>
          <w:iCs/>
        </w:rPr>
        <w:t>Las oficinas de transferencia de conocimiento como instrumentos de las universidades para su interacción con el entorno.</w:t>
      </w:r>
      <w:r w:rsidRPr="00FA54FA">
        <w:rPr>
          <w:rFonts w:cs="Times New Roman"/>
        </w:rPr>
        <w:t xml:space="preserve"> Revista CTS, 8(23), 71-90.</w:t>
      </w:r>
    </w:p>
    <w:p w14:paraId="68D03875" w14:textId="77777777" w:rsidR="00F67E0F" w:rsidRPr="00FA54FA" w:rsidRDefault="00F67E0F" w:rsidP="00746B6F">
      <w:pPr>
        <w:spacing w:line="240" w:lineRule="auto"/>
        <w:contextualSpacing/>
        <w:jc w:val="both"/>
        <w:rPr>
          <w:rFonts w:cs="Times New Roman"/>
        </w:rPr>
      </w:pPr>
    </w:p>
    <w:p w14:paraId="49129F22" w14:textId="2A441603" w:rsidR="00F67E0F" w:rsidRPr="00FA54FA" w:rsidRDefault="00F67E0F" w:rsidP="00746B6F">
      <w:pPr>
        <w:spacing w:line="240" w:lineRule="auto"/>
        <w:contextualSpacing/>
        <w:jc w:val="both"/>
        <w:rPr>
          <w:rFonts w:cs="Times New Roman"/>
        </w:rPr>
      </w:pPr>
      <w:r w:rsidRPr="00FA54FA">
        <w:rPr>
          <w:rFonts w:cs="Times New Roman"/>
        </w:rPr>
        <w:t>Consejo Interuniversitario Nacional</w:t>
      </w:r>
      <w:r w:rsidR="00473B00" w:rsidRPr="00FA54FA">
        <w:rPr>
          <w:rFonts w:cs="Times New Roman"/>
        </w:rPr>
        <w:t xml:space="preserve"> (CIN)</w:t>
      </w:r>
      <w:r w:rsidRPr="00FA54FA">
        <w:rPr>
          <w:rFonts w:cs="Times New Roman"/>
        </w:rPr>
        <w:t xml:space="preserve">. (2025). </w:t>
      </w:r>
      <w:r w:rsidRPr="00FA54FA">
        <w:rPr>
          <w:rFonts w:cs="Times New Roman"/>
          <w:i/>
          <w:iCs/>
        </w:rPr>
        <w:t>Convocatoria Idea Proyecto - PDTS - CIN - UNIUEAR. Proyectos admitidos</w:t>
      </w:r>
      <w:r w:rsidRPr="00FA54FA">
        <w:rPr>
          <w:rFonts w:cs="Times New Roman"/>
        </w:rPr>
        <w:t xml:space="preserve">. </w:t>
      </w:r>
      <w:hyperlink r:id="rId10" w:history="1">
        <w:r w:rsidRPr="00FA54FA">
          <w:rPr>
            <w:rStyle w:val="Hipervnculo"/>
            <w:rFonts w:cs="Times New Roman"/>
          </w:rPr>
          <w:t>https://www.cin.edu.ar/resultados-proyectos-de-desarrollo-tecnologico-y-social-cin-uniuear/</w:t>
        </w:r>
      </w:hyperlink>
    </w:p>
    <w:p w14:paraId="122A2F41" w14:textId="77777777" w:rsidR="00F67E0F" w:rsidRPr="00FA54FA" w:rsidRDefault="00F67E0F" w:rsidP="00746B6F">
      <w:pPr>
        <w:spacing w:line="240" w:lineRule="auto"/>
        <w:contextualSpacing/>
        <w:jc w:val="both"/>
        <w:rPr>
          <w:rFonts w:cs="Times New Roman"/>
        </w:rPr>
      </w:pPr>
    </w:p>
    <w:p w14:paraId="6A6FC393" w14:textId="04AF1D6D" w:rsidR="00F67E0F" w:rsidRPr="00FA54FA" w:rsidRDefault="00F67E0F" w:rsidP="00746B6F">
      <w:pPr>
        <w:spacing w:line="240" w:lineRule="auto"/>
        <w:contextualSpacing/>
        <w:jc w:val="both"/>
        <w:rPr>
          <w:rFonts w:cs="Times New Roman"/>
        </w:rPr>
      </w:pPr>
      <w:r w:rsidRPr="00FA54FA">
        <w:rPr>
          <w:rFonts w:cs="Times New Roman"/>
        </w:rPr>
        <w:t xml:space="preserve">Consejo Interuniversitario Nacional. (2025). </w:t>
      </w:r>
      <w:r w:rsidRPr="00FA54FA">
        <w:rPr>
          <w:rFonts w:cs="Times New Roman"/>
          <w:i/>
          <w:iCs/>
        </w:rPr>
        <w:t>Resolución P. N.º 522/25. Proyectos de Desarrollo Tecnológico y Social CIN-UNIUEAR.</w:t>
      </w:r>
      <w:r w:rsidRPr="00FA54FA">
        <w:rPr>
          <w:rFonts w:cs="Times New Roman"/>
        </w:rPr>
        <w:t xml:space="preserve"> </w:t>
      </w:r>
    </w:p>
    <w:p w14:paraId="5CAED1A4" w14:textId="77777777" w:rsidR="00F67E0F" w:rsidRPr="00FA54FA" w:rsidRDefault="00F67E0F" w:rsidP="00746B6F">
      <w:pPr>
        <w:spacing w:line="240" w:lineRule="auto"/>
        <w:contextualSpacing/>
        <w:jc w:val="both"/>
        <w:rPr>
          <w:rFonts w:cs="Times New Roman"/>
        </w:rPr>
      </w:pPr>
    </w:p>
    <w:p w14:paraId="4C89347D" w14:textId="54AE721B" w:rsidR="00F67E0F" w:rsidRPr="00FA54FA" w:rsidRDefault="00F67E0F" w:rsidP="00746B6F">
      <w:pPr>
        <w:spacing w:line="240" w:lineRule="auto"/>
        <w:contextualSpacing/>
        <w:jc w:val="both"/>
        <w:rPr>
          <w:rFonts w:cs="Times New Roman"/>
        </w:rPr>
      </w:pPr>
      <w:r w:rsidRPr="00FA54FA">
        <w:rPr>
          <w:rFonts w:cs="Times New Roman"/>
        </w:rPr>
        <w:t xml:space="preserve">Cuschnir, M. (2021). </w:t>
      </w:r>
      <w:r w:rsidR="00A739DF" w:rsidRPr="00FA54FA">
        <w:rPr>
          <w:rFonts w:cs="Times New Roman"/>
          <w:i/>
          <w:iCs/>
        </w:rPr>
        <w:t>La construcción del rol del demandante y adoptante en los Proyectos de Desarrollo Tecnológico y Social (PDTS</w:t>
      </w:r>
      <w:r w:rsidR="00A739DF" w:rsidRPr="00FA54FA">
        <w:rPr>
          <w:rFonts w:cs="Times New Roman"/>
        </w:rPr>
        <w:t>)</w:t>
      </w:r>
      <w:r w:rsidR="004D4975" w:rsidRPr="00FA54FA">
        <w:rPr>
          <w:rFonts w:cs="Times New Roman"/>
        </w:rPr>
        <w:t>. Universidad Nacional de Quilmes.</w:t>
      </w:r>
    </w:p>
    <w:p w14:paraId="31CFE682" w14:textId="77777777" w:rsidR="00C92618" w:rsidRPr="00FA54FA" w:rsidRDefault="00C92618" w:rsidP="00746B6F">
      <w:pPr>
        <w:spacing w:line="240" w:lineRule="auto"/>
        <w:contextualSpacing/>
        <w:jc w:val="both"/>
        <w:rPr>
          <w:rFonts w:cs="Times New Roman"/>
        </w:rPr>
      </w:pPr>
    </w:p>
    <w:p w14:paraId="727C171E" w14:textId="5FE72E1E" w:rsidR="00C92618" w:rsidRPr="00FA54FA" w:rsidRDefault="009E6FA4" w:rsidP="00746B6F">
      <w:pPr>
        <w:spacing w:line="240" w:lineRule="auto"/>
        <w:contextualSpacing/>
        <w:jc w:val="both"/>
        <w:rPr>
          <w:rFonts w:cs="Times New Roman"/>
        </w:rPr>
      </w:pPr>
      <w:r w:rsidRPr="00FA54FA">
        <w:rPr>
          <w:rFonts w:cs="Times New Roman"/>
        </w:rPr>
        <w:t xml:space="preserve">Giraldo, M. E. (2024). </w:t>
      </w:r>
      <w:r w:rsidRPr="00FA54FA">
        <w:rPr>
          <w:rFonts w:cs="Times New Roman"/>
          <w:i/>
          <w:iCs/>
        </w:rPr>
        <w:t>La vinculación universidad-entorno: Una revisión de marcos alternativos de cooperación para la coproducción de conocimientos</w:t>
      </w:r>
      <w:r w:rsidRPr="00FA54FA">
        <w:rPr>
          <w:rFonts w:cs="Times New Roman"/>
        </w:rPr>
        <w:t xml:space="preserve">. En E. Arancibia Gutiérrez &amp; C. Guzmán Tovar (Coords.), </w:t>
      </w:r>
      <w:r w:rsidRPr="00FA54FA">
        <w:rPr>
          <w:rFonts w:cs="Times New Roman"/>
          <w:i/>
          <w:iCs/>
        </w:rPr>
        <w:t>Estudios sociales y políticos de la ciencia y la tecnología: temas, problemas y retos actuales</w:t>
      </w:r>
      <w:r w:rsidRPr="00FA54FA">
        <w:rPr>
          <w:rFonts w:cs="Times New Roman"/>
        </w:rPr>
        <w:t xml:space="preserve"> (pp. 13-28). Universidad Nacional Autónoma de México, Escuela Nacional de Estudios Superiores, Unidad Mérida.</w:t>
      </w:r>
    </w:p>
    <w:p w14:paraId="47C180F8" w14:textId="77777777" w:rsidR="00A242CC" w:rsidRPr="00FA54FA" w:rsidRDefault="00A242CC" w:rsidP="00746B6F">
      <w:pPr>
        <w:spacing w:line="240" w:lineRule="auto"/>
        <w:contextualSpacing/>
        <w:jc w:val="both"/>
        <w:rPr>
          <w:rFonts w:cs="Times New Roman"/>
        </w:rPr>
      </w:pPr>
    </w:p>
    <w:p w14:paraId="54D6DD67" w14:textId="3BEFD892" w:rsidR="00F67E0F" w:rsidRPr="00FA54FA" w:rsidRDefault="00035F18" w:rsidP="00746B6F">
      <w:pPr>
        <w:spacing w:line="240" w:lineRule="auto"/>
        <w:contextualSpacing/>
        <w:jc w:val="both"/>
        <w:rPr>
          <w:rFonts w:cs="Times New Roman"/>
        </w:rPr>
      </w:pPr>
      <w:r w:rsidRPr="00FA54FA">
        <w:rPr>
          <w:rFonts w:cs="Times New Roman"/>
        </w:rPr>
        <w:t xml:space="preserve">Naidorf, J., Vasen, F., &amp; Alonso, M. (2016). </w:t>
      </w:r>
      <w:r w:rsidRPr="00FA54FA">
        <w:rPr>
          <w:rFonts w:cs="Times New Roman"/>
          <w:i/>
          <w:iCs/>
        </w:rPr>
        <w:t>Evaluación académica y relevancia socioproductiva: los Proyectos de Desarrollo Tecnológico y Social (PDTS) como política científica.</w:t>
      </w:r>
      <w:r w:rsidRPr="00FA54FA">
        <w:rPr>
          <w:rFonts w:cs="Times New Roman"/>
        </w:rPr>
        <w:t xml:space="preserve"> Cadernos PROLAM/USP, 15(27), 43-63.</w:t>
      </w:r>
    </w:p>
    <w:p w14:paraId="0211649E" w14:textId="77777777" w:rsidR="00DF4A38" w:rsidRPr="00FA54FA" w:rsidRDefault="00DF4A38" w:rsidP="00746B6F">
      <w:pPr>
        <w:spacing w:line="240" w:lineRule="auto"/>
        <w:contextualSpacing/>
        <w:jc w:val="both"/>
        <w:rPr>
          <w:rFonts w:cs="Times New Roman"/>
        </w:rPr>
      </w:pPr>
    </w:p>
    <w:p w14:paraId="26EB4611" w14:textId="0229E200" w:rsidR="00A81AC5" w:rsidRPr="00FA54FA" w:rsidRDefault="00A81AC5" w:rsidP="00746B6F">
      <w:pPr>
        <w:spacing w:line="240" w:lineRule="auto"/>
        <w:contextualSpacing/>
        <w:jc w:val="both"/>
        <w:rPr>
          <w:rFonts w:cs="Times New Roman"/>
        </w:rPr>
      </w:pPr>
      <w:r w:rsidRPr="00FA54FA">
        <w:rPr>
          <w:rFonts w:cs="Times New Roman"/>
        </w:rPr>
        <w:t xml:space="preserve">SCRUMstudy™. (2017). </w:t>
      </w:r>
      <w:r w:rsidRPr="00FA54FA">
        <w:rPr>
          <w:rFonts w:cs="Times New Roman"/>
          <w:i/>
          <w:iCs/>
        </w:rPr>
        <w:t>Una guía para el Cuerpo de Conocimiento de Scrum</w:t>
      </w:r>
      <w:r w:rsidRPr="00FA54FA">
        <w:rPr>
          <w:rFonts w:cs="Times New Roman"/>
        </w:rPr>
        <w:t xml:space="preserve"> (Guía SBOK™) (3.ª ed.). </w:t>
      </w:r>
      <w:proofErr w:type="spellStart"/>
      <w:r w:rsidRPr="00FA54FA">
        <w:rPr>
          <w:rFonts w:cs="Times New Roman"/>
        </w:rPr>
        <w:t>VMEdu</w:t>
      </w:r>
      <w:proofErr w:type="spellEnd"/>
      <w:r w:rsidRPr="00FA54FA">
        <w:rPr>
          <w:rFonts w:cs="Times New Roman"/>
        </w:rPr>
        <w:t>, Inc.</w:t>
      </w:r>
      <w:r w:rsidR="009818D5" w:rsidRPr="00FA54FA">
        <w:rPr>
          <w:rFonts w:cs="Times New Roman"/>
        </w:rPr>
        <w:t xml:space="preserve"> </w:t>
      </w:r>
      <w:hyperlink r:id="rId11" w:history="1">
        <w:r w:rsidR="009818D5" w:rsidRPr="00FA54FA">
          <w:rPr>
            <w:rStyle w:val="Hipervnculo"/>
            <w:rFonts w:cs="Times New Roman"/>
          </w:rPr>
          <w:t>https://aulasvirtuales.bue.edu.ar/pluginfile.php/2297659/mod_resource/content/1/SCRUMstudy-SBOK-Guide-3rd-edition-Spanish.pdf</w:t>
        </w:r>
      </w:hyperlink>
      <w:r w:rsidR="009818D5" w:rsidRPr="00FA54FA">
        <w:rPr>
          <w:rFonts w:cs="Times New Roman"/>
        </w:rPr>
        <w:t xml:space="preserve"> </w:t>
      </w:r>
    </w:p>
    <w:p w14:paraId="6802B57A" w14:textId="77777777" w:rsidR="00035F18" w:rsidRPr="00FA54FA" w:rsidRDefault="00035F18" w:rsidP="00746B6F">
      <w:pPr>
        <w:spacing w:line="240" w:lineRule="auto"/>
        <w:contextualSpacing/>
        <w:jc w:val="both"/>
        <w:rPr>
          <w:rFonts w:cs="Times New Roman"/>
        </w:rPr>
      </w:pPr>
    </w:p>
    <w:p w14:paraId="51F8A7B0" w14:textId="77777777" w:rsidR="00F67E0F" w:rsidRPr="00FA54FA" w:rsidRDefault="00F67E0F" w:rsidP="00746B6F">
      <w:pPr>
        <w:spacing w:line="240" w:lineRule="auto"/>
        <w:contextualSpacing/>
        <w:jc w:val="both"/>
        <w:rPr>
          <w:rFonts w:cs="Times New Roman"/>
        </w:rPr>
      </w:pPr>
      <w:r w:rsidRPr="00FA54FA">
        <w:rPr>
          <w:rFonts w:cs="Times New Roman"/>
        </w:rPr>
        <w:t xml:space="preserve">Senejko, M. P., &amp; Versino, M. (2019). </w:t>
      </w:r>
      <w:r w:rsidRPr="00FA54FA">
        <w:rPr>
          <w:rFonts w:cs="Times New Roman"/>
          <w:i/>
          <w:iCs/>
        </w:rPr>
        <w:t>Los Proyectos de Desarrollo Tecnológico y Social (PDTS) en la Universidad de Buenos Aires</w:t>
      </w:r>
      <w:r w:rsidRPr="00FA54FA">
        <w:rPr>
          <w:rFonts w:cs="Times New Roman"/>
        </w:rPr>
        <w:t>. Ciencia, Docencia y Tecnología, 30(59), 74-90.</w:t>
      </w:r>
    </w:p>
    <w:p w14:paraId="4B45DAA9" w14:textId="77777777" w:rsidR="00F67E0F" w:rsidRPr="00FA54FA" w:rsidRDefault="00F67E0F" w:rsidP="00746B6F">
      <w:pPr>
        <w:spacing w:line="240" w:lineRule="auto"/>
        <w:contextualSpacing/>
        <w:jc w:val="both"/>
        <w:rPr>
          <w:rFonts w:cs="Times New Roman"/>
        </w:rPr>
      </w:pPr>
    </w:p>
    <w:p w14:paraId="7B272F06" w14:textId="51E2696C" w:rsidR="00F67E0F" w:rsidRPr="00FA54FA" w:rsidRDefault="00F67E0F" w:rsidP="00746B6F">
      <w:pPr>
        <w:spacing w:line="240" w:lineRule="auto"/>
        <w:contextualSpacing/>
        <w:jc w:val="both"/>
        <w:rPr>
          <w:rFonts w:cs="Times New Roman"/>
        </w:rPr>
      </w:pPr>
      <w:r w:rsidRPr="00FA54FA">
        <w:rPr>
          <w:rFonts w:cs="Times New Roman"/>
        </w:rPr>
        <w:lastRenderedPageBreak/>
        <w:t xml:space="preserve">Vaccarezza, L. S., &amp; Zabala, J. P. (2002). </w:t>
      </w:r>
      <w:r w:rsidRPr="00FA54FA">
        <w:rPr>
          <w:rFonts w:cs="Times New Roman"/>
          <w:i/>
          <w:iCs/>
        </w:rPr>
        <w:t>La construcción de la utilidad social de la ciencia: Investigadores en biotecnología frente al mercado.</w:t>
      </w:r>
      <w:r w:rsidRPr="00FA54FA">
        <w:rPr>
          <w:rFonts w:cs="Times New Roman"/>
        </w:rPr>
        <w:t xml:space="preserve"> Universidad Nacional de Quilmes.</w:t>
      </w:r>
    </w:p>
    <w:p w14:paraId="5C68888B" w14:textId="77777777" w:rsidR="00532D4F" w:rsidRPr="00FA54FA" w:rsidRDefault="00532D4F" w:rsidP="00746B6F">
      <w:pPr>
        <w:spacing w:line="240" w:lineRule="auto"/>
        <w:contextualSpacing/>
        <w:jc w:val="both"/>
        <w:rPr>
          <w:rFonts w:cs="Times New Roman"/>
        </w:rPr>
      </w:pPr>
    </w:p>
    <w:p w14:paraId="37F862D0" w14:textId="5A337222" w:rsidR="00A930CF" w:rsidRPr="00FA54FA" w:rsidRDefault="00416B14" w:rsidP="00746B6F">
      <w:pPr>
        <w:spacing w:line="240" w:lineRule="auto"/>
        <w:contextualSpacing/>
        <w:jc w:val="both"/>
        <w:rPr>
          <w:rFonts w:cs="Times New Roman"/>
        </w:rPr>
      </w:pPr>
      <w:r w:rsidRPr="00FA54FA">
        <w:rPr>
          <w:rFonts w:cs="Times New Roman"/>
        </w:rPr>
        <w:t xml:space="preserve">Waiter, A. (2024). </w:t>
      </w:r>
      <w:r w:rsidRPr="00FA54FA">
        <w:rPr>
          <w:rFonts w:cs="Times New Roman"/>
          <w:i/>
          <w:iCs/>
        </w:rPr>
        <w:t>Los desafíos de la vinculación entre la universidad y el sector productivo: Una mirada desde el sur.</w:t>
      </w:r>
      <w:r w:rsidRPr="00FA54FA">
        <w:rPr>
          <w:rFonts w:cs="Times New Roman"/>
        </w:rPr>
        <w:t xml:space="preserve"> Revista Iberoamericana De Ciencia, Tecnología Y Sociedad - CTS, 20(59), 179–201. https://doi.org/10.52712/issn.1850-0013-545</w:t>
      </w:r>
    </w:p>
    <w:p w14:paraId="7200920E" w14:textId="77777777" w:rsidR="00A930CF" w:rsidRPr="00FA54FA" w:rsidRDefault="00A930CF" w:rsidP="00576022">
      <w:pPr>
        <w:spacing w:line="240" w:lineRule="auto"/>
        <w:contextualSpacing/>
        <w:jc w:val="both"/>
        <w:rPr>
          <w:rFonts w:cs="Times New Roman"/>
        </w:rPr>
      </w:pPr>
    </w:p>
    <w:sectPr w:rsidR="00A930CF" w:rsidRPr="00FA54FA" w:rsidSect="00701F64">
      <w:headerReference w:type="even" r:id="rId12"/>
      <w:headerReference w:type="default" r:id="rId13"/>
      <w:footerReference w:type="even" r:id="rId14"/>
      <w:footerReference w:type="default" r:id="rId15"/>
      <w:headerReference w:type="first" r:id="rId16"/>
      <w:footerReference w:type="first" r:id="rId1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2052D" w14:textId="77777777" w:rsidR="008A6195" w:rsidRPr="004D2B6D" w:rsidRDefault="008A6195" w:rsidP="00C802F5">
      <w:pPr>
        <w:spacing w:after="0" w:line="240" w:lineRule="auto"/>
      </w:pPr>
      <w:r w:rsidRPr="004D2B6D">
        <w:separator/>
      </w:r>
    </w:p>
  </w:endnote>
  <w:endnote w:type="continuationSeparator" w:id="0">
    <w:p w14:paraId="1772FC8C" w14:textId="77777777" w:rsidR="008A6195" w:rsidRPr="004D2B6D" w:rsidRDefault="008A6195" w:rsidP="00C802F5">
      <w:pPr>
        <w:spacing w:after="0" w:line="240" w:lineRule="auto"/>
      </w:pPr>
      <w:r w:rsidRPr="004D2B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80993" w14:textId="77777777" w:rsidR="006567E1" w:rsidRPr="004D2B6D" w:rsidRDefault="006567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4D2B6D" w:rsidRDefault="00BA642E">
    <w:pPr>
      <w:pStyle w:val="Piedepgina"/>
    </w:pPr>
    <w:r w:rsidRPr="004D2B6D">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4D2B6D" w:rsidRDefault="00C802F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54E53" w14:textId="77777777" w:rsidR="006567E1" w:rsidRPr="004D2B6D" w:rsidRDefault="006567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83421" w14:textId="77777777" w:rsidR="008A6195" w:rsidRPr="004D2B6D" w:rsidRDefault="008A6195" w:rsidP="00C802F5">
      <w:pPr>
        <w:spacing w:after="0" w:line="240" w:lineRule="auto"/>
      </w:pPr>
      <w:r w:rsidRPr="004D2B6D">
        <w:separator/>
      </w:r>
    </w:p>
  </w:footnote>
  <w:footnote w:type="continuationSeparator" w:id="0">
    <w:p w14:paraId="523C3002" w14:textId="77777777" w:rsidR="008A6195" w:rsidRPr="004D2B6D" w:rsidRDefault="008A6195" w:rsidP="00C802F5">
      <w:pPr>
        <w:spacing w:after="0" w:line="240" w:lineRule="auto"/>
      </w:pPr>
      <w:r w:rsidRPr="004D2B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1D956" w14:textId="77777777" w:rsidR="006567E1" w:rsidRPr="004D2B6D" w:rsidRDefault="006567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4D2B6D" w:rsidRDefault="00C802F5" w:rsidP="00C802F5">
    <w:pPr>
      <w:pStyle w:val="Encabezado"/>
      <w:jc w:val="center"/>
    </w:pPr>
    <w:r w:rsidRPr="004D2B6D">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2711B" w14:textId="77777777" w:rsidR="006567E1" w:rsidRPr="004D2B6D" w:rsidRDefault="006567E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118D7"/>
    <w:rsid w:val="000119CF"/>
    <w:rsid w:val="00011DE6"/>
    <w:rsid w:val="000129F8"/>
    <w:rsid w:val="00025169"/>
    <w:rsid w:val="000251BF"/>
    <w:rsid w:val="000357CA"/>
    <w:rsid w:val="000359D2"/>
    <w:rsid w:val="00035F18"/>
    <w:rsid w:val="00036C94"/>
    <w:rsid w:val="00042523"/>
    <w:rsid w:val="0004273F"/>
    <w:rsid w:val="00064E8E"/>
    <w:rsid w:val="000701D5"/>
    <w:rsid w:val="0009015F"/>
    <w:rsid w:val="000938DF"/>
    <w:rsid w:val="00094E15"/>
    <w:rsid w:val="000B1544"/>
    <w:rsid w:val="000B28A4"/>
    <w:rsid w:val="000C18ED"/>
    <w:rsid w:val="000C21C2"/>
    <w:rsid w:val="000C395E"/>
    <w:rsid w:val="000C6C77"/>
    <w:rsid w:val="000D2DDD"/>
    <w:rsid w:val="000D37CF"/>
    <w:rsid w:val="000F0895"/>
    <w:rsid w:val="000F0E69"/>
    <w:rsid w:val="000F5B7B"/>
    <w:rsid w:val="000F73CF"/>
    <w:rsid w:val="00100B01"/>
    <w:rsid w:val="00100C22"/>
    <w:rsid w:val="00101A1D"/>
    <w:rsid w:val="0010435D"/>
    <w:rsid w:val="00107C7A"/>
    <w:rsid w:val="00110B2C"/>
    <w:rsid w:val="0011625B"/>
    <w:rsid w:val="00116AE1"/>
    <w:rsid w:val="00116E3D"/>
    <w:rsid w:val="00121818"/>
    <w:rsid w:val="00130267"/>
    <w:rsid w:val="001307B0"/>
    <w:rsid w:val="00134557"/>
    <w:rsid w:val="00140830"/>
    <w:rsid w:val="00140EA4"/>
    <w:rsid w:val="00142A8F"/>
    <w:rsid w:val="0014524A"/>
    <w:rsid w:val="00146721"/>
    <w:rsid w:val="00147BBC"/>
    <w:rsid w:val="00154065"/>
    <w:rsid w:val="00155DFB"/>
    <w:rsid w:val="00156A35"/>
    <w:rsid w:val="00160A0C"/>
    <w:rsid w:val="00163E0C"/>
    <w:rsid w:val="001816D6"/>
    <w:rsid w:val="00185F5E"/>
    <w:rsid w:val="001923DC"/>
    <w:rsid w:val="00193E8C"/>
    <w:rsid w:val="001A4FD3"/>
    <w:rsid w:val="001A6954"/>
    <w:rsid w:val="001B737C"/>
    <w:rsid w:val="001C3E4D"/>
    <w:rsid w:val="001D3B01"/>
    <w:rsid w:val="001D47B5"/>
    <w:rsid w:val="001E1B74"/>
    <w:rsid w:val="001F1BDF"/>
    <w:rsid w:val="001F2028"/>
    <w:rsid w:val="001F2E88"/>
    <w:rsid w:val="001F41EA"/>
    <w:rsid w:val="002031C4"/>
    <w:rsid w:val="00205BAA"/>
    <w:rsid w:val="002079E6"/>
    <w:rsid w:val="00210F47"/>
    <w:rsid w:val="00212A7C"/>
    <w:rsid w:val="00212EF5"/>
    <w:rsid w:val="00224AD2"/>
    <w:rsid w:val="00226C4D"/>
    <w:rsid w:val="002327C3"/>
    <w:rsid w:val="00233D6F"/>
    <w:rsid w:val="00234E9B"/>
    <w:rsid w:val="00235B45"/>
    <w:rsid w:val="002369C0"/>
    <w:rsid w:val="0023735D"/>
    <w:rsid w:val="00241ECC"/>
    <w:rsid w:val="002502E3"/>
    <w:rsid w:val="00251217"/>
    <w:rsid w:val="002569BA"/>
    <w:rsid w:val="00272981"/>
    <w:rsid w:val="002809DD"/>
    <w:rsid w:val="0028202D"/>
    <w:rsid w:val="002908FF"/>
    <w:rsid w:val="0029206B"/>
    <w:rsid w:val="00296EDE"/>
    <w:rsid w:val="002A0299"/>
    <w:rsid w:val="002A7E4F"/>
    <w:rsid w:val="002B122B"/>
    <w:rsid w:val="002B43A4"/>
    <w:rsid w:val="002B7B17"/>
    <w:rsid w:val="002C54D1"/>
    <w:rsid w:val="002D0A24"/>
    <w:rsid w:val="002D199A"/>
    <w:rsid w:val="002D24B4"/>
    <w:rsid w:val="002D5579"/>
    <w:rsid w:val="002D568F"/>
    <w:rsid w:val="002D5969"/>
    <w:rsid w:val="002D67A5"/>
    <w:rsid w:val="002E12CF"/>
    <w:rsid w:val="002E43FF"/>
    <w:rsid w:val="002F132B"/>
    <w:rsid w:val="002F3F9F"/>
    <w:rsid w:val="002F608D"/>
    <w:rsid w:val="0030066D"/>
    <w:rsid w:val="00302FB3"/>
    <w:rsid w:val="00307B19"/>
    <w:rsid w:val="00312392"/>
    <w:rsid w:val="003144AB"/>
    <w:rsid w:val="0032018E"/>
    <w:rsid w:val="003247FA"/>
    <w:rsid w:val="00325270"/>
    <w:rsid w:val="003324E9"/>
    <w:rsid w:val="00337775"/>
    <w:rsid w:val="00341C63"/>
    <w:rsid w:val="00343A3F"/>
    <w:rsid w:val="00344165"/>
    <w:rsid w:val="003516B9"/>
    <w:rsid w:val="00352358"/>
    <w:rsid w:val="00356C44"/>
    <w:rsid w:val="00361BD0"/>
    <w:rsid w:val="003653CE"/>
    <w:rsid w:val="00365B4C"/>
    <w:rsid w:val="0037103B"/>
    <w:rsid w:val="00373202"/>
    <w:rsid w:val="00375054"/>
    <w:rsid w:val="00376502"/>
    <w:rsid w:val="00380A09"/>
    <w:rsid w:val="00381DFF"/>
    <w:rsid w:val="003915BA"/>
    <w:rsid w:val="003A5F44"/>
    <w:rsid w:val="003B02FF"/>
    <w:rsid w:val="003B579E"/>
    <w:rsid w:val="003B5AED"/>
    <w:rsid w:val="003C3FAE"/>
    <w:rsid w:val="003C684B"/>
    <w:rsid w:val="003D6B0C"/>
    <w:rsid w:val="003F256B"/>
    <w:rsid w:val="003F5CF5"/>
    <w:rsid w:val="004040C0"/>
    <w:rsid w:val="00405B9B"/>
    <w:rsid w:val="00407264"/>
    <w:rsid w:val="00410B95"/>
    <w:rsid w:val="004112D5"/>
    <w:rsid w:val="00411B9B"/>
    <w:rsid w:val="004147FD"/>
    <w:rsid w:val="00414E65"/>
    <w:rsid w:val="00416204"/>
    <w:rsid w:val="00416B14"/>
    <w:rsid w:val="0041739A"/>
    <w:rsid w:val="00417FA3"/>
    <w:rsid w:val="004241A8"/>
    <w:rsid w:val="00424D76"/>
    <w:rsid w:val="004251E7"/>
    <w:rsid w:val="00433513"/>
    <w:rsid w:val="004341D2"/>
    <w:rsid w:val="00436675"/>
    <w:rsid w:val="00437E9C"/>
    <w:rsid w:val="00446402"/>
    <w:rsid w:val="0045484F"/>
    <w:rsid w:val="00462957"/>
    <w:rsid w:val="0046584D"/>
    <w:rsid w:val="00473B00"/>
    <w:rsid w:val="00487310"/>
    <w:rsid w:val="00487C5B"/>
    <w:rsid w:val="00496243"/>
    <w:rsid w:val="00497002"/>
    <w:rsid w:val="004971C4"/>
    <w:rsid w:val="004A6308"/>
    <w:rsid w:val="004B0117"/>
    <w:rsid w:val="004B2150"/>
    <w:rsid w:val="004B2201"/>
    <w:rsid w:val="004B4121"/>
    <w:rsid w:val="004B49F6"/>
    <w:rsid w:val="004C0DD7"/>
    <w:rsid w:val="004C5149"/>
    <w:rsid w:val="004C5FE0"/>
    <w:rsid w:val="004D2B6D"/>
    <w:rsid w:val="004D43B4"/>
    <w:rsid w:val="004D4975"/>
    <w:rsid w:val="004D77AE"/>
    <w:rsid w:val="004E252E"/>
    <w:rsid w:val="004E690A"/>
    <w:rsid w:val="004F00CB"/>
    <w:rsid w:val="004F0140"/>
    <w:rsid w:val="004F06EE"/>
    <w:rsid w:val="004F096F"/>
    <w:rsid w:val="004F358C"/>
    <w:rsid w:val="004F427A"/>
    <w:rsid w:val="0050351F"/>
    <w:rsid w:val="00504F93"/>
    <w:rsid w:val="00514089"/>
    <w:rsid w:val="005218C4"/>
    <w:rsid w:val="00525494"/>
    <w:rsid w:val="005322A5"/>
    <w:rsid w:val="00532D4F"/>
    <w:rsid w:val="00534337"/>
    <w:rsid w:val="00534839"/>
    <w:rsid w:val="00534BD3"/>
    <w:rsid w:val="00536C99"/>
    <w:rsid w:val="00541043"/>
    <w:rsid w:val="00543A6D"/>
    <w:rsid w:val="00543C1B"/>
    <w:rsid w:val="005502DF"/>
    <w:rsid w:val="00550766"/>
    <w:rsid w:val="00550DDC"/>
    <w:rsid w:val="00550E52"/>
    <w:rsid w:val="00552146"/>
    <w:rsid w:val="00553592"/>
    <w:rsid w:val="00553857"/>
    <w:rsid w:val="00556E9D"/>
    <w:rsid w:val="00563091"/>
    <w:rsid w:val="0056538B"/>
    <w:rsid w:val="005670B7"/>
    <w:rsid w:val="005742B4"/>
    <w:rsid w:val="0057586E"/>
    <w:rsid w:val="00576022"/>
    <w:rsid w:val="00582CD3"/>
    <w:rsid w:val="00583352"/>
    <w:rsid w:val="00583E03"/>
    <w:rsid w:val="0059492F"/>
    <w:rsid w:val="00596076"/>
    <w:rsid w:val="005A1EDF"/>
    <w:rsid w:val="005B0EBB"/>
    <w:rsid w:val="005B7F58"/>
    <w:rsid w:val="005C676A"/>
    <w:rsid w:val="005D62B3"/>
    <w:rsid w:val="005D717E"/>
    <w:rsid w:val="005E2A21"/>
    <w:rsid w:val="005F05CE"/>
    <w:rsid w:val="005F0B2F"/>
    <w:rsid w:val="005F3B2E"/>
    <w:rsid w:val="005F479F"/>
    <w:rsid w:val="005F5B23"/>
    <w:rsid w:val="006058C5"/>
    <w:rsid w:val="00617F20"/>
    <w:rsid w:val="00620716"/>
    <w:rsid w:val="00621A80"/>
    <w:rsid w:val="006252D5"/>
    <w:rsid w:val="00625B09"/>
    <w:rsid w:val="00631585"/>
    <w:rsid w:val="00635F77"/>
    <w:rsid w:val="00640A39"/>
    <w:rsid w:val="00652AB0"/>
    <w:rsid w:val="0065404B"/>
    <w:rsid w:val="006567E1"/>
    <w:rsid w:val="0066320A"/>
    <w:rsid w:val="00666D4F"/>
    <w:rsid w:val="00670E42"/>
    <w:rsid w:val="00672797"/>
    <w:rsid w:val="00693185"/>
    <w:rsid w:val="006A22E0"/>
    <w:rsid w:val="006A4445"/>
    <w:rsid w:val="006B456C"/>
    <w:rsid w:val="006B46A3"/>
    <w:rsid w:val="006B6375"/>
    <w:rsid w:val="006C4A1E"/>
    <w:rsid w:val="006C6BF8"/>
    <w:rsid w:val="006C7D04"/>
    <w:rsid w:val="006D0FA0"/>
    <w:rsid w:val="006D3A7D"/>
    <w:rsid w:val="006D5E00"/>
    <w:rsid w:val="006D654F"/>
    <w:rsid w:val="006E2C0B"/>
    <w:rsid w:val="006E4F6B"/>
    <w:rsid w:val="006E5A07"/>
    <w:rsid w:val="006E5E4F"/>
    <w:rsid w:val="006E7AA9"/>
    <w:rsid w:val="006F0A3D"/>
    <w:rsid w:val="006F0EEE"/>
    <w:rsid w:val="006F206B"/>
    <w:rsid w:val="006F5687"/>
    <w:rsid w:val="00701CE8"/>
    <w:rsid w:val="00701F64"/>
    <w:rsid w:val="00704A8B"/>
    <w:rsid w:val="00707B50"/>
    <w:rsid w:val="00707F5C"/>
    <w:rsid w:val="0071067D"/>
    <w:rsid w:val="007165A3"/>
    <w:rsid w:val="007178DD"/>
    <w:rsid w:val="00721236"/>
    <w:rsid w:val="00721AFB"/>
    <w:rsid w:val="00722F5A"/>
    <w:rsid w:val="00725CFB"/>
    <w:rsid w:val="007463C7"/>
    <w:rsid w:val="00746B6F"/>
    <w:rsid w:val="00752949"/>
    <w:rsid w:val="007530C6"/>
    <w:rsid w:val="007545E6"/>
    <w:rsid w:val="007615CF"/>
    <w:rsid w:val="007726CB"/>
    <w:rsid w:val="00773910"/>
    <w:rsid w:val="00777BA1"/>
    <w:rsid w:val="00793259"/>
    <w:rsid w:val="007B5628"/>
    <w:rsid w:val="007B5B5F"/>
    <w:rsid w:val="007C20F2"/>
    <w:rsid w:val="007C2BDB"/>
    <w:rsid w:val="007C3134"/>
    <w:rsid w:val="007C490A"/>
    <w:rsid w:val="007C4E5F"/>
    <w:rsid w:val="007C535F"/>
    <w:rsid w:val="007D233B"/>
    <w:rsid w:val="007D3C21"/>
    <w:rsid w:val="007D6E71"/>
    <w:rsid w:val="007D7004"/>
    <w:rsid w:val="007F5F30"/>
    <w:rsid w:val="00800F71"/>
    <w:rsid w:val="00802A3B"/>
    <w:rsid w:val="0080501E"/>
    <w:rsid w:val="00805555"/>
    <w:rsid w:val="008061E3"/>
    <w:rsid w:val="00813B57"/>
    <w:rsid w:val="008216C9"/>
    <w:rsid w:val="00825CEE"/>
    <w:rsid w:val="00832AFC"/>
    <w:rsid w:val="00837695"/>
    <w:rsid w:val="008376F9"/>
    <w:rsid w:val="00841E0D"/>
    <w:rsid w:val="00842A32"/>
    <w:rsid w:val="00843C79"/>
    <w:rsid w:val="00846CE4"/>
    <w:rsid w:val="0085070B"/>
    <w:rsid w:val="00853753"/>
    <w:rsid w:val="008546F0"/>
    <w:rsid w:val="00857C5F"/>
    <w:rsid w:val="00875C15"/>
    <w:rsid w:val="008765A3"/>
    <w:rsid w:val="008843BA"/>
    <w:rsid w:val="00890A1E"/>
    <w:rsid w:val="00891058"/>
    <w:rsid w:val="00895E22"/>
    <w:rsid w:val="00897246"/>
    <w:rsid w:val="008A6195"/>
    <w:rsid w:val="008B406C"/>
    <w:rsid w:val="008B578F"/>
    <w:rsid w:val="008B68F8"/>
    <w:rsid w:val="008B6EA7"/>
    <w:rsid w:val="008C1499"/>
    <w:rsid w:val="008C3E85"/>
    <w:rsid w:val="008C68C0"/>
    <w:rsid w:val="008C7E88"/>
    <w:rsid w:val="008D7A92"/>
    <w:rsid w:val="008E6B88"/>
    <w:rsid w:val="008F4C4B"/>
    <w:rsid w:val="008F7137"/>
    <w:rsid w:val="008F7279"/>
    <w:rsid w:val="008F7DFD"/>
    <w:rsid w:val="009064A4"/>
    <w:rsid w:val="00910052"/>
    <w:rsid w:val="00917618"/>
    <w:rsid w:val="009249CA"/>
    <w:rsid w:val="00933ECD"/>
    <w:rsid w:val="00947E19"/>
    <w:rsid w:val="00947E96"/>
    <w:rsid w:val="00955502"/>
    <w:rsid w:val="0097068F"/>
    <w:rsid w:val="00975A0B"/>
    <w:rsid w:val="009777DE"/>
    <w:rsid w:val="00977E2E"/>
    <w:rsid w:val="00977E65"/>
    <w:rsid w:val="009803BD"/>
    <w:rsid w:val="009806C2"/>
    <w:rsid w:val="009818D5"/>
    <w:rsid w:val="00982AB6"/>
    <w:rsid w:val="00982C2E"/>
    <w:rsid w:val="00993108"/>
    <w:rsid w:val="0099329B"/>
    <w:rsid w:val="00995676"/>
    <w:rsid w:val="009A0FAA"/>
    <w:rsid w:val="009A1830"/>
    <w:rsid w:val="009A25A5"/>
    <w:rsid w:val="009A2CE5"/>
    <w:rsid w:val="009A4CC9"/>
    <w:rsid w:val="009A50A1"/>
    <w:rsid w:val="009A6455"/>
    <w:rsid w:val="009B1F70"/>
    <w:rsid w:val="009C2143"/>
    <w:rsid w:val="009C2789"/>
    <w:rsid w:val="009C4CA6"/>
    <w:rsid w:val="009D39EA"/>
    <w:rsid w:val="009D5B5D"/>
    <w:rsid w:val="009D694F"/>
    <w:rsid w:val="009E68C0"/>
    <w:rsid w:val="009E6D5F"/>
    <w:rsid w:val="009E6FA4"/>
    <w:rsid w:val="009F155B"/>
    <w:rsid w:val="009F5362"/>
    <w:rsid w:val="00A005DC"/>
    <w:rsid w:val="00A00902"/>
    <w:rsid w:val="00A00C43"/>
    <w:rsid w:val="00A0547E"/>
    <w:rsid w:val="00A067D9"/>
    <w:rsid w:val="00A06B10"/>
    <w:rsid w:val="00A10DB7"/>
    <w:rsid w:val="00A1314F"/>
    <w:rsid w:val="00A17247"/>
    <w:rsid w:val="00A207D1"/>
    <w:rsid w:val="00A22184"/>
    <w:rsid w:val="00A242CC"/>
    <w:rsid w:val="00A26DAA"/>
    <w:rsid w:val="00A32F91"/>
    <w:rsid w:val="00A35D63"/>
    <w:rsid w:val="00A406B9"/>
    <w:rsid w:val="00A43155"/>
    <w:rsid w:val="00A63242"/>
    <w:rsid w:val="00A63F62"/>
    <w:rsid w:val="00A662C8"/>
    <w:rsid w:val="00A72577"/>
    <w:rsid w:val="00A739DF"/>
    <w:rsid w:val="00A7567B"/>
    <w:rsid w:val="00A75D16"/>
    <w:rsid w:val="00A77023"/>
    <w:rsid w:val="00A80B29"/>
    <w:rsid w:val="00A81AC5"/>
    <w:rsid w:val="00A830ED"/>
    <w:rsid w:val="00A91E02"/>
    <w:rsid w:val="00A930CF"/>
    <w:rsid w:val="00A951D9"/>
    <w:rsid w:val="00A965D9"/>
    <w:rsid w:val="00AA2BB0"/>
    <w:rsid w:val="00AB4498"/>
    <w:rsid w:val="00AB7727"/>
    <w:rsid w:val="00AC4161"/>
    <w:rsid w:val="00AC56BF"/>
    <w:rsid w:val="00AE279C"/>
    <w:rsid w:val="00AE64B8"/>
    <w:rsid w:val="00AE6A46"/>
    <w:rsid w:val="00AE731B"/>
    <w:rsid w:val="00AE7B71"/>
    <w:rsid w:val="00AF160B"/>
    <w:rsid w:val="00AF3D6B"/>
    <w:rsid w:val="00B0063F"/>
    <w:rsid w:val="00B02599"/>
    <w:rsid w:val="00B027EE"/>
    <w:rsid w:val="00B03080"/>
    <w:rsid w:val="00B05C3D"/>
    <w:rsid w:val="00B21031"/>
    <w:rsid w:val="00B23135"/>
    <w:rsid w:val="00B24DEE"/>
    <w:rsid w:val="00B36800"/>
    <w:rsid w:val="00B41020"/>
    <w:rsid w:val="00B45382"/>
    <w:rsid w:val="00B512EC"/>
    <w:rsid w:val="00B549C9"/>
    <w:rsid w:val="00B62773"/>
    <w:rsid w:val="00B66729"/>
    <w:rsid w:val="00B72050"/>
    <w:rsid w:val="00B7349F"/>
    <w:rsid w:val="00B7484E"/>
    <w:rsid w:val="00B81B62"/>
    <w:rsid w:val="00B81C1C"/>
    <w:rsid w:val="00B8740A"/>
    <w:rsid w:val="00B934E4"/>
    <w:rsid w:val="00B95EFC"/>
    <w:rsid w:val="00BA3A07"/>
    <w:rsid w:val="00BA642E"/>
    <w:rsid w:val="00BB0158"/>
    <w:rsid w:val="00BB2661"/>
    <w:rsid w:val="00BC236F"/>
    <w:rsid w:val="00BC45E2"/>
    <w:rsid w:val="00BD3184"/>
    <w:rsid w:val="00BE0A6B"/>
    <w:rsid w:val="00BE36D4"/>
    <w:rsid w:val="00BE4239"/>
    <w:rsid w:val="00C00205"/>
    <w:rsid w:val="00C02EA3"/>
    <w:rsid w:val="00C030EE"/>
    <w:rsid w:val="00C03C77"/>
    <w:rsid w:val="00C05076"/>
    <w:rsid w:val="00C05362"/>
    <w:rsid w:val="00C054FD"/>
    <w:rsid w:val="00C07ACA"/>
    <w:rsid w:val="00C07E80"/>
    <w:rsid w:val="00C07FCA"/>
    <w:rsid w:val="00C12C1E"/>
    <w:rsid w:val="00C17F71"/>
    <w:rsid w:val="00C21F8F"/>
    <w:rsid w:val="00C26640"/>
    <w:rsid w:val="00C307E6"/>
    <w:rsid w:val="00C334BA"/>
    <w:rsid w:val="00C33592"/>
    <w:rsid w:val="00C43272"/>
    <w:rsid w:val="00C4662C"/>
    <w:rsid w:val="00C476F0"/>
    <w:rsid w:val="00C5217F"/>
    <w:rsid w:val="00C541BC"/>
    <w:rsid w:val="00C573CF"/>
    <w:rsid w:val="00C7477B"/>
    <w:rsid w:val="00C77948"/>
    <w:rsid w:val="00C80154"/>
    <w:rsid w:val="00C802F5"/>
    <w:rsid w:val="00C81082"/>
    <w:rsid w:val="00C8176D"/>
    <w:rsid w:val="00C82110"/>
    <w:rsid w:val="00C92618"/>
    <w:rsid w:val="00C96B2C"/>
    <w:rsid w:val="00CA6F77"/>
    <w:rsid w:val="00CA74D1"/>
    <w:rsid w:val="00CC04C1"/>
    <w:rsid w:val="00CC1810"/>
    <w:rsid w:val="00CC332F"/>
    <w:rsid w:val="00CC3723"/>
    <w:rsid w:val="00CC73BE"/>
    <w:rsid w:val="00CC7572"/>
    <w:rsid w:val="00CD54F7"/>
    <w:rsid w:val="00CD6344"/>
    <w:rsid w:val="00CD6526"/>
    <w:rsid w:val="00CE0F6A"/>
    <w:rsid w:val="00CE4631"/>
    <w:rsid w:val="00CE4FEE"/>
    <w:rsid w:val="00CE76DC"/>
    <w:rsid w:val="00CF0380"/>
    <w:rsid w:val="00CF49D1"/>
    <w:rsid w:val="00CF63B8"/>
    <w:rsid w:val="00D01D54"/>
    <w:rsid w:val="00D13A8A"/>
    <w:rsid w:val="00D14318"/>
    <w:rsid w:val="00D1754F"/>
    <w:rsid w:val="00D23B38"/>
    <w:rsid w:val="00D23E2A"/>
    <w:rsid w:val="00D27383"/>
    <w:rsid w:val="00D27D46"/>
    <w:rsid w:val="00D44B5C"/>
    <w:rsid w:val="00D47E1C"/>
    <w:rsid w:val="00D519EC"/>
    <w:rsid w:val="00D55041"/>
    <w:rsid w:val="00D551F6"/>
    <w:rsid w:val="00D60D1B"/>
    <w:rsid w:val="00D65E83"/>
    <w:rsid w:val="00D731AA"/>
    <w:rsid w:val="00D820E5"/>
    <w:rsid w:val="00D82D9A"/>
    <w:rsid w:val="00D843EC"/>
    <w:rsid w:val="00D85507"/>
    <w:rsid w:val="00D924D2"/>
    <w:rsid w:val="00D9584A"/>
    <w:rsid w:val="00DA161D"/>
    <w:rsid w:val="00DA2731"/>
    <w:rsid w:val="00DA5356"/>
    <w:rsid w:val="00DB27D4"/>
    <w:rsid w:val="00DC2C11"/>
    <w:rsid w:val="00DC3C31"/>
    <w:rsid w:val="00DD6C16"/>
    <w:rsid w:val="00DE1BE3"/>
    <w:rsid w:val="00DF24AD"/>
    <w:rsid w:val="00DF2895"/>
    <w:rsid w:val="00DF4A38"/>
    <w:rsid w:val="00E01FE4"/>
    <w:rsid w:val="00E07357"/>
    <w:rsid w:val="00E1069B"/>
    <w:rsid w:val="00E1340A"/>
    <w:rsid w:val="00E21C29"/>
    <w:rsid w:val="00E2599C"/>
    <w:rsid w:val="00E314AD"/>
    <w:rsid w:val="00E5214C"/>
    <w:rsid w:val="00E63DF5"/>
    <w:rsid w:val="00E65BFE"/>
    <w:rsid w:val="00E71E42"/>
    <w:rsid w:val="00E87965"/>
    <w:rsid w:val="00E90D77"/>
    <w:rsid w:val="00EA0F00"/>
    <w:rsid w:val="00EA24A0"/>
    <w:rsid w:val="00EA2916"/>
    <w:rsid w:val="00EA3387"/>
    <w:rsid w:val="00EA6581"/>
    <w:rsid w:val="00EA7F66"/>
    <w:rsid w:val="00EB1222"/>
    <w:rsid w:val="00EC5D24"/>
    <w:rsid w:val="00ED2098"/>
    <w:rsid w:val="00ED4133"/>
    <w:rsid w:val="00ED661D"/>
    <w:rsid w:val="00ED7423"/>
    <w:rsid w:val="00EE68E1"/>
    <w:rsid w:val="00EF27FE"/>
    <w:rsid w:val="00F051D6"/>
    <w:rsid w:val="00F12803"/>
    <w:rsid w:val="00F130E8"/>
    <w:rsid w:val="00F32F92"/>
    <w:rsid w:val="00F4192D"/>
    <w:rsid w:val="00F459CD"/>
    <w:rsid w:val="00F54279"/>
    <w:rsid w:val="00F63F0A"/>
    <w:rsid w:val="00F651AE"/>
    <w:rsid w:val="00F65835"/>
    <w:rsid w:val="00F67E0F"/>
    <w:rsid w:val="00F7189E"/>
    <w:rsid w:val="00F741F1"/>
    <w:rsid w:val="00F75E33"/>
    <w:rsid w:val="00F818B4"/>
    <w:rsid w:val="00F90C3A"/>
    <w:rsid w:val="00FA1FD4"/>
    <w:rsid w:val="00FA54FA"/>
    <w:rsid w:val="00FB225E"/>
    <w:rsid w:val="00FC04D5"/>
    <w:rsid w:val="00FC1C45"/>
    <w:rsid w:val="00FD2EE9"/>
    <w:rsid w:val="00FE11E6"/>
    <w:rsid w:val="00FE71C5"/>
    <w:rsid w:val="00FF077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004"/>
    <w:rPr>
      <w:rFonts w:ascii="Times New Roman" w:hAnsi="Times New Roman"/>
    </w:rPr>
  </w:style>
  <w:style w:type="paragraph" w:styleId="Ttulo1">
    <w:name w:val="heading 1"/>
    <w:basedOn w:val="Normal"/>
    <w:next w:val="Normal"/>
    <w:link w:val="Ttulo1Car"/>
    <w:uiPriority w:val="9"/>
    <w:qFormat/>
    <w:rsid w:val="00543A6D"/>
    <w:pPr>
      <w:keepNext/>
      <w:keepLines/>
      <w:spacing w:before="360" w:after="80"/>
      <w:outlineLvl w:val="0"/>
    </w:pPr>
    <w:rPr>
      <w:rFonts w:eastAsiaTheme="majorEastAsia" w:cstheme="majorBidi"/>
      <w:b/>
      <w:color w:val="000000" w:themeColor="text1"/>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43A6D"/>
    <w:rPr>
      <w:rFonts w:ascii="Times New Roman" w:eastAsiaTheme="majorEastAsia" w:hAnsi="Times New Roman" w:cstheme="majorBidi"/>
      <w:b/>
      <w:color w:val="000000" w:themeColor="text1"/>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60A0C"/>
    <w:pPr>
      <w:numPr>
        <w:ilvl w:val="1"/>
      </w:numPr>
    </w:pPr>
    <w:rPr>
      <w:rFonts w:eastAsiaTheme="majorEastAsia" w:cstheme="majorBidi"/>
      <w:b/>
      <w:color w:val="000000" w:themeColor="text1"/>
      <w:spacing w:val="15"/>
      <w:szCs w:val="28"/>
    </w:rPr>
  </w:style>
  <w:style w:type="character" w:customStyle="1" w:styleId="SubttuloCar">
    <w:name w:val="Subtítulo Car"/>
    <w:basedOn w:val="Fuentedeprrafopredeter"/>
    <w:link w:val="Subttulo"/>
    <w:uiPriority w:val="11"/>
    <w:rsid w:val="00160A0C"/>
    <w:rPr>
      <w:rFonts w:ascii="Times New Roman" w:eastAsiaTheme="majorEastAsia" w:hAnsi="Times New Roman" w:cstheme="majorBidi"/>
      <w:b/>
      <w:color w:val="000000" w:themeColor="text1"/>
      <w:spacing w:val="15"/>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299507005_LAS_RELACIONES_DE_COLABORACION_ENTRE_LA_UNIVERSIDAD_Y_LOS_SECTORES_PRODUCTIVOS_UNA_OPORTUNIDAD_A_CONSTRUIR_EN_LA_POLITICA_DE_INNOVACION"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muino@unlam.edu.ar"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orcid.org/0009-0000-0222-9405" TargetMode="External"/><Relationship Id="rId11" Type="http://schemas.openxmlformats.org/officeDocument/2006/relationships/hyperlink" Target="https://aulasvirtuales.bue.edu.ar/pluginfile.php/2297659/mod_resource/content/1/SCRUMstudy-SBOK-Guide-3rd-edition-Spanish.pdf"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www.cin.edu.ar/resultados-proyectos-de-desarrollo-tecnologico-y-social-cin-uniuear/"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cuestionessociologia.fahce.unlp.edu.ar/article/view/CSn12a04"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6125</Words>
  <Characters>33693</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Marina Victoria Muiño</cp:lastModifiedBy>
  <cp:revision>5</cp:revision>
  <dcterms:created xsi:type="dcterms:W3CDTF">2026-06-23T14:14:00Z</dcterms:created>
  <dcterms:modified xsi:type="dcterms:W3CDTF">2026-06-23T14:31:00Z</dcterms:modified>
</cp:coreProperties>
</file>