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9479" w14:textId="72CC66F5" w:rsidR="005F3B2E" w:rsidRPr="00BA642E" w:rsidRDefault="00DB2B83" w:rsidP="001923DC">
      <w:pPr>
        <w:jc w:val="center"/>
        <w:rPr>
          <w:rFonts w:ascii="Times New Roman" w:hAnsi="Times New Roman" w:cs="Times New Roman"/>
        </w:rPr>
      </w:pPr>
      <w:r w:rsidRPr="00DB2B83">
        <w:rPr>
          <w:rFonts w:ascii="Times New Roman" w:hAnsi="Times New Roman" w:cs="Times New Roman"/>
          <w:b/>
          <w:bCs/>
        </w:rPr>
        <w:t>Del acceso a la permanencia: factores de riesgo y niveles de abordaje en el acompañamiento a la trayectoria académica.</w:t>
      </w:r>
    </w:p>
    <w:p w14:paraId="4E738780" w14:textId="667FA3BA" w:rsidR="005F3B2E" w:rsidRPr="00BA642E" w:rsidRDefault="00077AE3" w:rsidP="005F3B2E">
      <w:pPr>
        <w:spacing w:after="0" w:line="240" w:lineRule="auto"/>
        <w:jc w:val="right"/>
        <w:rPr>
          <w:rFonts w:ascii="Times New Roman" w:hAnsi="Times New Roman" w:cs="Times New Roman"/>
        </w:rPr>
      </w:pPr>
      <w:r>
        <w:rPr>
          <w:rFonts w:ascii="Times New Roman" w:hAnsi="Times New Roman" w:cs="Times New Roman"/>
        </w:rPr>
        <w:t xml:space="preserve">Rahmer Pavez, Beatriz </w:t>
      </w:r>
    </w:p>
    <w:p w14:paraId="6C2AECCA" w14:textId="74CDABEA" w:rsidR="005F3B2E" w:rsidRPr="00BA642E" w:rsidRDefault="00077AE3" w:rsidP="005F3B2E">
      <w:pPr>
        <w:spacing w:after="0" w:line="240" w:lineRule="auto"/>
        <w:jc w:val="right"/>
        <w:rPr>
          <w:rFonts w:ascii="Times New Roman" w:hAnsi="Times New Roman" w:cs="Times New Roman"/>
        </w:rPr>
      </w:pPr>
      <w:r>
        <w:rPr>
          <w:rFonts w:ascii="Times New Roman" w:hAnsi="Times New Roman" w:cs="Times New Roman"/>
        </w:rPr>
        <w:t>Universidad de Chile</w:t>
      </w:r>
    </w:p>
    <w:p w14:paraId="1B43FD84" w14:textId="77777777" w:rsidR="001923DC" w:rsidRPr="00BA642E" w:rsidRDefault="001923DC" w:rsidP="001923DC">
      <w:pPr>
        <w:jc w:val="center"/>
        <w:rPr>
          <w:rFonts w:ascii="Times New Roman" w:hAnsi="Times New Roman" w:cs="Times New Roman"/>
        </w:rPr>
      </w:pPr>
    </w:p>
    <w:p w14:paraId="35A6682C" w14:textId="551DB94C" w:rsidR="00BA642E" w:rsidRPr="00771C5A" w:rsidRDefault="00BA642E" w:rsidP="00EA258B">
      <w:pPr>
        <w:spacing w:line="240" w:lineRule="auto"/>
        <w:jc w:val="both"/>
        <w:rPr>
          <w:rFonts w:ascii="Times New Roman" w:hAnsi="Times New Roman" w:cs="Times New Roman"/>
          <w:b/>
          <w:bCs/>
          <w:lang w:val="es-CL"/>
        </w:rPr>
      </w:pPr>
      <w:r w:rsidRPr="00771C5A">
        <w:rPr>
          <w:rFonts w:ascii="Times New Roman" w:hAnsi="Times New Roman" w:cs="Times New Roman"/>
          <w:b/>
          <w:bCs/>
          <w:lang w:val="es-CL"/>
        </w:rPr>
        <w:t>Resumen:</w:t>
      </w:r>
      <w:r w:rsidR="007B5B5F" w:rsidRPr="00771C5A">
        <w:rPr>
          <w:rFonts w:ascii="Times New Roman" w:hAnsi="Times New Roman" w:cs="Times New Roman"/>
          <w:b/>
          <w:bCs/>
          <w:lang w:val="es-CL"/>
        </w:rPr>
        <w:t xml:space="preserve"> </w:t>
      </w:r>
      <w:r w:rsidR="00771C5A" w:rsidRPr="00771C5A">
        <w:rPr>
          <w:rFonts w:ascii="Times New Roman" w:hAnsi="Times New Roman" w:cs="Times New Roman"/>
          <w:lang w:val="es-CL"/>
        </w:rPr>
        <w:t xml:space="preserve">En esta ponencia se presentan los resultados de un estudio de revisión y análisis comparado de experiencias chilenas de acompañamiento a la trayectoria estudiantil en educación superior, con foco en inclusión y retención académica. El trabajo busca comprender cómo las universidades han respondido a los desafíos de la masificación y de la creciente diversificación del estudiantado, especialmente en contextos donde la ampliación del acceso convive con persistentes desigualdades en las trayectorias formativas. A partir del abordaje conceptual y de los hallazgos recopilados, se propone una organización de los factores de riesgo que afectan dichas trayectorias, en los planos psicosocial, pedagógico, curricular, institucional y de política pública, así como </w:t>
      </w:r>
      <w:r w:rsidR="00EA258B">
        <w:rPr>
          <w:rFonts w:ascii="Times New Roman" w:hAnsi="Times New Roman" w:cs="Times New Roman"/>
          <w:lang w:val="es-CL"/>
        </w:rPr>
        <w:t>sus</w:t>
      </w:r>
      <w:r w:rsidR="00771C5A" w:rsidRPr="00771C5A">
        <w:rPr>
          <w:rFonts w:ascii="Times New Roman" w:hAnsi="Times New Roman" w:cs="Times New Roman"/>
          <w:lang w:val="es-CL"/>
        </w:rPr>
        <w:t xml:space="preserve"> principales niveles de abordaje</w:t>
      </w:r>
      <w:r w:rsidR="00EA258B">
        <w:rPr>
          <w:rFonts w:ascii="Times New Roman" w:hAnsi="Times New Roman" w:cs="Times New Roman"/>
          <w:lang w:val="es-CL"/>
        </w:rPr>
        <w:t xml:space="preserve">. </w:t>
      </w:r>
      <w:r w:rsidR="00771C5A" w:rsidRPr="00771C5A">
        <w:rPr>
          <w:rFonts w:ascii="Times New Roman" w:hAnsi="Times New Roman" w:cs="Times New Roman"/>
          <w:lang w:val="es-CL"/>
        </w:rPr>
        <w:t xml:space="preserve">El estudio parte de la premisa de que las políticas de masificación e inclusión en educación superior, especialmente las impulsadas durante los últimos quince años, han tensionado los modelos tradicionales de formación universitaria, mostrando que ni la ampliación del acceso ni la gratuidad garantizan por sí solas la permanencia ni el éxito académico. Este escenario ha exigido a las instituciones desarrollar acciones de acompañamiento estudiantil, entendidas como estrategias orientadas a sostener las trayectorias, reducir brechas de origen y favorecer procesos de integración académica, social y emocional al interior de la universidad. Metodológicamente, el trabajo se basa en una revisión y análisis comparado de experiencias de acompañamiento estudiantil en universidades chilenas, a partir de una aproximación cualitativa de carácter mixto-inductivo, que combinó revisión documental y entrevistas semiestructuradas. Sobre esta base, y en diálogo con el levantamiento conceptual desarrollado, se identifican distintos enfoques, dispositivos institucionales y niveles de abordaje orientados a enfrentar factores de riesgo asociados a la deserción y al rezago académico, los que a su vez se proponen como una clave analítica para comprender y organizar las estrategias de acompañamiento en educación superior. Desde esta perspectiva, el acompañamiento estudiantil no puede comprenderse como un conjunto de programas aislados, sino como un sistema articulado de acciones que atraviesa múltiples dimensiones de la vida universitaria. La ponencia propone, por tanto, avanzar hacia enfoques integrales que superen intervenciones fragmentadas y paradigmas centrados sólo en la vulnerabilidad de los estudiantes o </w:t>
      </w:r>
      <w:r w:rsidR="00771C5A">
        <w:rPr>
          <w:rFonts w:ascii="Times New Roman" w:hAnsi="Times New Roman" w:cs="Times New Roman"/>
          <w:lang w:val="es-CL"/>
        </w:rPr>
        <w:t>en la</w:t>
      </w:r>
      <w:r w:rsidR="00771C5A" w:rsidRPr="00771C5A">
        <w:rPr>
          <w:rFonts w:ascii="Times New Roman" w:hAnsi="Times New Roman" w:cs="Times New Roman"/>
          <w:lang w:val="es-CL"/>
        </w:rPr>
        <w:t xml:space="preserve"> incapacidad </w:t>
      </w:r>
      <w:proofErr w:type="gramStart"/>
      <w:r w:rsidR="00771C5A" w:rsidRPr="00771C5A">
        <w:rPr>
          <w:rFonts w:ascii="Times New Roman" w:hAnsi="Times New Roman" w:cs="Times New Roman"/>
          <w:lang w:val="es-CL"/>
        </w:rPr>
        <w:t>institucional,  y</w:t>
      </w:r>
      <w:proofErr w:type="gramEnd"/>
      <w:r w:rsidR="00771C5A" w:rsidRPr="00771C5A">
        <w:rPr>
          <w:rFonts w:ascii="Times New Roman" w:hAnsi="Times New Roman" w:cs="Times New Roman"/>
          <w:lang w:val="es-CL"/>
        </w:rPr>
        <w:t xml:space="preserve"> articulen acciones pedagógicas, psicosociales, institucionales y de política pública dentro de estrategias coherentes de inclusión y permanencia en educación superior.</w:t>
      </w:r>
    </w:p>
    <w:p w14:paraId="2994BAB3" w14:textId="3F7EA4A0"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DB2B83" w:rsidRPr="00DB2B83">
        <w:rPr>
          <w:rFonts w:ascii="Times New Roman" w:hAnsi="Times New Roman" w:cs="Times New Roman"/>
        </w:rPr>
        <w:t>Inclusión; Retención; Acompañamiento académico</w:t>
      </w:r>
    </w:p>
    <w:p w14:paraId="4B1D50B7" w14:textId="71C5C02F" w:rsidR="003441C8" w:rsidRPr="003441C8" w:rsidRDefault="001F7C4E" w:rsidP="003441C8">
      <w:pPr>
        <w:spacing w:line="240" w:lineRule="auto"/>
        <w:rPr>
          <w:rFonts w:ascii="Times New Roman" w:hAnsi="Times New Roman" w:cs="Times New Roman"/>
          <w:b/>
          <w:bCs/>
        </w:rPr>
      </w:pPr>
      <w:r>
        <w:rPr>
          <w:rFonts w:ascii="Times New Roman" w:hAnsi="Times New Roman" w:cs="Times New Roman"/>
          <w:b/>
          <w:bCs/>
        </w:rPr>
        <w:t xml:space="preserve">Introducción: </w:t>
      </w:r>
      <w:r w:rsidR="003441C8" w:rsidRPr="003441C8">
        <w:rPr>
          <w:rFonts w:ascii="Times New Roman" w:hAnsi="Times New Roman" w:cs="Times New Roman"/>
          <w:b/>
          <w:bCs/>
        </w:rPr>
        <w:t>Acompañamiento estudiantil masificación e inclusión</w:t>
      </w:r>
    </w:p>
    <w:p w14:paraId="3FD0C95E" w14:textId="77777777" w:rsidR="003441C8" w:rsidRPr="003441C8" w:rsidRDefault="003441C8" w:rsidP="003441C8">
      <w:pPr>
        <w:spacing w:line="240" w:lineRule="auto"/>
        <w:jc w:val="both"/>
        <w:rPr>
          <w:rFonts w:ascii="Times New Roman" w:hAnsi="Times New Roman" w:cs="Times New Roman"/>
        </w:rPr>
      </w:pPr>
      <w:r w:rsidRPr="003441C8">
        <w:rPr>
          <w:rFonts w:ascii="Times New Roman" w:hAnsi="Times New Roman" w:cs="Times New Roman"/>
        </w:rPr>
        <w:t xml:space="preserve">El acompañamiento estudiantil corresponde a acciones y mecanismos que realizan las instituciones universitarias para atender las necesidades de los estudiantes durante su trayectoria formativa con el objetivo de asegurar su permanencia, progresión y </w:t>
      </w:r>
      <w:r w:rsidRPr="003441C8">
        <w:rPr>
          <w:rFonts w:ascii="Times New Roman" w:hAnsi="Times New Roman" w:cs="Times New Roman"/>
        </w:rPr>
        <w:lastRenderedPageBreak/>
        <w:t xml:space="preserve">graduación. Si bien siempre han existido acciones en esta línea, la institucionalización del acompañamiento estudiantil es un fenómeno que se vincula a los procesos de masificación de la educación superior y a la diversificación del perfil de ingreso.  </w:t>
      </w:r>
    </w:p>
    <w:p w14:paraId="0D8B751D" w14:textId="2BBEA2EF" w:rsidR="003441C8" w:rsidRDefault="003441C8" w:rsidP="003441C8">
      <w:pPr>
        <w:spacing w:line="240" w:lineRule="auto"/>
        <w:jc w:val="both"/>
        <w:rPr>
          <w:rFonts w:ascii="Times New Roman" w:hAnsi="Times New Roman" w:cs="Times New Roman"/>
        </w:rPr>
      </w:pPr>
      <w:r w:rsidRPr="003441C8">
        <w:rPr>
          <w:rFonts w:ascii="Times New Roman" w:hAnsi="Times New Roman" w:cs="Times New Roman"/>
        </w:rPr>
        <w:t>Chile ha experimentado un aumento sostenido de la matrícula en educación superior, aunque con una breve disminución a partir de 2019, asociada a los efectos económicos y sociopolíticos del estallido social del 18 de octubre y, posteriormente, a la pandemia de COVID-19 (</w:t>
      </w:r>
      <w:r w:rsidR="00642C73" w:rsidRPr="00642C73">
        <w:rPr>
          <w:rFonts w:ascii="Times New Roman" w:hAnsi="Times New Roman" w:cs="Times New Roman"/>
        </w:rPr>
        <w:t>Vergara et al., 2021</w:t>
      </w:r>
      <w:r w:rsidRPr="003441C8">
        <w:rPr>
          <w:rFonts w:ascii="Times New Roman" w:hAnsi="Times New Roman" w:cs="Times New Roman"/>
        </w:rPr>
        <w:t xml:space="preserve">). Tras esta interrupción, la tendencia expansiva se retomó con fuerza. En 2025, la matrícula total del </w:t>
      </w:r>
      <w:proofErr w:type="gramStart"/>
      <w:r w:rsidRPr="003441C8">
        <w:rPr>
          <w:rFonts w:ascii="Times New Roman" w:hAnsi="Times New Roman" w:cs="Times New Roman"/>
        </w:rPr>
        <w:t xml:space="preserve">sistema </w:t>
      </w:r>
      <w:r>
        <w:rPr>
          <w:rFonts w:ascii="Times New Roman" w:hAnsi="Times New Roman" w:cs="Times New Roman"/>
        </w:rPr>
        <w:t>,</w:t>
      </w:r>
      <w:proofErr w:type="gramEnd"/>
      <w:r>
        <w:rPr>
          <w:rFonts w:ascii="Times New Roman" w:hAnsi="Times New Roman" w:cs="Times New Roman"/>
        </w:rPr>
        <w:t xml:space="preserve"> </w:t>
      </w:r>
      <w:r w:rsidRPr="003441C8">
        <w:rPr>
          <w:rFonts w:ascii="Times New Roman" w:hAnsi="Times New Roman" w:cs="Times New Roman"/>
        </w:rPr>
        <w:t>considerando programas de pregrado, postgrado y postítulo</w:t>
      </w:r>
      <w:r>
        <w:rPr>
          <w:rFonts w:ascii="Times New Roman" w:hAnsi="Times New Roman" w:cs="Times New Roman"/>
        </w:rPr>
        <w:t xml:space="preserve">, </w:t>
      </w:r>
      <w:r w:rsidRPr="003441C8">
        <w:rPr>
          <w:rFonts w:ascii="Times New Roman" w:hAnsi="Times New Roman" w:cs="Times New Roman"/>
        </w:rPr>
        <w:t>alcanzó las 1.455.639 matrículas, lo que representó un crecimiento del 5 % respecto del año anterior (Subsecretaría de Educación Superior, Ministerio de Educación, 2025).</w:t>
      </w:r>
    </w:p>
    <w:p w14:paraId="47C9FCB4" w14:textId="1E53D86C" w:rsidR="003441C8" w:rsidRPr="003441C8" w:rsidRDefault="003441C8" w:rsidP="003441C8">
      <w:pPr>
        <w:spacing w:line="240" w:lineRule="auto"/>
        <w:jc w:val="both"/>
        <w:rPr>
          <w:rFonts w:ascii="Times New Roman" w:hAnsi="Times New Roman" w:cs="Times New Roman"/>
        </w:rPr>
      </w:pPr>
      <w:r w:rsidRPr="003441C8">
        <w:rPr>
          <w:rFonts w:ascii="Times New Roman" w:hAnsi="Times New Roman" w:cs="Times New Roman"/>
        </w:rPr>
        <w:t xml:space="preserve">Como país ya se encuentra hace varios años en el umbral de la universalización considerando la clasificación propuesta por Martin </w:t>
      </w:r>
      <w:proofErr w:type="spellStart"/>
      <w:r w:rsidRPr="003441C8">
        <w:rPr>
          <w:rFonts w:ascii="Times New Roman" w:hAnsi="Times New Roman" w:cs="Times New Roman"/>
        </w:rPr>
        <w:t>Trow</w:t>
      </w:r>
      <w:proofErr w:type="spellEnd"/>
      <w:r w:rsidRPr="003441C8">
        <w:rPr>
          <w:rFonts w:ascii="Times New Roman" w:hAnsi="Times New Roman" w:cs="Times New Roman"/>
        </w:rPr>
        <w:t>, con una representación de sobre el 50% de los jóvenes entre 18 y 23 años (J.-J. Brunner, 2012). Junto con Argentina</w:t>
      </w:r>
      <w:r w:rsidR="009041F9">
        <w:rPr>
          <w:rFonts w:ascii="Times New Roman" w:hAnsi="Times New Roman" w:cs="Times New Roman"/>
        </w:rPr>
        <w:t>, Brasil</w:t>
      </w:r>
      <w:r w:rsidRPr="003441C8">
        <w:rPr>
          <w:rFonts w:ascii="Times New Roman" w:hAnsi="Times New Roman" w:cs="Times New Roman"/>
        </w:rPr>
        <w:t xml:space="preserve"> y Venezuela, son los países donde más ha reducido la desigualdad en el acceso, representado en el ingreso masivo de estudiantes pertenecientes al 50% de la población con menores ingresos (UNESCO IESALC, 2020). </w:t>
      </w:r>
    </w:p>
    <w:p w14:paraId="2AF07243" w14:textId="3A14453F" w:rsidR="003441C8" w:rsidRPr="003441C8" w:rsidRDefault="003441C8" w:rsidP="003441C8">
      <w:pPr>
        <w:spacing w:line="240" w:lineRule="auto"/>
        <w:jc w:val="both"/>
        <w:rPr>
          <w:rFonts w:ascii="Times New Roman" w:hAnsi="Times New Roman" w:cs="Times New Roman"/>
        </w:rPr>
      </w:pPr>
      <w:r w:rsidRPr="003441C8">
        <w:rPr>
          <w:rFonts w:ascii="Times New Roman" w:hAnsi="Times New Roman" w:cs="Times New Roman"/>
        </w:rPr>
        <w:t xml:space="preserve">Con el fin de incorporar a más estudiantes de sectores de alta vulnerabilidad social, se han promovido acciones para ampliar la oferta, facilitar el acceso y apoyar económicamente a los estudiantes.  En el segundo gobierno de la </w:t>
      </w:r>
      <w:proofErr w:type="gramStart"/>
      <w:r w:rsidRPr="003441C8">
        <w:rPr>
          <w:rFonts w:ascii="Times New Roman" w:hAnsi="Times New Roman" w:cs="Times New Roman"/>
        </w:rPr>
        <w:t>Presidenta</w:t>
      </w:r>
      <w:proofErr w:type="gramEnd"/>
      <w:r w:rsidRPr="003441C8">
        <w:rPr>
          <w:rFonts w:ascii="Times New Roman" w:hAnsi="Times New Roman" w:cs="Times New Roman"/>
        </w:rPr>
        <w:t xml:space="preserve"> Michelle Bachelet (2014-2018), se crearon dos nuevas universidades estatales (en las regiones de Aysén y O'Higgins) junto con 15 Centros de Formación Técnicas estatales (uno por región). </w:t>
      </w:r>
      <w:r w:rsidR="009041F9" w:rsidRPr="003441C8">
        <w:rPr>
          <w:rFonts w:ascii="Times New Roman" w:hAnsi="Times New Roman" w:cs="Times New Roman"/>
        </w:rPr>
        <w:t>Además, desde</w:t>
      </w:r>
      <w:r w:rsidRPr="003441C8">
        <w:rPr>
          <w:rFonts w:ascii="Times New Roman" w:hAnsi="Times New Roman" w:cs="Times New Roman"/>
        </w:rPr>
        <w:t xml:space="preserve"> el año 2015 se instaura la gratuidad de los estudios superiores para estudiantes provenientes del 60% de la población de menores recursos que se matriculen en las universidades estatales y privadas que cuenten con una acreditación institucional avanzada o de excelencia (J. J. Brunner &amp; Labraña, 2018). Junto con lo anterior, resulta relevante destacar el Programa de Acceso y Acompañamiento Efectivo a la Educación Superior (PACE) que funciona desde el año 2014 como política pública liderada por el Ministerio de Educación, la cual a través de un vínculo entre las universidades y los establecimientos educacionales prepara a los/as estudiantes de educación secundaria para un ingreso efectivo a las universidades, asegurando cupos en cada institución y eximiéndoles del puntaje de la prueba estandarizada de ingreso y posteriormente acompañarles en su permanencia en el primer año universitario. </w:t>
      </w:r>
      <w:r w:rsidR="00EB3F84">
        <w:rPr>
          <w:rFonts w:ascii="Times New Roman" w:hAnsi="Times New Roman" w:cs="Times New Roman"/>
        </w:rPr>
        <w:t xml:space="preserve"> </w:t>
      </w:r>
      <w:r w:rsidRPr="003441C8">
        <w:rPr>
          <w:rFonts w:ascii="Times New Roman" w:hAnsi="Times New Roman" w:cs="Times New Roman"/>
        </w:rPr>
        <w:t xml:space="preserve">Participan en el PACE todos los establecimientos públicos del país, algunos establecimientos subvencionados y 29 universidades (Lizama et al., </w:t>
      </w:r>
      <w:proofErr w:type="gramStart"/>
      <w:r w:rsidRPr="003441C8">
        <w:rPr>
          <w:rFonts w:ascii="Times New Roman" w:hAnsi="Times New Roman" w:cs="Times New Roman"/>
        </w:rPr>
        <w:t>2018;  MINEDUC</w:t>
      </w:r>
      <w:proofErr w:type="gramEnd"/>
      <w:r w:rsidRPr="003441C8">
        <w:rPr>
          <w:rFonts w:ascii="Times New Roman" w:hAnsi="Times New Roman" w:cs="Times New Roman"/>
        </w:rPr>
        <w:t>, 202</w:t>
      </w:r>
      <w:r w:rsidR="009041F9">
        <w:rPr>
          <w:rFonts w:ascii="Times New Roman" w:hAnsi="Times New Roman" w:cs="Times New Roman"/>
        </w:rPr>
        <w:t>5</w:t>
      </w:r>
      <w:r w:rsidRPr="003441C8">
        <w:rPr>
          <w:rFonts w:ascii="Times New Roman" w:hAnsi="Times New Roman" w:cs="Times New Roman"/>
        </w:rPr>
        <w:t>)</w:t>
      </w:r>
    </w:p>
    <w:p w14:paraId="2E63D4F0" w14:textId="4A6AC8CE" w:rsidR="003441C8" w:rsidRDefault="003441C8" w:rsidP="003441C8">
      <w:pPr>
        <w:spacing w:line="240" w:lineRule="auto"/>
        <w:jc w:val="both"/>
        <w:rPr>
          <w:rFonts w:ascii="Times New Roman" w:hAnsi="Times New Roman" w:cs="Times New Roman"/>
        </w:rPr>
      </w:pPr>
      <w:r w:rsidRPr="003441C8">
        <w:rPr>
          <w:rFonts w:ascii="Times New Roman" w:hAnsi="Times New Roman" w:cs="Times New Roman"/>
        </w:rPr>
        <w:t xml:space="preserve">La inclusión en educación superior es un concepto amplio y en permanente discusión, cuyas definiciones varían según los grupos históricamente excluidos o subrepresentados que se busca incorporar. Así, sus alcances pueden referirse a desigualdades asociadas al género, la pertenencia étnica, la ruralidad, la discapacidad u otras condiciones que inciden en las posibilidades de participar plenamente de la experiencia universitaria (Lizama et al., 2018; UNESCO IESALC, 2020). No </w:t>
      </w:r>
      <w:r w:rsidR="009041F9" w:rsidRPr="003441C8">
        <w:rPr>
          <w:rFonts w:ascii="Times New Roman" w:hAnsi="Times New Roman" w:cs="Times New Roman"/>
        </w:rPr>
        <w:t>obstante,</w:t>
      </w:r>
      <w:r w:rsidRPr="003441C8">
        <w:rPr>
          <w:rFonts w:ascii="Times New Roman" w:hAnsi="Times New Roman" w:cs="Times New Roman"/>
        </w:rPr>
        <w:t xml:space="preserve"> esta diversidad de enfoques, existe consenso en torno a que la inclusión, entendida como una condición para avanzar hacia </w:t>
      </w:r>
      <w:r w:rsidRPr="003441C8">
        <w:rPr>
          <w:rFonts w:ascii="Times New Roman" w:hAnsi="Times New Roman" w:cs="Times New Roman"/>
        </w:rPr>
        <w:lastRenderedPageBreak/>
        <w:t>la igualdad de oportunidades, no puede reducirse a la ampliación del acceso ni considerarse resuelta mediante la masificación del sistema (</w:t>
      </w:r>
      <w:proofErr w:type="spellStart"/>
      <w:r w:rsidRPr="003441C8">
        <w:rPr>
          <w:rFonts w:ascii="Times New Roman" w:hAnsi="Times New Roman" w:cs="Times New Roman"/>
        </w:rPr>
        <w:t>Chiroleu</w:t>
      </w:r>
      <w:proofErr w:type="spellEnd"/>
      <w:r w:rsidRPr="003441C8">
        <w:rPr>
          <w:rFonts w:ascii="Times New Roman" w:hAnsi="Times New Roman" w:cs="Times New Roman"/>
        </w:rPr>
        <w:t xml:space="preserve">, 2018; Gil &amp; Rahmer, 2016; Ezcurra et al., 2011; García de </w:t>
      </w:r>
      <w:proofErr w:type="spellStart"/>
      <w:r w:rsidRPr="003441C8">
        <w:rPr>
          <w:rFonts w:ascii="Times New Roman" w:hAnsi="Times New Roman" w:cs="Times New Roman"/>
        </w:rPr>
        <w:t>Fanelli</w:t>
      </w:r>
      <w:proofErr w:type="spellEnd"/>
      <w:r w:rsidRPr="003441C8">
        <w:rPr>
          <w:rFonts w:ascii="Times New Roman" w:hAnsi="Times New Roman" w:cs="Times New Roman"/>
        </w:rPr>
        <w:t>, 2014). El ingreso a la educación superior constituye sólo el primer momento de una trayectoria en la que las desigualdades de origen pueden mantenerse, profundizarse o adquirir nuevas formas. Por ello, una igualdad de oportunidades efectiva debe expresarse de manera continua en las condiciones de acceso, permanencia, progresión académica y graduación, atendiendo no sólo a quiénes ingresan, sino también a las posibilidades reales que tienen de avanzar y culminar exitosamente sus estudios.</w:t>
      </w:r>
    </w:p>
    <w:p w14:paraId="7DA658E1" w14:textId="1BAE87D8" w:rsidR="001F7C4E" w:rsidRDefault="001F7C4E" w:rsidP="003441C8">
      <w:pPr>
        <w:spacing w:line="240" w:lineRule="auto"/>
        <w:jc w:val="both"/>
        <w:rPr>
          <w:rFonts w:ascii="Times New Roman" w:hAnsi="Times New Roman" w:cs="Times New Roman"/>
          <w:b/>
          <w:bCs/>
        </w:rPr>
      </w:pPr>
      <w:r w:rsidRPr="001F7C4E">
        <w:rPr>
          <w:rFonts w:ascii="Times New Roman" w:hAnsi="Times New Roman" w:cs="Times New Roman"/>
          <w:b/>
          <w:bCs/>
        </w:rPr>
        <w:t>Metodología</w:t>
      </w:r>
    </w:p>
    <w:p w14:paraId="639F1045" w14:textId="5BFA5EAA" w:rsidR="001F7C4E" w:rsidRPr="001F7C4E" w:rsidRDefault="001F7C4E" w:rsidP="001F7C4E">
      <w:pPr>
        <w:spacing w:line="240" w:lineRule="auto"/>
        <w:jc w:val="both"/>
        <w:rPr>
          <w:rFonts w:ascii="Times New Roman" w:hAnsi="Times New Roman" w:cs="Times New Roman"/>
          <w:b/>
          <w:bCs/>
        </w:rPr>
      </w:pPr>
      <w:r>
        <w:rPr>
          <w:rFonts w:ascii="Times New Roman" w:hAnsi="Times New Roman" w:cs="Times New Roman"/>
        </w:rPr>
        <w:t>E</w:t>
      </w:r>
      <w:r w:rsidRPr="001F7C4E">
        <w:rPr>
          <w:rFonts w:ascii="Times New Roman" w:hAnsi="Times New Roman" w:cs="Times New Roman"/>
        </w:rPr>
        <w:t>st</w:t>
      </w:r>
      <w:r>
        <w:rPr>
          <w:rFonts w:ascii="Times New Roman" w:hAnsi="Times New Roman" w:cs="Times New Roman"/>
        </w:rPr>
        <w:t>a ponencia re</w:t>
      </w:r>
      <w:r w:rsidRPr="001F7C4E">
        <w:rPr>
          <w:rFonts w:ascii="Times New Roman" w:hAnsi="Times New Roman" w:cs="Times New Roman"/>
        </w:rPr>
        <w:t xml:space="preserve">coge y sistematiza los aprendizajes derivados de tres asistencias técnicas desarrolladas entre 2023 y 2026 en universidades chilenas, orientadas al fortalecimiento de sus sistemas de acompañamiento a las trayectorias estudiantiles. Estas experiencias permitieron combinar distintas formas de aproximación al objeto de estudio: la revisión documental de políticas, modelos, programas y dispositivos implementados en 22 universidades; la realización de 20 entrevistas semiestructuradas a profesionales y directivos responsables de las áreas de inclusión, permanencia y acompañamiento estudiantil; y el trabajo directo con equipos profesionales de </w:t>
      </w:r>
      <w:r>
        <w:rPr>
          <w:rFonts w:ascii="Times New Roman" w:hAnsi="Times New Roman" w:cs="Times New Roman"/>
        </w:rPr>
        <w:t>estas</w:t>
      </w:r>
      <w:r w:rsidRPr="001F7C4E">
        <w:rPr>
          <w:rFonts w:ascii="Times New Roman" w:hAnsi="Times New Roman" w:cs="Times New Roman"/>
        </w:rPr>
        <w:t xml:space="preserve"> universidades en procesos de diagnóstico, evaluación y mejora de sus estrategias institucionales. </w:t>
      </w:r>
    </w:p>
    <w:p w14:paraId="119E27E3" w14:textId="07F9B441" w:rsidR="001F7C4E" w:rsidRDefault="001F7C4E" w:rsidP="001F7C4E">
      <w:pPr>
        <w:spacing w:line="240" w:lineRule="auto"/>
        <w:jc w:val="both"/>
        <w:rPr>
          <w:rFonts w:ascii="Times New Roman" w:hAnsi="Times New Roman" w:cs="Times New Roman"/>
        </w:rPr>
      </w:pPr>
      <w:r w:rsidRPr="001F7C4E">
        <w:rPr>
          <w:rFonts w:ascii="Times New Roman" w:hAnsi="Times New Roman" w:cs="Times New Roman"/>
        </w:rPr>
        <w:t xml:space="preserve">La identificación y organización de los factores de riesgo y de los niveles de abordaje institucional corresponde a una elaboración analítica de la autora, construida mediante un proceso inductivo de sistematización, comparación y triangulación de la información obtenida a través de las revisiones documentales, las entrevistas y las reuniones de trabajo con los equipos universitarios. Esta construcción fue, a su vez, puesta en diálogo con bibliografía especializada sobre inclusión, permanencia, retención y acompañamiento de las trayectorias en educación superior (UNESCO IESALC, 2006; Rahmer et al., 2013; Ezcurra, 2015; Tinto, 2017; PAIEP-USACH, 2016; Moris &amp; Rahmer, 2014; Cifuentes et al., 2022; </w:t>
      </w:r>
      <w:proofErr w:type="spellStart"/>
      <w:r w:rsidR="00642C73" w:rsidRPr="00642C73">
        <w:rPr>
          <w:rFonts w:ascii="Times New Roman" w:hAnsi="Times New Roman" w:cs="Times New Roman"/>
        </w:rPr>
        <w:t>Engstrom</w:t>
      </w:r>
      <w:proofErr w:type="spellEnd"/>
      <w:r w:rsidR="00642C73" w:rsidRPr="00642C73">
        <w:rPr>
          <w:rFonts w:ascii="Times New Roman" w:hAnsi="Times New Roman" w:cs="Times New Roman"/>
        </w:rPr>
        <w:t xml:space="preserve"> &amp; Tinto</w:t>
      </w:r>
      <w:r w:rsidRPr="00642C73">
        <w:rPr>
          <w:rFonts w:ascii="Times New Roman" w:hAnsi="Times New Roman" w:cs="Times New Roman"/>
        </w:rPr>
        <w:t>, 2008;</w:t>
      </w:r>
      <w:r w:rsidRPr="001F7C4E">
        <w:rPr>
          <w:rFonts w:ascii="Times New Roman" w:hAnsi="Times New Roman" w:cs="Times New Roman"/>
        </w:rPr>
        <w:t xml:space="preserve"> </w:t>
      </w:r>
      <w:proofErr w:type="spellStart"/>
      <w:r w:rsidRPr="001F7C4E">
        <w:rPr>
          <w:rFonts w:ascii="Times New Roman" w:hAnsi="Times New Roman" w:cs="Times New Roman"/>
        </w:rPr>
        <w:t>Maccagno</w:t>
      </w:r>
      <w:proofErr w:type="spellEnd"/>
      <w:r w:rsidRPr="001F7C4E">
        <w:rPr>
          <w:rFonts w:ascii="Times New Roman" w:hAnsi="Times New Roman" w:cs="Times New Roman"/>
        </w:rPr>
        <w:t xml:space="preserve"> et al., 2017; Silva &amp; Rodríguez, 2012; Casanova, 2015, entre otros). En este sentido, las categorías propuestas no reproducen un único modelo institucional ni provienen exclusivamente de la literatura, sino que constituyen una síntesis interpretativa elaborada a partir de la convergencia entre evidencia empírica, experiencia de trabajo con los equipos y antecedentes conceptuales.</w:t>
      </w:r>
    </w:p>
    <w:p w14:paraId="293A43F7" w14:textId="47448B75" w:rsidR="00EA3CF6" w:rsidRDefault="00EA3CF6" w:rsidP="00EA3CF6">
      <w:pPr>
        <w:spacing w:line="240" w:lineRule="auto"/>
        <w:rPr>
          <w:rFonts w:ascii="Times New Roman" w:hAnsi="Times New Roman" w:cs="Times New Roman"/>
          <w:b/>
          <w:bCs/>
        </w:rPr>
      </w:pPr>
      <w:r w:rsidRPr="00EA3CF6">
        <w:rPr>
          <w:rFonts w:ascii="Times New Roman" w:hAnsi="Times New Roman" w:cs="Times New Roman"/>
          <w:b/>
          <w:bCs/>
        </w:rPr>
        <w:t>Factores de riesgo y niveles de abordaje</w:t>
      </w:r>
    </w:p>
    <w:p w14:paraId="075849C2" w14:textId="763433EA" w:rsidR="00785FCB" w:rsidRPr="00785FCB" w:rsidRDefault="00785FCB" w:rsidP="00785FCB">
      <w:pPr>
        <w:spacing w:line="240" w:lineRule="auto"/>
        <w:jc w:val="both"/>
        <w:rPr>
          <w:rFonts w:ascii="Times New Roman" w:hAnsi="Times New Roman" w:cs="Times New Roman"/>
        </w:rPr>
      </w:pPr>
      <w:r w:rsidRPr="00785FCB">
        <w:rPr>
          <w:rFonts w:ascii="Times New Roman" w:hAnsi="Times New Roman" w:cs="Times New Roman"/>
        </w:rPr>
        <w:t>La igualdad de oportunidades para ingresar a la educación superior ofrece información limitada respecto de las posibilidades reales que tienen las y los estudiantes de obtener resultados equivalentes durante su paso por ella (</w:t>
      </w:r>
      <w:proofErr w:type="spellStart"/>
      <w:r w:rsidRPr="00785FCB">
        <w:rPr>
          <w:rFonts w:ascii="Times New Roman" w:hAnsi="Times New Roman" w:cs="Times New Roman"/>
        </w:rPr>
        <w:t>Chiroleu</w:t>
      </w:r>
      <w:proofErr w:type="spellEnd"/>
      <w:r w:rsidRPr="00785FCB">
        <w:rPr>
          <w:rFonts w:ascii="Times New Roman" w:hAnsi="Times New Roman" w:cs="Times New Roman"/>
        </w:rPr>
        <w:t>, 2018). La democratización del acceso constituye, por tanto, una condición necesaria, pero no suficiente, para asegurar la inclusión educativa. Una vez producido el ingreso, las instituciones deben generar condiciones que permitan sostener la permanencia, favorecer la progresión académica, posibilitar la graduación</w:t>
      </w:r>
      <w:r>
        <w:rPr>
          <w:rFonts w:ascii="Times New Roman" w:hAnsi="Times New Roman" w:cs="Times New Roman"/>
        </w:rPr>
        <w:t xml:space="preserve"> (</w:t>
      </w:r>
      <w:r w:rsidRPr="00785FCB">
        <w:rPr>
          <w:rFonts w:ascii="Times New Roman" w:hAnsi="Times New Roman" w:cs="Times New Roman"/>
        </w:rPr>
        <w:t xml:space="preserve">idealmente </w:t>
      </w:r>
      <w:proofErr w:type="gramStart"/>
      <w:r>
        <w:rPr>
          <w:rFonts w:ascii="Times New Roman" w:hAnsi="Times New Roman" w:cs="Times New Roman"/>
        </w:rPr>
        <w:t xml:space="preserve">oportuna) </w:t>
      </w:r>
      <w:r w:rsidRPr="00785FCB">
        <w:rPr>
          <w:rFonts w:ascii="Times New Roman" w:hAnsi="Times New Roman" w:cs="Times New Roman"/>
        </w:rPr>
        <w:t xml:space="preserve"> y</w:t>
      </w:r>
      <w:proofErr w:type="gramEnd"/>
      <w:r w:rsidRPr="00785FCB">
        <w:rPr>
          <w:rFonts w:ascii="Times New Roman" w:hAnsi="Times New Roman" w:cs="Times New Roman"/>
        </w:rPr>
        <w:t xml:space="preserve"> facilitar la transición hacia el mundo laboral.</w:t>
      </w:r>
    </w:p>
    <w:p w14:paraId="1603221E" w14:textId="77777777" w:rsidR="00785FCB" w:rsidRPr="00785FCB" w:rsidRDefault="00785FCB" w:rsidP="00785FCB">
      <w:pPr>
        <w:spacing w:line="240" w:lineRule="auto"/>
        <w:jc w:val="both"/>
        <w:rPr>
          <w:rFonts w:ascii="Times New Roman" w:hAnsi="Times New Roman" w:cs="Times New Roman"/>
        </w:rPr>
      </w:pPr>
      <w:r w:rsidRPr="00785FCB">
        <w:rPr>
          <w:rFonts w:ascii="Times New Roman" w:hAnsi="Times New Roman" w:cs="Times New Roman"/>
        </w:rPr>
        <w:lastRenderedPageBreak/>
        <w:t>Este desplazamiento desde el acceso hacia la trayectoria exige comprender que la permanencia no depende exclusivamente de la motivación, el esfuerzo o las capacidades individuales. Las trayectorias académicas se construyen a partir de la interacción entre las condiciones personales y sociales del estudiantado, las prácticas pedagógicas, la organización curricular, las capacidades institucionales y el marco de políticas públicas en el que se desenvuelven las instituciones. Por ello, los factores de riesgo no deben interpretarse como atributos permanentes de determinados estudiantes ni como causas lineales de la deserción. Se trata, más bien, de condiciones que aumentan la probabilidad de experimentar dificultades académicas y que pueden acumularse, reforzarse mutuamente o ser contrarrestadas mediante apoyos pertinentes y oportunos.</w:t>
      </w:r>
    </w:p>
    <w:p w14:paraId="7544A5CF" w14:textId="77777777" w:rsidR="00785FCB" w:rsidRPr="00785FCB" w:rsidRDefault="00785FCB" w:rsidP="00785FCB">
      <w:pPr>
        <w:spacing w:line="240" w:lineRule="auto"/>
        <w:jc w:val="both"/>
        <w:rPr>
          <w:rFonts w:ascii="Times New Roman" w:hAnsi="Times New Roman" w:cs="Times New Roman"/>
        </w:rPr>
      </w:pPr>
      <w:r w:rsidRPr="00785FCB">
        <w:rPr>
          <w:rFonts w:ascii="Times New Roman" w:hAnsi="Times New Roman" w:cs="Times New Roman"/>
        </w:rPr>
        <w:t>Cuando estas condiciones no son identificadas y abordadas, pueden traducirse en rezago académico, prolongación de los tiempos de estudio, interrupciones temporales, cambio de carrera o de institución, deserción institucional y, en último término, abandono definitivo de la educación superior. Su análisis requiere, en consecuencia, una perspectiva multidimensional y relacional, capaz de reconocer que una misma dificultad puede tener orígenes diversos y demandar intervenciones en más de un nivel.</w:t>
      </w:r>
    </w:p>
    <w:p w14:paraId="5EF8FA4E" w14:textId="032F3621" w:rsidR="00785FCB" w:rsidRPr="00785FCB" w:rsidRDefault="00785FCB" w:rsidP="00785FCB">
      <w:pPr>
        <w:spacing w:line="240" w:lineRule="auto"/>
        <w:jc w:val="both"/>
        <w:rPr>
          <w:rFonts w:ascii="Times New Roman" w:hAnsi="Times New Roman" w:cs="Times New Roman"/>
        </w:rPr>
      </w:pPr>
      <w:r w:rsidRPr="00785FCB">
        <w:rPr>
          <w:rFonts w:ascii="Times New Roman" w:hAnsi="Times New Roman" w:cs="Times New Roman"/>
        </w:rPr>
        <w:t xml:space="preserve">Para efectos analíticos, los factores de riesgo se organizan en cinco planos: </w:t>
      </w:r>
      <w:r w:rsidR="00281681">
        <w:rPr>
          <w:rFonts w:ascii="Times New Roman" w:hAnsi="Times New Roman" w:cs="Times New Roman"/>
        </w:rPr>
        <w:t xml:space="preserve">a) </w:t>
      </w:r>
      <w:r w:rsidRPr="00785FCB">
        <w:rPr>
          <w:rFonts w:ascii="Times New Roman" w:hAnsi="Times New Roman" w:cs="Times New Roman"/>
        </w:rPr>
        <w:t>psicosocial y psicoeducativo</w:t>
      </w:r>
      <w:r w:rsidR="00281681">
        <w:rPr>
          <w:rFonts w:ascii="Times New Roman" w:hAnsi="Times New Roman" w:cs="Times New Roman"/>
        </w:rPr>
        <w:t xml:space="preserve">; b) </w:t>
      </w:r>
      <w:r w:rsidRPr="00785FCB">
        <w:rPr>
          <w:rFonts w:ascii="Times New Roman" w:hAnsi="Times New Roman" w:cs="Times New Roman"/>
        </w:rPr>
        <w:t>pedagógico</w:t>
      </w:r>
      <w:r w:rsidR="00281681">
        <w:rPr>
          <w:rFonts w:ascii="Times New Roman" w:hAnsi="Times New Roman" w:cs="Times New Roman"/>
        </w:rPr>
        <w:t>; c)</w:t>
      </w:r>
      <w:r w:rsidRPr="00785FCB">
        <w:rPr>
          <w:rFonts w:ascii="Times New Roman" w:hAnsi="Times New Roman" w:cs="Times New Roman"/>
        </w:rPr>
        <w:t xml:space="preserve"> curricular</w:t>
      </w:r>
      <w:r w:rsidR="00281681">
        <w:rPr>
          <w:rFonts w:ascii="Times New Roman" w:hAnsi="Times New Roman" w:cs="Times New Roman"/>
        </w:rPr>
        <w:t>; d)</w:t>
      </w:r>
      <w:r w:rsidRPr="00785FCB">
        <w:rPr>
          <w:rFonts w:ascii="Times New Roman" w:hAnsi="Times New Roman" w:cs="Times New Roman"/>
        </w:rPr>
        <w:t xml:space="preserve"> institucional</w:t>
      </w:r>
      <w:r w:rsidR="00281681">
        <w:rPr>
          <w:rFonts w:ascii="Times New Roman" w:hAnsi="Times New Roman" w:cs="Times New Roman"/>
        </w:rPr>
        <w:t>; e) Política</w:t>
      </w:r>
      <w:r w:rsidRPr="00785FCB">
        <w:rPr>
          <w:rFonts w:ascii="Times New Roman" w:hAnsi="Times New Roman" w:cs="Times New Roman"/>
        </w:rPr>
        <w:t xml:space="preserve"> pública. A cada uno se asocia una imagen que permite visibilizar el nivel en el que se producen o intensifican las dificultades: </w:t>
      </w:r>
      <w:r w:rsidRPr="00281681">
        <w:rPr>
          <w:rFonts w:ascii="Times New Roman" w:hAnsi="Times New Roman" w:cs="Times New Roman"/>
          <w:i/>
          <w:iCs/>
        </w:rPr>
        <w:t>estudiante en desventaja</w:t>
      </w:r>
      <w:r w:rsidR="00281681" w:rsidRPr="00281681">
        <w:rPr>
          <w:rFonts w:ascii="Times New Roman" w:hAnsi="Times New Roman" w:cs="Times New Roman"/>
          <w:i/>
          <w:iCs/>
        </w:rPr>
        <w:t xml:space="preserve">; </w:t>
      </w:r>
      <w:r w:rsidRPr="00281681">
        <w:rPr>
          <w:rFonts w:ascii="Times New Roman" w:hAnsi="Times New Roman" w:cs="Times New Roman"/>
          <w:i/>
          <w:iCs/>
        </w:rPr>
        <w:t>aula expulsora</w:t>
      </w:r>
      <w:r w:rsidR="00281681" w:rsidRPr="00281681">
        <w:rPr>
          <w:rFonts w:ascii="Times New Roman" w:hAnsi="Times New Roman" w:cs="Times New Roman"/>
          <w:i/>
          <w:iCs/>
        </w:rPr>
        <w:t xml:space="preserve">; </w:t>
      </w:r>
      <w:r w:rsidRPr="00281681">
        <w:rPr>
          <w:rFonts w:ascii="Times New Roman" w:hAnsi="Times New Roman" w:cs="Times New Roman"/>
          <w:i/>
          <w:iCs/>
        </w:rPr>
        <w:t>programa de obstáculos</w:t>
      </w:r>
      <w:r w:rsidR="00281681" w:rsidRPr="00281681">
        <w:rPr>
          <w:rFonts w:ascii="Times New Roman" w:hAnsi="Times New Roman" w:cs="Times New Roman"/>
          <w:i/>
          <w:iCs/>
        </w:rPr>
        <w:t xml:space="preserve">; </w:t>
      </w:r>
      <w:r w:rsidRPr="00281681">
        <w:rPr>
          <w:rFonts w:ascii="Times New Roman" w:hAnsi="Times New Roman" w:cs="Times New Roman"/>
          <w:i/>
          <w:iCs/>
        </w:rPr>
        <w:t>universidad indiferente</w:t>
      </w:r>
      <w:r w:rsidR="00281681" w:rsidRPr="00281681">
        <w:rPr>
          <w:rFonts w:ascii="Times New Roman" w:hAnsi="Times New Roman" w:cs="Times New Roman"/>
          <w:i/>
          <w:iCs/>
        </w:rPr>
        <w:t xml:space="preserve">; </w:t>
      </w:r>
      <w:r w:rsidRPr="00281681">
        <w:rPr>
          <w:rFonts w:ascii="Times New Roman" w:hAnsi="Times New Roman" w:cs="Times New Roman"/>
          <w:i/>
          <w:iCs/>
        </w:rPr>
        <w:t>Estado ausente</w:t>
      </w:r>
      <w:r w:rsidRPr="00785FCB">
        <w:rPr>
          <w:rFonts w:ascii="Times New Roman" w:hAnsi="Times New Roman" w:cs="Times New Roman"/>
        </w:rPr>
        <w:t xml:space="preserve">. </w:t>
      </w:r>
    </w:p>
    <w:p w14:paraId="22C90A71" w14:textId="16E3D359" w:rsidR="00785FCB" w:rsidRPr="00FD67E8" w:rsidRDefault="00785FCB" w:rsidP="00785FCB">
      <w:pPr>
        <w:spacing w:line="240" w:lineRule="auto"/>
        <w:rPr>
          <w:rFonts w:ascii="Times New Roman" w:hAnsi="Times New Roman" w:cs="Times New Roman"/>
          <w:b/>
          <w:bCs/>
          <w:i/>
          <w:iCs/>
        </w:rPr>
      </w:pPr>
      <w:r w:rsidRPr="00FD67E8">
        <w:rPr>
          <w:rFonts w:ascii="Times New Roman" w:hAnsi="Times New Roman" w:cs="Times New Roman"/>
          <w:b/>
          <w:bCs/>
          <w:i/>
          <w:iCs/>
        </w:rPr>
        <w:t>Dimensión psicosocial y psicoeducativa: el estudiante en desventaja</w:t>
      </w:r>
    </w:p>
    <w:p w14:paraId="6401D9B8" w14:textId="0D71C0B0" w:rsidR="00785FCB" w:rsidRPr="00785FCB" w:rsidRDefault="00785FCB" w:rsidP="00281681">
      <w:pPr>
        <w:spacing w:line="240" w:lineRule="auto"/>
        <w:jc w:val="both"/>
        <w:rPr>
          <w:rFonts w:ascii="Times New Roman" w:hAnsi="Times New Roman" w:cs="Times New Roman"/>
          <w:b/>
          <w:bCs/>
        </w:rPr>
      </w:pPr>
      <w:r w:rsidRPr="00281681">
        <w:rPr>
          <w:rFonts w:ascii="Times New Roman" w:hAnsi="Times New Roman" w:cs="Times New Roman"/>
        </w:rPr>
        <w:t>La noción de “estudiante en desventaja” no supone atribuirle déficits personales ni responsabilizarlo por las dificultades que enfrenta. Alude a la acumulación de condiciones sociales, materiales, familiares, emocionales y educativas que pueden limitar su participación plena en la experiencia universitaria. Estas condiciones adquieren relevancia cuando la institución no dispone de mecanismos para reconocerlas, anticiparlas o responder adecuadamente a ellas.</w:t>
      </w:r>
      <w:r w:rsidR="00281681" w:rsidRPr="00281681">
        <w:rPr>
          <w:rFonts w:ascii="Times New Roman" w:hAnsi="Times New Roman" w:cs="Times New Roman"/>
        </w:rPr>
        <w:t xml:space="preserve"> </w:t>
      </w:r>
      <w:r w:rsidRPr="00281681">
        <w:rPr>
          <w:rFonts w:ascii="Times New Roman" w:hAnsi="Times New Roman" w:cs="Times New Roman"/>
        </w:rPr>
        <w:t>Entre los principales factores psicosociales y psicoeducativos asociados a trayectorias académicas problemáticas se encuentran:</w:t>
      </w:r>
    </w:p>
    <w:p w14:paraId="360A5A8F" w14:textId="5FF9E386"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Trayectorias escolares previas caracterizadas por brechas formativas o una preparación insuficiente para enfrentar las exigencias académicas de la educación superior.</w:t>
      </w:r>
    </w:p>
    <w:p w14:paraId="4640FD4F" w14:textId="109A7661"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Exposición a condiciones materiales severas, tales como pobreza extrema, inseguridad alimentaria o falta de acceso estable a alojamiento, agua, electricidad, higiene y conectividad.</w:t>
      </w:r>
    </w:p>
    <w:p w14:paraId="4642A5FA" w14:textId="10BC33E5"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Dedicación parcial al estudio debido a la necesidad de desarrollar actividades laborales remuneradas.</w:t>
      </w:r>
    </w:p>
    <w:p w14:paraId="05E63F57" w14:textId="1F1F84B3"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Dedicación parcial al proceso formativo debido a responsabilidades de cuidado, especialmente maternidad, paternidad o cuidado de personas dependientes.</w:t>
      </w:r>
    </w:p>
    <w:p w14:paraId="6D18A613" w14:textId="17329CD3"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Situaciones sociales, familiares o personales de emergencia que generan altos niveles de estrés y afectan la continuidad de los estudios.</w:t>
      </w:r>
    </w:p>
    <w:p w14:paraId="65A80CF4" w14:textId="0BB6FD4F"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lastRenderedPageBreak/>
        <w:t>Enfermedades o condiciones de salud física y mental que dificultan la participación académica.</w:t>
      </w:r>
    </w:p>
    <w:p w14:paraId="7B05D5C3" w14:textId="06206B16"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Situaciones de discapacidad física, sensorial, psíquica o cognitiva que requieren apoyos y ajustes específicos.</w:t>
      </w:r>
    </w:p>
    <w:p w14:paraId="29E693FA" w14:textId="24B8E4FD"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Condiciones de neurodivergencia, entre ellas trastorno del espectro autista, dislexia, dispraxia, discalculia y trastorno por déficit de atención e hiperactividad.</w:t>
      </w:r>
    </w:p>
    <w:p w14:paraId="0DC7944C" w14:textId="64358803"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Menor familiaridad con los códigos, expectativas y prácticas propias de la vida universitaria, asociada a experiencias familiares o comunitarias con escasa vinculación previa con la educación superior.</w:t>
      </w:r>
    </w:p>
    <w:p w14:paraId="3C90DD1C" w14:textId="74AFCD94"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Hábitos y estrategias de estudio insuficientemente desarrollados.</w:t>
      </w:r>
    </w:p>
    <w:p w14:paraId="1C7F492D" w14:textId="176E9596"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 xml:space="preserve">Dificultades en el desarrollo de competencias vinculadas con la autonomía, la autorregulación, la planificación y </w:t>
      </w:r>
      <w:proofErr w:type="gramStart"/>
      <w:r w:rsidRPr="00281681">
        <w:rPr>
          <w:rFonts w:ascii="Times New Roman" w:hAnsi="Times New Roman" w:cs="Times New Roman"/>
        </w:rPr>
        <w:t>el automonitoreo</w:t>
      </w:r>
      <w:proofErr w:type="gramEnd"/>
      <w:r w:rsidRPr="00281681">
        <w:rPr>
          <w:rFonts w:ascii="Times New Roman" w:hAnsi="Times New Roman" w:cs="Times New Roman"/>
        </w:rPr>
        <w:t xml:space="preserve"> del aprendizaje.</w:t>
      </w:r>
    </w:p>
    <w:p w14:paraId="5A26FA32" w14:textId="086D67D9"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Incomodidad con la disciplina elegida, dudas vocacionales o pérdida de sentido respecto del proyecto formativo.</w:t>
      </w:r>
    </w:p>
    <w:p w14:paraId="0B73BCA0" w14:textId="6D4DF94A" w:rsidR="00785FCB" w:rsidRPr="00281681" w:rsidRDefault="00785FCB" w:rsidP="00281681">
      <w:pPr>
        <w:pStyle w:val="Prrafodelista"/>
        <w:numPr>
          <w:ilvl w:val="0"/>
          <w:numId w:val="7"/>
        </w:numPr>
        <w:spacing w:line="240" w:lineRule="auto"/>
        <w:jc w:val="both"/>
        <w:rPr>
          <w:rFonts w:ascii="Times New Roman" w:hAnsi="Times New Roman" w:cs="Times New Roman"/>
        </w:rPr>
      </w:pPr>
      <w:r w:rsidRPr="00281681">
        <w:rPr>
          <w:rFonts w:ascii="Times New Roman" w:hAnsi="Times New Roman" w:cs="Times New Roman"/>
        </w:rPr>
        <w:t>Relaciones familiares problemáticas o ausencia de apoyo al proceso educativo. Falta de vínculos significativos con pares, aislamiento social o participación en relaciones interpersonales conflictivas.</w:t>
      </w:r>
    </w:p>
    <w:p w14:paraId="1D989191" w14:textId="77777777"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Estos factores no afectan de la misma forma a todas las personas ni conducen necesariamente al abandono. Su impacto depende de la intensidad con que se presentan, de su acumulación a lo largo del tiempo y de la capacidad institucional para ofrecer respuestas tempranas, integrales y no estigmatizantes.</w:t>
      </w:r>
    </w:p>
    <w:p w14:paraId="247159CE" w14:textId="2B7A99C0" w:rsidR="00785FCB" w:rsidRPr="00FD67E8" w:rsidRDefault="00785FCB" w:rsidP="00785FCB">
      <w:pPr>
        <w:spacing w:line="240" w:lineRule="auto"/>
        <w:rPr>
          <w:rFonts w:ascii="Times New Roman" w:hAnsi="Times New Roman" w:cs="Times New Roman"/>
          <w:b/>
          <w:bCs/>
          <w:i/>
          <w:iCs/>
        </w:rPr>
      </w:pPr>
      <w:r w:rsidRPr="00FD67E8">
        <w:rPr>
          <w:rFonts w:ascii="Times New Roman" w:hAnsi="Times New Roman" w:cs="Times New Roman"/>
          <w:b/>
          <w:bCs/>
          <w:i/>
          <w:iCs/>
        </w:rPr>
        <w:t>Dimensión pedagógica: el aula expulsora</w:t>
      </w:r>
    </w:p>
    <w:p w14:paraId="595F4F3E" w14:textId="196934F7"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 xml:space="preserve">La expresión “aula expulsora” refiere a prácticas, relaciones e interacciones pedagógicas que, sin excluir formalmente al estudiantado, dificultan su aprendizaje, debilitan su sentido de pertenencia y reducen sus posibilidades de continuar exitosamente la trayectoria formativa. La expulsión opera, en este caso, mediante experiencias reiteradas de incomprensión, fracaso, </w:t>
      </w:r>
      <w:proofErr w:type="spellStart"/>
      <w:r w:rsidRPr="00281681">
        <w:rPr>
          <w:rFonts w:ascii="Times New Roman" w:hAnsi="Times New Roman" w:cs="Times New Roman"/>
        </w:rPr>
        <w:t>invisibilización</w:t>
      </w:r>
      <w:proofErr w:type="spellEnd"/>
      <w:r w:rsidRPr="00281681">
        <w:rPr>
          <w:rFonts w:ascii="Times New Roman" w:hAnsi="Times New Roman" w:cs="Times New Roman"/>
        </w:rPr>
        <w:t xml:space="preserve"> o desmotivación.</w:t>
      </w:r>
    </w:p>
    <w:p w14:paraId="1EAE415C" w14:textId="0343CBB8"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El aula puede constituirse en un espacio expulsor cuando las prácticas docentes no reconocen la diversidad del estudiantado ni generan condiciones suficientes para su participación y aprendizaje. Estas experiencias pueden afectar la identificación con la institución, la comodidad disciplinaria, la confianza académica y la seguridad respecto de la elección vocacional.</w:t>
      </w:r>
      <w:r w:rsidR="00281681" w:rsidRPr="00281681">
        <w:rPr>
          <w:rFonts w:ascii="Times New Roman" w:hAnsi="Times New Roman" w:cs="Times New Roman"/>
        </w:rPr>
        <w:t xml:space="preserve"> </w:t>
      </w:r>
      <w:r w:rsidRPr="00281681">
        <w:rPr>
          <w:rFonts w:ascii="Times New Roman" w:hAnsi="Times New Roman" w:cs="Times New Roman"/>
        </w:rPr>
        <w:t>Entre las principales características de estas aulas se encuentran:</w:t>
      </w:r>
    </w:p>
    <w:p w14:paraId="1DD3806D" w14:textId="3647532C"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Representaciones docentes basadas en bajas expectativas, enfoques deficitarios o una tendencia a subestimar las capacidades del estudiantado.</w:t>
      </w:r>
    </w:p>
    <w:p w14:paraId="55F2A851" w14:textId="694E9E71"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Evaluaciones de desempeño esporádicas, centradas exclusivamente en la calificación y con escasa o nula retroalimentación formativa.</w:t>
      </w:r>
    </w:p>
    <w:p w14:paraId="593019A5" w14:textId="082155A2"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Cursos excesivamente numerosos, que dificultan el conocimiento de las trayectorias individuales y la interacción pedagógica.</w:t>
      </w:r>
    </w:p>
    <w:p w14:paraId="2554B033" w14:textId="01DECFA5"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Baja interacción entre estudiantes y docentes, así como entre las y los propios estudiantes.</w:t>
      </w:r>
    </w:p>
    <w:p w14:paraId="3CF86586" w14:textId="5BD08B5C"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lastRenderedPageBreak/>
        <w:t>Experiencias de aprendizaje con bajo desafío intelectual, escasas oportunidades de análisis, aplicación, elaboración de juicios, construcción de sentido o vinculación con situaciones prácticas.</w:t>
      </w:r>
    </w:p>
    <w:p w14:paraId="205BAD15" w14:textId="6A7F3EE2"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Predominio de metodologías transmisivas, pasivas e individuales por sobre estrategias de participación activa, colaboración y construcción colectiva del conocimiento.</w:t>
      </w:r>
    </w:p>
    <w:p w14:paraId="780BCB94" w14:textId="2E9C5B9D"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Ausencia de adaptaciones pedagógicas, ajustes razonables o estrategias de diseño universal para el aprendizaje dirigidas a estudiantes en situación de discapacidad o neurodivergencia.</w:t>
      </w:r>
    </w:p>
    <w:p w14:paraId="778DDB82" w14:textId="3F736503" w:rsidR="00785FCB" w:rsidRPr="00281681" w:rsidRDefault="00785FCB" w:rsidP="00281681">
      <w:pPr>
        <w:pStyle w:val="Prrafodelista"/>
        <w:numPr>
          <w:ilvl w:val="0"/>
          <w:numId w:val="8"/>
        </w:numPr>
        <w:spacing w:line="240" w:lineRule="auto"/>
        <w:jc w:val="both"/>
        <w:rPr>
          <w:rFonts w:ascii="Times New Roman" w:hAnsi="Times New Roman" w:cs="Times New Roman"/>
        </w:rPr>
      </w:pPr>
      <w:r w:rsidRPr="00281681">
        <w:rPr>
          <w:rFonts w:ascii="Times New Roman" w:hAnsi="Times New Roman" w:cs="Times New Roman"/>
        </w:rPr>
        <w:t>Uso de la evaluación como mecanismo de selección o filtro, antes que como una herramienta para orientar el aprendizaje y apoyar la progresión.</w:t>
      </w:r>
    </w:p>
    <w:p w14:paraId="432E12E2" w14:textId="77777777"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Desde esta perspectiva, las dificultades de aprendizaje no pueden ser interpretadas únicamente como una insuficiencia de preparación individual. También pueden constituir una expresión de prácticas pedagógicas incapaces de reconocer perfiles de ingreso diversos y de generar oportunidades efectivas para aprender.</w:t>
      </w:r>
    </w:p>
    <w:p w14:paraId="1D05927D" w14:textId="1C8BE5C2" w:rsidR="00785FCB" w:rsidRPr="00FD67E8" w:rsidRDefault="00785FCB" w:rsidP="00785FCB">
      <w:pPr>
        <w:spacing w:line="240" w:lineRule="auto"/>
        <w:rPr>
          <w:rFonts w:ascii="Times New Roman" w:hAnsi="Times New Roman" w:cs="Times New Roman"/>
          <w:b/>
          <w:bCs/>
          <w:i/>
          <w:iCs/>
        </w:rPr>
      </w:pPr>
      <w:r w:rsidRPr="00FD67E8">
        <w:rPr>
          <w:rFonts w:ascii="Times New Roman" w:hAnsi="Times New Roman" w:cs="Times New Roman"/>
          <w:b/>
          <w:bCs/>
          <w:i/>
          <w:iCs/>
        </w:rPr>
        <w:t>Dimensión curricular: el programa de obstáculos</w:t>
      </w:r>
    </w:p>
    <w:p w14:paraId="779B25A8" w14:textId="77777777"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La noción de “programa de obstáculos” designa una estructura curricular que contiene barreras formales para el avance académico. Estas barreras pueden producir cuellos de botella, prolongar innecesariamente las trayectorias, dificultar la recuperación ante una reprobación o impedir que las y los estudiantes compatibilicen sus estudios con otras dimensiones de su vida.</w:t>
      </w:r>
    </w:p>
    <w:p w14:paraId="3CF41AF8" w14:textId="382DA205" w:rsidR="00785FCB" w:rsidRPr="00281681" w:rsidRDefault="00785FCB" w:rsidP="00281681">
      <w:pPr>
        <w:spacing w:line="240" w:lineRule="auto"/>
        <w:jc w:val="both"/>
        <w:rPr>
          <w:rFonts w:ascii="Times New Roman" w:hAnsi="Times New Roman" w:cs="Times New Roman"/>
        </w:rPr>
      </w:pPr>
      <w:r w:rsidRPr="00281681">
        <w:rPr>
          <w:rFonts w:ascii="Times New Roman" w:hAnsi="Times New Roman" w:cs="Times New Roman"/>
        </w:rPr>
        <w:t>En estos casos, el rezago no se explica solamente por el desempeño académico individual, sino también por la manera en que se organizan los planes de estudio, los prerrequisitos, las cargas de trabajo y los procesos de finalización de las carreras.</w:t>
      </w:r>
      <w:r w:rsidR="00281681">
        <w:rPr>
          <w:rFonts w:ascii="Times New Roman" w:hAnsi="Times New Roman" w:cs="Times New Roman"/>
        </w:rPr>
        <w:t xml:space="preserve"> </w:t>
      </w:r>
      <w:r w:rsidRPr="00281681">
        <w:rPr>
          <w:rFonts w:ascii="Times New Roman" w:hAnsi="Times New Roman" w:cs="Times New Roman"/>
        </w:rPr>
        <w:t>Entre sus principales características se encuentran:</w:t>
      </w:r>
    </w:p>
    <w:p w14:paraId="5E1EAC3B" w14:textId="49AD6438"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Currículos rígidos, con escasas posibilidades de ajuste y cadenas extensas de prerrequisitos que dificultan la recuperación de asignaturas reprobadas.</w:t>
      </w:r>
    </w:p>
    <w:p w14:paraId="59C24D0A" w14:textId="1BEAA059"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Cargas horarias presenciales o de trabajo autónomo que exceden las posibilidades reales de dedicación del estudiantado.</w:t>
      </w:r>
    </w:p>
    <w:p w14:paraId="0E127145" w14:textId="13162E4E"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Diseños curriculares desconectados del perfil efectivo de ingreso y de las competencias, saberes y necesidades formativas con que las y los estudiantes comienzan sus estudios.</w:t>
      </w:r>
    </w:p>
    <w:p w14:paraId="74902879" w14:textId="54FB341C"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Baja o nula articulación entre los contenidos de la educación secundaria y las exigencias iniciales de las carreras.</w:t>
      </w:r>
    </w:p>
    <w:p w14:paraId="596DA3F0" w14:textId="440B04D7"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Concentración de asignaturas críticas o de alta reprobación en determinados momentos de la trayectoria, sin mecanismos suficientes de apoyo o rediseño.</w:t>
      </w:r>
    </w:p>
    <w:p w14:paraId="5E37234D" w14:textId="7EC10D16"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Procesos de finalización de carrera</w:t>
      </w:r>
      <w:r w:rsidR="00281681" w:rsidRPr="00281681">
        <w:rPr>
          <w:rFonts w:ascii="Times New Roman" w:hAnsi="Times New Roman" w:cs="Times New Roman"/>
        </w:rPr>
        <w:t xml:space="preserve">, </w:t>
      </w:r>
      <w:r w:rsidRPr="00281681">
        <w:rPr>
          <w:rFonts w:ascii="Times New Roman" w:hAnsi="Times New Roman" w:cs="Times New Roman"/>
        </w:rPr>
        <w:t xml:space="preserve">como tesis, memorias, seminarios o trabajos de </w:t>
      </w:r>
      <w:proofErr w:type="gramStart"/>
      <w:r w:rsidRPr="00281681">
        <w:rPr>
          <w:rFonts w:ascii="Times New Roman" w:hAnsi="Times New Roman" w:cs="Times New Roman"/>
        </w:rPr>
        <w:t>titulación</w:t>
      </w:r>
      <w:r w:rsidR="00281681" w:rsidRPr="00281681">
        <w:rPr>
          <w:rFonts w:ascii="Times New Roman" w:hAnsi="Times New Roman" w:cs="Times New Roman"/>
        </w:rPr>
        <w:t xml:space="preserve">, </w:t>
      </w:r>
      <w:r w:rsidRPr="00281681">
        <w:rPr>
          <w:rFonts w:ascii="Times New Roman" w:hAnsi="Times New Roman" w:cs="Times New Roman"/>
        </w:rPr>
        <w:t xml:space="preserve"> que</w:t>
      </w:r>
      <w:proofErr w:type="gramEnd"/>
      <w:r w:rsidRPr="00281681">
        <w:rPr>
          <w:rFonts w:ascii="Times New Roman" w:hAnsi="Times New Roman" w:cs="Times New Roman"/>
        </w:rPr>
        <w:t xml:space="preserve"> no se encuentran adecuadamente integrados a cursos, cargas académicas o dispositivos curriculares.</w:t>
      </w:r>
    </w:p>
    <w:p w14:paraId="04521725" w14:textId="4F1FFA54" w:rsidR="00785FCB" w:rsidRPr="00281681" w:rsidRDefault="00785FCB" w:rsidP="00281681">
      <w:pPr>
        <w:pStyle w:val="Prrafodelista"/>
        <w:numPr>
          <w:ilvl w:val="0"/>
          <w:numId w:val="9"/>
        </w:numPr>
        <w:spacing w:line="240" w:lineRule="auto"/>
        <w:jc w:val="both"/>
        <w:rPr>
          <w:rFonts w:ascii="Times New Roman" w:hAnsi="Times New Roman" w:cs="Times New Roman"/>
        </w:rPr>
      </w:pPr>
      <w:r w:rsidRPr="00281681">
        <w:rPr>
          <w:rFonts w:ascii="Times New Roman" w:hAnsi="Times New Roman" w:cs="Times New Roman"/>
        </w:rPr>
        <w:t>Ausencia de mecanismos de flexibilidad y adaptabilidad curricular para estudiantes en situación de discapacidad, neurodivergencia, enfermedad, maternidad, paternidad o responsabilidades de cuidado.</w:t>
      </w:r>
    </w:p>
    <w:p w14:paraId="4DCCE58B" w14:textId="77777777" w:rsidR="00785FCB" w:rsidRPr="00734F5F" w:rsidRDefault="00785FCB" w:rsidP="00734F5F">
      <w:pPr>
        <w:spacing w:line="240" w:lineRule="auto"/>
        <w:jc w:val="both"/>
        <w:rPr>
          <w:rFonts w:ascii="Times New Roman" w:hAnsi="Times New Roman" w:cs="Times New Roman"/>
        </w:rPr>
      </w:pPr>
      <w:r w:rsidRPr="00734F5F">
        <w:rPr>
          <w:rFonts w:ascii="Times New Roman" w:hAnsi="Times New Roman" w:cs="Times New Roman"/>
        </w:rPr>
        <w:lastRenderedPageBreak/>
        <w:t>Un currículo puede convertirse así en un factor activo de exclusión cuando su diseño presupone trayectorias lineales, dedicación exclusiva y perfiles de ingreso homogéneos que no se corresponden con la diversidad real del estudiantado.</w:t>
      </w:r>
    </w:p>
    <w:p w14:paraId="2D5CA96E" w14:textId="323F35EF" w:rsidR="00785FCB" w:rsidRPr="00FD67E8" w:rsidRDefault="00785FCB" w:rsidP="00785FCB">
      <w:pPr>
        <w:spacing w:line="240" w:lineRule="auto"/>
        <w:rPr>
          <w:rFonts w:ascii="Times New Roman" w:hAnsi="Times New Roman" w:cs="Times New Roman"/>
          <w:b/>
          <w:bCs/>
          <w:i/>
          <w:iCs/>
        </w:rPr>
      </w:pPr>
      <w:r w:rsidRPr="00FD67E8">
        <w:rPr>
          <w:rFonts w:ascii="Times New Roman" w:hAnsi="Times New Roman" w:cs="Times New Roman"/>
          <w:b/>
          <w:bCs/>
          <w:i/>
          <w:iCs/>
        </w:rPr>
        <w:t>Dimensión institucional: la universidad indiferente</w:t>
      </w:r>
    </w:p>
    <w:p w14:paraId="44D52538" w14:textId="73549AE3" w:rsidR="00785FCB" w:rsidRPr="00785FCB" w:rsidRDefault="00785FCB" w:rsidP="00734F5F">
      <w:pPr>
        <w:spacing w:line="240" w:lineRule="auto"/>
        <w:jc w:val="both"/>
        <w:rPr>
          <w:rFonts w:ascii="Times New Roman" w:hAnsi="Times New Roman" w:cs="Times New Roman"/>
          <w:b/>
          <w:bCs/>
        </w:rPr>
      </w:pPr>
      <w:r w:rsidRPr="00734F5F">
        <w:rPr>
          <w:rFonts w:ascii="Times New Roman" w:hAnsi="Times New Roman" w:cs="Times New Roman"/>
        </w:rPr>
        <w:t>Una “universidad indiferente” es aquella que considera la permanencia y el éxito académico como una responsabilidad primordialmente individual, sin asumir plenamente su papel en la generación de condiciones favorables para el desarrollo de las trayectorias. La indiferencia institucional no implica necesariamente la inexistencia total de acciones, sino que también puede expresarse mediante respuestas fragmentadas, tardías, poco coordinadas o desconectadas de la docencia y del currículo.</w:t>
      </w:r>
      <w:r w:rsidR="00734F5F">
        <w:rPr>
          <w:rFonts w:ascii="Times New Roman" w:hAnsi="Times New Roman" w:cs="Times New Roman"/>
        </w:rPr>
        <w:t xml:space="preserve"> </w:t>
      </w:r>
      <w:r w:rsidRPr="00734F5F">
        <w:rPr>
          <w:rFonts w:ascii="Times New Roman" w:hAnsi="Times New Roman" w:cs="Times New Roman"/>
        </w:rPr>
        <w:t>Esta configuración se manifiesta cuando la institución:</w:t>
      </w:r>
    </w:p>
    <w:p w14:paraId="1AB61ABE" w14:textId="05D85CB1"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No dispone de sistemas articulados de seguimiento, monitoreo y apoyo individual vinculados tanto al bienestar psicosocial como al acompañamiento académico.</w:t>
      </w:r>
    </w:p>
    <w:p w14:paraId="572CA312" w14:textId="5868B74F"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Cuenta con programas de apoyo aislados, sin coordinación suficiente entre unidades académicas, servicios estudiantiles y autoridades institucionales.</w:t>
      </w:r>
    </w:p>
    <w:p w14:paraId="6678BE48" w14:textId="444D36B4"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Mantiene una infraestructura deficiente, expresada en salas de clases incómodas, falta de espacios adecuados para el estudio, bibliotecas insuficientes, ausencia de espacios para la cultura y el deporte, o campus sin condiciones de accesibilidad universal.</w:t>
      </w:r>
    </w:p>
    <w:p w14:paraId="4128BAB4" w14:textId="61386B89"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No genera canales efectivos y regulares de interacción entre estudiantes, docentes, equipos profesionales y autoridades.</w:t>
      </w:r>
    </w:p>
    <w:p w14:paraId="528F7078" w14:textId="4C823FEF"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No favorece formas legítimas de representación y participación estudiantil, como federaciones, centros de estudiantes u otros espacios colegiados.</w:t>
      </w:r>
    </w:p>
    <w:p w14:paraId="63DA86B4" w14:textId="3BDB9382"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No desarrolla estrategias orientadas a fortalecer el sentido de pertenencia, la identificación institucional y la integración a la vida universitaria.</w:t>
      </w:r>
    </w:p>
    <w:p w14:paraId="516EA2CC" w14:textId="71B6BA57"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Trata las dificultades de permanencia como situaciones excepcionales o individuales, en lugar de utilizarlas como información para revisar sus prácticas pedagógicas, curriculares y de gestión.</w:t>
      </w:r>
    </w:p>
    <w:p w14:paraId="1C684C2C" w14:textId="0A178CD3" w:rsidR="00785FCB" w:rsidRPr="00734F5F" w:rsidRDefault="00785FCB" w:rsidP="00734F5F">
      <w:pPr>
        <w:pStyle w:val="Prrafodelista"/>
        <w:numPr>
          <w:ilvl w:val="0"/>
          <w:numId w:val="10"/>
        </w:numPr>
        <w:spacing w:line="240" w:lineRule="auto"/>
        <w:jc w:val="both"/>
        <w:rPr>
          <w:rFonts w:ascii="Times New Roman" w:hAnsi="Times New Roman" w:cs="Times New Roman"/>
        </w:rPr>
      </w:pPr>
      <w:r w:rsidRPr="00734F5F">
        <w:rPr>
          <w:rFonts w:ascii="Times New Roman" w:hAnsi="Times New Roman" w:cs="Times New Roman"/>
        </w:rPr>
        <w:t>No asegura continuidad, cobertura suficiente ni evaluación sistemática de sus dispositivos de acompañamiento.</w:t>
      </w:r>
    </w:p>
    <w:p w14:paraId="4F793497" w14:textId="77777777" w:rsidR="00785FCB" w:rsidRPr="000D4CA6" w:rsidRDefault="00785FCB" w:rsidP="000D4CA6">
      <w:pPr>
        <w:spacing w:line="240" w:lineRule="auto"/>
        <w:jc w:val="both"/>
        <w:rPr>
          <w:rFonts w:ascii="Times New Roman" w:hAnsi="Times New Roman" w:cs="Times New Roman"/>
        </w:rPr>
      </w:pPr>
      <w:r w:rsidRPr="000D4CA6">
        <w:rPr>
          <w:rFonts w:ascii="Times New Roman" w:hAnsi="Times New Roman" w:cs="Times New Roman"/>
        </w:rPr>
        <w:t>Desde esta perspectiva, el acompañamiento no debiera quedar circunscrito a una unidad especializada. Requiere una responsabilidad institucional compartida que involucre a las autoridades, las unidades académicas, los equipos profesionales, el cuerpo docente y los propios estudiantes.</w:t>
      </w:r>
    </w:p>
    <w:p w14:paraId="77E3722C" w14:textId="77777777" w:rsidR="00785FCB" w:rsidRPr="00785FCB" w:rsidRDefault="00785FCB" w:rsidP="00785FCB">
      <w:pPr>
        <w:spacing w:line="240" w:lineRule="auto"/>
        <w:rPr>
          <w:rFonts w:ascii="Times New Roman" w:hAnsi="Times New Roman" w:cs="Times New Roman"/>
          <w:b/>
          <w:bCs/>
        </w:rPr>
      </w:pPr>
    </w:p>
    <w:p w14:paraId="6BA002B5" w14:textId="389E65BC" w:rsidR="00785FCB" w:rsidRPr="00FD67E8" w:rsidRDefault="00785FCB" w:rsidP="00785FCB">
      <w:pPr>
        <w:spacing w:line="240" w:lineRule="auto"/>
        <w:rPr>
          <w:rFonts w:ascii="Times New Roman" w:hAnsi="Times New Roman" w:cs="Times New Roman"/>
          <w:b/>
          <w:bCs/>
          <w:i/>
          <w:iCs/>
        </w:rPr>
      </w:pPr>
      <w:r w:rsidRPr="00FD67E8">
        <w:rPr>
          <w:rFonts w:ascii="Times New Roman" w:hAnsi="Times New Roman" w:cs="Times New Roman"/>
          <w:b/>
          <w:bCs/>
          <w:i/>
          <w:iCs/>
        </w:rPr>
        <w:t>Dimensión de política pública: el Estado ausente</w:t>
      </w:r>
    </w:p>
    <w:p w14:paraId="601F35A2" w14:textId="7E082761" w:rsidR="00785FCB" w:rsidRPr="00785FCB" w:rsidRDefault="00785FCB" w:rsidP="000D4CA6">
      <w:pPr>
        <w:spacing w:line="240" w:lineRule="auto"/>
        <w:jc w:val="both"/>
        <w:rPr>
          <w:rFonts w:ascii="Times New Roman" w:hAnsi="Times New Roman" w:cs="Times New Roman"/>
          <w:b/>
          <w:bCs/>
        </w:rPr>
      </w:pPr>
      <w:r w:rsidRPr="000D4CA6">
        <w:rPr>
          <w:rFonts w:ascii="Times New Roman" w:hAnsi="Times New Roman" w:cs="Times New Roman"/>
        </w:rPr>
        <w:t xml:space="preserve">La expresión “Estado ausente” funciona como una categoría analítica para describir contextos en los que las políticas públicas no reconocen suficientemente la permanencia, la progresión y la graduación como componentes centrales del derecho a la educación superior. No supone necesariamente una ausencia absoluta de regulación o de iniciativas, </w:t>
      </w:r>
      <w:r w:rsidRPr="000D4CA6">
        <w:rPr>
          <w:rFonts w:ascii="Times New Roman" w:hAnsi="Times New Roman" w:cs="Times New Roman"/>
        </w:rPr>
        <w:lastRenderedPageBreak/>
        <w:t>sino una intervención insuficiente, fragmentada o excesivamente concentrada en la ampliación del acceso.</w:t>
      </w:r>
      <w:r w:rsidR="000D4CA6">
        <w:rPr>
          <w:rFonts w:ascii="Times New Roman" w:hAnsi="Times New Roman" w:cs="Times New Roman"/>
        </w:rPr>
        <w:t xml:space="preserve"> </w:t>
      </w:r>
      <w:r w:rsidRPr="000D4CA6">
        <w:rPr>
          <w:rFonts w:ascii="Times New Roman" w:hAnsi="Times New Roman" w:cs="Times New Roman"/>
        </w:rPr>
        <w:t>Esta ausencia o insuficiencia se expresa principalmente en:</w:t>
      </w:r>
    </w:p>
    <w:p w14:paraId="0B7AED25" w14:textId="19DBBDF6"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Falta de recursos suficientes, permanentes y estables para que las instituciones desarrollen sistemas integrales de acompañamiento estudiantil.</w:t>
      </w:r>
    </w:p>
    <w:p w14:paraId="05E8542D" w14:textId="00FBA758" w:rsidR="00785FCB" w:rsidRPr="000D4CA6" w:rsidRDefault="000D4CA6"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D</w:t>
      </w:r>
      <w:r w:rsidR="00785FCB" w:rsidRPr="000D4CA6">
        <w:rPr>
          <w:rFonts w:ascii="Times New Roman" w:hAnsi="Times New Roman" w:cs="Times New Roman"/>
        </w:rPr>
        <w:t>ependencia de fondos temporales, concursables o asociados a proyectos, que dificultan la institucionalización y continuidad de los equipos y programas.</w:t>
      </w:r>
    </w:p>
    <w:p w14:paraId="3CF1EA82" w14:textId="514F8E38"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Consideración insuficiente de la retención, la progresión, el rezago, la graduación y la titulación oportuna como dimensiones sustantivas de la calidad de la educación superior.</w:t>
      </w:r>
    </w:p>
    <w:p w14:paraId="27BE64DB" w14:textId="740FDD79"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Escasa generación de orientaciones nacionales para el diseño, implementación y evaluación de sistemas de acompañamiento.</w:t>
      </w:r>
    </w:p>
    <w:p w14:paraId="4E2FE10D" w14:textId="1FB05C2D"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Débil promoción del intercambio de buenas prácticas, la colaboración interinstitucional y la construcción de aprendizajes compartidos.</w:t>
      </w:r>
    </w:p>
    <w:p w14:paraId="1DD9921B" w14:textId="4BCCEF82"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Insuficiente articulación entre las políticas de acceso, financiamiento, inclusión, salud mental, discapacidad, empleabilidad y aseguramiento de la calidad.</w:t>
      </w:r>
    </w:p>
    <w:p w14:paraId="3EC6DC3E" w14:textId="100D1ACE" w:rsidR="00785FCB" w:rsidRPr="000D4CA6" w:rsidRDefault="00785FCB" w:rsidP="000D4CA6">
      <w:pPr>
        <w:pStyle w:val="Prrafodelista"/>
        <w:numPr>
          <w:ilvl w:val="0"/>
          <w:numId w:val="11"/>
        </w:numPr>
        <w:spacing w:line="240" w:lineRule="auto"/>
        <w:jc w:val="both"/>
        <w:rPr>
          <w:rFonts w:ascii="Times New Roman" w:hAnsi="Times New Roman" w:cs="Times New Roman"/>
        </w:rPr>
      </w:pPr>
      <w:r w:rsidRPr="000D4CA6">
        <w:rPr>
          <w:rFonts w:ascii="Times New Roman" w:hAnsi="Times New Roman" w:cs="Times New Roman"/>
        </w:rPr>
        <w:t>Falta de sistemas integrados de información que permitan comprender las trayectorias, anticipar riesgos y evaluar los resultados de las políticas implementadas.</w:t>
      </w:r>
    </w:p>
    <w:p w14:paraId="78912286" w14:textId="0F3454CE" w:rsidR="00785FCB" w:rsidRPr="000D4CA6" w:rsidRDefault="00785FCB" w:rsidP="000D4CA6">
      <w:pPr>
        <w:spacing w:line="240" w:lineRule="auto"/>
        <w:jc w:val="both"/>
        <w:rPr>
          <w:rFonts w:ascii="Times New Roman" w:hAnsi="Times New Roman" w:cs="Times New Roman"/>
        </w:rPr>
      </w:pPr>
      <w:r w:rsidRPr="000D4CA6">
        <w:rPr>
          <w:rFonts w:ascii="Times New Roman" w:hAnsi="Times New Roman" w:cs="Times New Roman"/>
        </w:rPr>
        <w:t xml:space="preserve">La ampliación de la matrícula y el financiamiento del acceso pueden coexistir, por tanto, con trayectorias marcadas por el rezago, la interrupción y el abandono. Cuando las políticas públicas se concentran principalmente en el ingreso, trasladan a las </w:t>
      </w:r>
      <w:proofErr w:type="gramStart"/>
      <w:r w:rsidRPr="000D4CA6">
        <w:rPr>
          <w:rFonts w:ascii="Times New Roman" w:hAnsi="Times New Roman" w:cs="Times New Roman"/>
        </w:rPr>
        <w:t>instituciones</w:t>
      </w:r>
      <w:r w:rsidR="000D4CA6" w:rsidRPr="000D4CA6">
        <w:rPr>
          <w:rFonts w:ascii="Times New Roman" w:hAnsi="Times New Roman" w:cs="Times New Roman"/>
        </w:rPr>
        <w:t xml:space="preserve">, </w:t>
      </w:r>
      <w:r w:rsidRPr="000D4CA6">
        <w:rPr>
          <w:rFonts w:ascii="Times New Roman" w:hAnsi="Times New Roman" w:cs="Times New Roman"/>
        </w:rPr>
        <w:t xml:space="preserve"> y</w:t>
      </w:r>
      <w:proofErr w:type="gramEnd"/>
      <w:r w:rsidR="000D4CA6" w:rsidRPr="000D4CA6">
        <w:rPr>
          <w:rFonts w:ascii="Times New Roman" w:hAnsi="Times New Roman" w:cs="Times New Roman"/>
        </w:rPr>
        <w:t xml:space="preserve"> </w:t>
      </w:r>
      <w:r w:rsidRPr="000D4CA6">
        <w:rPr>
          <w:rFonts w:ascii="Times New Roman" w:hAnsi="Times New Roman" w:cs="Times New Roman"/>
        </w:rPr>
        <w:t>a los propios estudiantes</w:t>
      </w:r>
      <w:r w:rsidR="000D4CA6" w:rsidRPr="000D4CA6">
        <w:rPr>
          <w:rFonts w:ascii="Times New Roman" w:hAnsi="Times New Roman" w:cs="Times New Roman"/>
        </w:rPr>
        <w:t xml:space="preserve">, </w:t>
      </w:r>
      <w:r w:rsidRPr="000D4CA6">
        <w:rPr>
          <w:rFonts w:ascii="Times New Roman" w:hAnsi="Times New Roman" w:cs="Times New Roman"/>
        </w:rPr>
        <w:t xml:space="preserve"> la responsabilidad de resolver las desigualdades que emergen durante el proceso formativo.</w:t>
      </w:r>
    </w:p>
    <w:p w14:paraId="0E359A79" w14:textId="77777777" w:rsidR="00785FCB" w:rsidRPr="000D4CA6" w:rsidRDefault="00785FCB" w:rsidP="000D4CA6">
      <w:pPr>
        <w:spacing w:line="240" w:lineRule="auto"/>
        <w:jc w:val="both"/>
        <w:rPr>
          <w:rFonts w:ascii="Times New Roman" w:hAnsi="Times New Roman" w:cs="Times New Roman"/>
        </w:rPr>
      </w:pPr>
      <w:r w:rsidRPr="000D4CA6">
        <w:rPr>
          <w:rFonts w:ascii="Times New Roman" w:hAnsi="Times New Roman" w:cs="Times New Roman"/>
        </w:rPr>
        <w:t>En conjunto, estas cinco dimensiones muestran que los factores de riesgo no operan de manera aislada. Una brecha en la formación previa puede intensificarse en un aula con bajas expectativas, dentro de un currículo rígido, en una institución sin apoyos suficientes y bajo una política pública que financia el acceso, pero no necesariamente las condiciones de permanencia. Del mismo modo, una dificultad inicialmente individual puede ser contenida cuando existen prácticas pedagógicas inclusivas, flexibilidad curricular, redes institucionales de apoyo y políticas públicas que entregan recursos y orientaciones sostenidas.</w:t>
      </w:r>
    </w:p>
    <w:p w14:paraId="2BA6EFBB" w14:textId="2818D19F" w:rsidR="00785FCB" w:rsidRPr="000D4CA6" w:rsidRDefault="00785FCB" w:rsidP="000D4CA6">
      <w:pPr>
        <w:spacing w:line="240" w:lineRule="auto"/>
        <w:jc w:val="both"/>
        <w:rPr>
          <w:rFonts w:ascii="Times New Roman" w:hAnsi="Times New Roman" w:cs="Times New Roman"/>
        </w:rPr>
      </w:pPr>
      <w:r w:rsidRPr="000D4CA6">
        <w:rPr>
          <w:rFonts w:ascii="Times New Roman" w:hAnsi="Times New Roman" w:cs="Times New Roman"/>
        </w:rPr>
        <w:t>La utilidad de esta clasificación radica, precisamente, en permitir el tránsito desde explicaciones centradas exclusivamente en las características del estudiantado hacia una comprensión sistémica de las trayectorias. En consecuencia, los niveles de abordaje no pueden limitarse a intervenciones remediales dirigidas a quienes ya presentan dificultades. Deben combinar acciones preventivas, pedagógicas, curriculares, psicosociales, institucionales y estructurales, capaces de modificar tanto las condiciones individuales como los entornos en que se desarrollan los procesos formativos.</w:t>
      </w:r>
    </w:p>
    <w:p w14:paraId="65AD705B" w14:textId="0968607F" w:rsidR="00EB3F84" w:rsidRDefault="00EB3F84" w:rsidP="00EB3F84">
      <w:pPr>
        <w:spacing w:line="240" w:lineRule="auto"/>
        <w:jc w:val="both"/>
        <w:rPr>
          <w:rFonts w:ascii="Times New Roman" w:hAnsi="Times New Roman" w:cs="Times New Roman"/>
          <w:b/>
          <w:bCs/>
        </w:rPr>
      </w:pPr>
      <w:r w:rsidRPr="00EB3F84">
        <w:rPr>
          <w:rFonts w:ascii="Times New Roman" w:hAnsi="Times New Roman" w:cs="Times New Roman"/>
          <w:b/>
          <w:bCs/>
        </w:rPr>
        <w:t>Abordaje de factores de riesgo</w:t>
      </w:r>
    </w:p>
    <w:p w14:paraId="5F7D9C5D" w14:textId="77777777"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t xml:space="preserve">Los factores de riesgo identificados requieren respuestas diferenciadas según el nivel en el que se originan o se intensifican. Sin embargo, esta diferenciación es principalmente </w:t>
      </w:r>
      <w:r w:rsidRPr="00B16B48">
        <w:rPr>
          <w:rFonts w:ascii="Times New Roman" w:hAnsi="Times New Roman" w:cs="Times New Roman"/>
        </w:rPr>
        <w:lastRenderedPageBreak/>
        <w:t>analítica, pues las dificultades que afectan las trayectorias estudiantiles suelen configurarse a partir de la interacción entre condiciones personales, prácticas pedagógicas, estructuras curriculares, capacidades institucionales y marcos de política pública. En consecuencia, su abordaje no puede descansar en una única unidad ni limitarse a intervenciones dirigidas exclusivamente al estudiantado, sino que exige acciones coordinadas sobre los distintos entornos que organizan la experiencia universitaria.</w:t>
      </w:r>
    </w:p>
    <w:p w14:paraId="099DB47D" w14:textId="77777777"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t>En el plano pedagógico, el abordaje supone transformar las prácticas de enseñanza y evaluación que pueden obstaculizar el aprendizaje y la integración académica. Esto implica fortalecer las capacidades docentes para trabajar con grupos diversos, promover metodologías activas y colaborativas, incorporar evaluaciones formativas y retroalimentación oportuna, y desarrollar estrategias de enseñanza inclusiva que consideren a estudiantes en situación de discapacidad o neurodivergencia. En este nivel, la respuesta no consiste únicamente en preparar mejor al estudiante para adaptarse al aula, sino también en modificar el aula para que ofrezca oportunidades efectivas de aprendizaje.</w:t>
      </w:r>
    </w:p>
    <w:p w14:paraId="65792D96" w14:textId="77777777"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t>En el plano curricular, las acciones se orientan a revisar las barreras contenidas en los propios planes de estudio. Entre ellas se encuentran la flexibilización de prerrequisitos y trayectorias, la adecuación de las cargas académicas, la articulación entre los primeros años y la formación secundaria, el rediseño de asignaturas críticas y la integración de los procesos de titulación dentro del currículum formal. También comprende la generación de mecanismos de adaptabilidad curricular y ajustes razonables que permitan responder a distintas condiciones de estudio, evitando que la rigidez del programa transforme una dificultad puntual en rezago acumulado o interrupción de la trayectoria.</w:t>
      </w:r>
    </w:p>
    <w:p w14:paraId="6BB033F2" w14:textId="77777777"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t>En el plano institucional, el abordaje requiere construir sistemas articulados de acompañamiento que conecten la docencia, el bienestar estudiantil, la gestión curricular y la toma de decisiones. Esto supone contar con mecanismos de seguimiento y alerta temprana, protocolos de derivación, coordinación entre unidades, infraestructura accesible, espacios de participación y representación estudiantil, y estrategias orientadas a fortalecer el sentido de pertenencia. Una respuesta institucional efectiva no se limita a disponer de programas de apoyo, sino que incorpora la permanencia y la progresión como responsabilidades transversales de la universidad y utiliza la información sobre las trayectorias para revisar sus propias prácticas.</w:t>
      </w:r>
    </w:p>
    <w:p w14:paraId="7BBD9343" w14:textId="77777777"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t>En el plano de la política pública, las respuestas debieran generar condiciones estructurales para que las instituciones puedan sostener estas acciones en el tiempo. Esto incluye financiamiento estable para los sistemas de acompañamiento, incorporación de la retención, la progresión y la graduación en los marcos de aseguramiento de la calidad, producción de información comparable sobre trayectorias, orientaciones nacionales y mecanismos de colaboración e intercambio de buenas prácticas. Del mismo modo, se requiere una mayor articulación entre las políticas de acceso, inclusión, financiamiento, discapacidad, salud mental, empleabilidad y calidad, de manera que la responsabilidad por la permanencia no recaiga exclusivamente en las instituciones ni en los propios estudiantes.</w:t>
      </w:r>
    </w:p>
    <w:p w14:paraId="044AA043" w14:textId="2961478D" w:rsidR="00B16B48" w:rsidRPr="00B16B48" w:rsidRDefault="00B16B48" w:rsidP="00B16B48">
      <w:pPr>
        <w:spacing w:line="240" w:lineRule="auto"/>
        <w:jc w:val="both"/>
        <w:rPr>
          <w:rFonts w:ascii="Times New Roman" w:hAnsi="Times New Roman" w:cs="Times New Roman"/>
        </w:rPr>
      </w:pPr>
      <w:r w:rsidRPr="00B16B48">
        <w:rPr>
          <w:rFonts w:ascii="Times New Roman" w:hAnsi="Times New Roman" w:cs="Times New Roman"/>
        </w:rPr>
        <w:lastRenderedPageBreak/>
        <w:t>Dentro de este conjunto de respuestas, la presente ponencia se concentra específicamente en los mecanismos orientados a abordar los factores psicosociales y psicoeducativos, principalmente mediante acciones de acompañamiento extracurriculares o complementarias al currículum. Estas incluyen dispositivos de inducción, inclusión temprana, diagnóstico, acompañamiento académico, apoyo psicosocial y psicoeducativo, monitoreo y alerta temprana, apoyo a la finalización de los estudios y preparación para la inserción laboral. El foco en este nivel responde a la relevancia que estos mecanismos han adquirido en las universidades chilenas y a la posibilidad de analizarlos comparativamente; no obstante, su efectividad depende de su articulación con transformaciones pedagógicas, curriculares, institucionales y de política pública. El acompañamiento, por tanto, no debiera operar como una respuesta compensatoria destinada a adaptar al estudiante a una estructura inalterada, sino como parte de una estrategia integral que intervenga simultáneamente sobre las personas y sobre las condiciones en que se desarrollan sus trayectorias.</w:t>
      </w:r>
    </w:p>
    <w:p w14:paraId="0AD7BE46" w14:textId="0418576A" w:rsidR="00B16B48" w:rsidRPr="00B16B48" w:rsidRDefault="00B16B48" w:rsidP="00EB3F84">
      <w:pPr>
        <w:spacing w:line="240" w:lineRule="auto"/>
        <w:jc w:val="both"/>
        <w:rPr>
          <w:rFonts w:ascii="Times New Roman" w:hAnsi="Times New Roman" w:cs="Times New Roman"/>
          <w:b/>
          <w:bCs/>
        </w:rPr>
      </w:pPr>
      <w:r w:rsidRPr="00B16B48">
        <w:rPr>
          <w:rFonts w:ascii="Times New Roman" w:hAnsi="Times New Roman" w:cs="Times New Roman"/>
          <w:b/>
          <w:bCs/>
        </w:rPr>
        <w:t xml:space="preserve">Los mecanismos de acompañamiento extracurriculares </w:t>
      </w:r>
    </w:p>
    <w:p w14:paraId="2FE60380" w14:textId="77777777" w:rsidR="00B16B48" w:rsidRDefault="00EB3F84" w:rsidP="00EB3F84">
      <w:pPr>
        <w:spacing w:line="240" w:lineRule="auto"/>
        <w:jc w:val="both"/>
        <w:rPr>
          <w:rFonts w:ascii="Times New Roman" w:hAnsi="Times New Roman" w:cs="Times New Roman"/>
        </w:rPr>
      </w:pPr>
      <w:r w:rsidRPr="00EB3F84">
        <w:rPr>
          <w:rFonts w:ascii="Times New Roman" w:hAnsi="Times New Roman" w:cs="Times New Roman"/>
        </w:rPr>
        <w:t>Los mecanismos de acompañamiento extracurriculares o estrategias de innovación periféricas (Ezcurra, 2015) corresponde a actividades que no forman parte del currículum formal. Pueden ser universales o focalizadas, pero su característica principal es que son voluntarias</w:t>
      </w:r>
      <w:r w:rsidR="00B16B48">
        <w:rPr>
          <w:rFonts w:ascii="Times New Roman" w:hAnsi="Times New Roman" w:cs="Times New Roman"/>
        </w:rPr>
        <w:t>, a</w:t>
      </w:r>
      <w:r w:rsidRPr="00EB3F84">
        <w:rPr>
          <w:rFonts w:ascii="Times New Roman" w:hAnsi="Times New Roman" w:cs="Times New Roman"/>
        </w:rPr>
        <w:t xml:space="preserve"> diferencia de las acciones curriculares que forman parte del proceso formal y son conducentes a créditos, o participan dentro de ellos (módulos de clase; seminarios; talleres)</w:t>
      </w:r>
      <w:r w:rsidR="00B16B48">
        <w:rPr>
          <w:rFonts w:ascii="Times New Roman" w:hAnsi="Times New Roman" w:cs="Times New Roman"/>
        </w:rPr>
        <w:t xml:space="preserve">. </w:t>
      </w:r>
      <w:r w:rsidRPr="00EB3F84">
        <w:rPr>
          <w:rFonts w:ascii="Times New Roman" w:hAnsi="Times New Roman" w:cs="Times New Roman"/>
        </w:rPr>
        <w:t xml:space="preserve">Ahora bien, también existen actividades extracurriculares que pueden estar vinculadas al proceso formal, lo cual </w:t>
      </w:r>
      <w:r w:rsidR="00B16B48">
        <w:rPr>
          <w:rFonts w:ascii="Times New Roman" w:hAnsi="Times New Roman" w:cs="Times New Roman"/>
        </w:rPr>
        <w:t>se detallará</w:t>
      </w:r>
      <w:r w:rsidRPr="00EB3F84">
        <w:rPr>
          <w:rFonts w:ascii="Times New Roman" w:hAnsi="Times New Roman" w:cs="Times New Roman"/>
        </w:rPr>
        <w:t xml:space="preserve"> más adelante. </w:t>
      </w:r>
    </w:p>
    <w:p w14:paraId="50F8DF30" w14:textId="650FF2E4" w:rsidR="00EA3CF6" w:rsidRDefault="00EB3F84" w:rsidP="00EB3F84">
      <w:pPr>
        <w:spacing w:line="240" w:lineRule="auto"/>
        <w:jc w:val="both"/>
        <w:rPr>
          <w:rFonts w:ascii="Times New Roman" w:hAnsi="Times New Roman" w:cs="Times New Roman"/>
        </w:rPr>
      </w:pPr>
      <w:r w:rsidRPr="00EB3F84">
        <w:rPr>
          <w:rFonts w:ascii="Times New Roman" w:hAnsi="Times New Roman" w:cs="Times New Roman"/>
        </w:rPr>
        <w:t>Tanto las acciones curriculares como extracurriculares suelen ser desarrolladas durante los dos primeros años de la trayectoria universitaria, esto es por qué la interrupción de estudios, deserción o abandono se suele dar con mayor intensidad durante el 1° y 2° año (Tinto, 2017). Sin embargo, los factores de riesgo presentados anteriormente pueden estar presentes durante toda la trayectoria formativa. Junto con ello, dificultades específicas en los distintos años de avance curricular, pueden intensificar o sumarse a estos factores de riesgo. Esto implica que tanto las acciones curriculares como extracurriculares deben considerar estos elementos en la construcción de sistemas de acompañamiento estudiantil:</w:t>
      </w:r>
    </w:p>
    <w:p w14:paraId="4FF8BF4B" w14:textId="14CF89E6" w:rsidR="00FC5AF7" w:rsidRPr="00FC5AF7" w:rsidRDefault="00FC5AF7" w:rsidP="00EB3F84">
      <w:pPr>
        <w:spacing w:line="240" w:lineRule="auto"/>
        <w:jc w:val="both"/>
        <w:rPr>
          <w:rFonts w:ascii="Times New Roman" w:hAnsi="Times New Roman" w:cs="Times New Roman"/>
          <w:i/>
          <w:iCs/>
        </w:rPr>
      </w:pPr>
      <w:r w:rsidRPr="00FC5AF7">
        <w:rPr>
          <w:rFonts w:ascii="Times New Roman" w:hAnsi="Times New Roman" w:cs="Times New Roman"/>
          <w:i/>
          <w:iCs/>
        </w:rPr>
        <w:t>Figura 1. Dificultades según etapas de la trayectoria universitaria.</w:t>
      </w:r>
    </w:p>
    <w:p w14:paraId="0AE5817D" w14:textId="7467CC7D" w:rsidR="00EB3F84" w:rsidRPr="00EB3F84" w:rsidRDefault="00FC5AF7" w:rsidP="00EB3F84">
      <w:pPr>
        <w:spacing w:line="240" w:lineRule="auto"/>
        <w:jc w:val="both"/>
        <w:rPr>
          <w:rFonts w:ascii="Times New Roman" w:hAnsi="Times New Roman" w:cs="Times New Roman"/>
        </w:rPr>
      </w:pPr>
      <w:r>
        <w:rPr>
          <w:noProof/>
          <w:lang w:val="es-CL" w:eastAsia="es-CL"/>
        </w:rPr>
        <w:lastRenderedPageBreak/>
        <w:drawing>
          <wp:inline distT="0" distB="0" distL="0" distR="0" wp14:anchorId="4D1CC208" wp14:editId="5E30CBC4">
            <wp:extent cx="4567555" cy="2236206"/>
            <wp:effectExtent l="1905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AE20B8E" w14:textId="43C8B79D" w:rsidR="00FC5AF7" w:rsidRPr="00755A41" w:rsidRDefault="00FC5AF7" w:rsidP="00FC5AF7">
      <w:pPr>
        <w:jc w:val="both"/>
        <w:rPr>
          <w:sz w:val="18"/>
        </w:rPr>
      </w:pPr>
      <w:r>
        <w:rPr>
          <w:sz w:val="18"/>
        </w:rPr>
        <w:t xml:space="preserve">Fuente: elaboración propia. </w:t>
      </w:r>
    </w:p>
    <w:p w14:paraId="7A6CD54E" w14:textId="21E7CB95"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 xml:space="preserve">Inducción </w:t>
      </w:r>
    </w:p>
    <w:p w14:paraId="63F53F84" w14:textId="04629F75"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La inducción comprende el conjunto de acciones dirigidas a las y los estudiantes de nuevo ingreso, desarrolladas desde el momento de la matrícula y durante el periodo inmediatamente anterior al inicio de las actividades académicas. Su propósito es facilitar una primera aproximación a la vida universitaria, entregar información relevante para el comienzo de la trayectoria formativa y favorecer la vinculación temprana con la institución, la carrera, los equipos académicos y los servicios de apoyo.</w:t>
      </w:r>
      <w:r>
        <w:rPr>
          <w:rFonts w:ascii="Times New Roman" w:eastAsia="Times New Roman" w:hAnsi="Times New Roman" w:cs="Times New Roman"/>
          <w:kern w:val="0"/>
          <w:lang w:val="es-CL" w:eastAsia="es-CL"/>
          <w14:ligatures w14:val="none"/>
        </w:rPr>
        <w:t xml:space="preserve">  </w:t>
      </w:r>
      <w:r w:rsidRPr="00B16B48">
        <w:rPr>
          <w:rFonts w:ascii="Times New Roman" w:eastAsia="Times New Roman" w:hAnsi="Times New Roman" w:cs="Times New Roman"/>
          <w:kern w:val="0"/>
          <w:lang w:val="es-CL" w:eastAsia="es-CL"/>
          <w14:ligatures w14:val="none"/>
        </w:rPr>
        <w:t>Se trata de un mecanismo de alcance universal, ya que debiera involucrar a la totalidad de quienes ingresan y no sólo a estudiantes previamente identificados como sujetos de apoyo. Su importancia radica en que opera en un momento especialmente significativo de la trayectoria, caracterizado generalmente por una alta disposición a participar, conocer la institución y establecer nuevos vínculos. Por ello, una inducción bien diseñada puede contribuir a disminuir la incertidumbre asociada al ingreso, fortalecer el sentido de pertenencia y generar condiciones iniciales favorables para la integración académica y social.</w:t>
      </w:r>
      <w:r>
        <w:rPr>
          <w:rFonts w:ascii="Times New Roman" w:eastAsia="Times New Roman" w:hAnsi="Times New Roman" w:cs="Times New Roman"/>
          <w:kern w:val="0"/>
          <w:lang w:val="es-CL" w:eastAsia="es-CL"/>
          <w14:ligatures w14:val="none"/>
        </w:rPr>
        <w:t xml:space="preserve"> </w:t>
      </w:r>
      <w:r w:rsidRPr="00B16B48">
        <w:rPr>
          <w:rFonts w:ascii="Times New Roman" w:eastAsia="Times New Roman" w:hAnsi="Times New Roman" w:cs="Times New Roman"/>
          <w:kern w:val="0"/>
          <w:lang w:val="es-CL" w:eastAsia="es-CL"/>
          <w14:ligatures w14:val="none"/>
        </w:rPr>
        <w:t>Su efectividad depende, principalmente, de tres condiciones: la oportunidad con que se desarrollan las acciones, la calidad y coherencia de la información entregada y el involucramiento de la comunidad universitaria.</w:t>
      </w:r>
    </w:p>
    <w:p w14:paraId="69235B30" w14:textId="2F17A524"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La inducción no debiera reducirse, por tanto, a una jornada aislada de bienvenida, sino organizarse como un proceso gradual que acompañe la transición desde la condición de postulante o matriculado hacia la participación efectiva en la vida universitaria. Esto permite distribuir la información en distintos momentos, reiterar los contenidos centrales y responder a necesidades que se vuelven más claras a medida que se aproxima el inicio del periodo académico.</w:t>
      </w:r>
      <w:r>
        <w:rPr>
          <w:rFonts w:ascii="Times New Roman" w:eastAsia="Times New Roman" w:hAnsi="Times New Roman" w:cs="Times New Roman"/>
          <w:kern w:val="0"/>
          <w:lang w:val="es-CL" w:eastAsia="es-CL"/>
          <w14:ligatures w14:val="none"/>
        </w:rPr>
        <w:t xml:space="preserve"> </w:t>
      </w:r>
      <w:r w:rsidRPr="00B16B48">
        <w:rPr>
          <w:rFonts w:ascii="Times New Roman" w:eastAsia="Times New Roman" w:hAnsi="Times New Roman" w:cs="Times New Roman"/>
          <w:kern w:val="0"/>
          <w:lang w:val="es-CL" w:eastAsia="es-CL"/>
          <w14:ligatures w14:val="none"/>
        </w:rPr>
        <w:t>Entre los contenidos que debieran formar parte del proceso de inducción se encuentran:</w:t>
      </w:r>
    </w:p>
    <w:p w14:paraId="0C6E2059"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Los servicios, apoyos y beneficios disponibles en la institución. </w:t>
      </w:r>
    </w:p>
    <w:p w14:paraId="77DBBCFD"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lastRenderedPageBreak/>
        <w:t xml:space="preserve">Los equipos de acompañamiento y las personas que mantendrán un vínculo directo con el estudiantado, como tutores, mentores, orientadores o profesionales de apoyo. </w:t>
      </w:r>
    </w:p>
    <w:p w14:paraId="43EE1AC4"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Las organizaciones estudiantiles y los espacios de participación y representación. </w:t>
      </w:r>
    </w:p>
    <w:p w14:paraId="20859790"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Las personas y funciones que componen la unidad académica, incluyendo académicas y académicos, personal administrativo, jefaturas de carrera y autoridades. </w:t>
      </w:r>
    </w:p>
    <w:p w14:paraId="4014384B" w14:textId="7E1AAB39"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Los principales reglamentos académicos y </w:t>
      </w:r>
      <w:r>
        <w:rPr>
          <w:rFonts w:ascii="Times New Roman" w:eastAsia="Times New Roman" w:hAnsi="Times New Roman" w:cs="Times New Roman"/>
          <w:kern w:val="0"/>
          <w:lang w:val="es-CL" w:eastAsia="es-CL"/>
          <w14:ligatures w14:val="none"/>
        </w:rPr>
        <w:t xml:space="preserve">protocolos </w:t>
      </w:r>
      <w:r w:rsidRPr="00B16B48">
        <w:rPr>
          <w:rFonts w:ascii="Times New Roman" w:eastAsia="Times New Roman" w:hAnsi="Times New Roman" w:cs="Times New Roman"/>
          <w:kern w:val="0"/>
          <w:lang w:val="es-CL" w:eastAsia="es-CL"/>
          <w14:ligatures w14:val="none"/>
        </w:rPr>
        <w:t xml:space="preserve">de convivencia, presentados de manera comprensible y vinculados con situaciones concretas. </w:t>
      </w:r>
    </w:p>
    <w:p w14:paraId="62C06BF0"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El funcionamiento y las modalidades de acceso a servicios como biblioteca, salud, bienestar estudiantil, apoyo académico, actividades deportivas y culturales. </w:t>
      </w:r>
    </w:p>
    <w:p w14:paraId="0AF9B619" w14:textId="77777777" w:rsidR="00B16B48" w:rsidRPr="00B16B48" w:rsidRDefault="00B16B48" w:rsidP="00B16B4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 xml:space="preserve">La organización y características de la sede o campus, incluyendo sus espacios, rutas de acceso, condiciones de seguridad y servicios disponibles. </w:t>
      </w:r>
    </w:p>
    <w:p w14:paraId="28CBA3BE" w14:textId="77777777"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No se trata solamente de informar que estos recursos existen, sino de explicar para qué sirven, cómo se accede a ellos, en qué momento conviene utilizarlos y con quién deben establecer contacto las y los estudiantes. Una inducción efectiva transforma información dispersa en orientaciones prácticas para desenvolverse con mayor autonomía dentro de la institución.</w:t>
      </w:r>
    </w:p>
    <w:p w14:paraId="27556E84" w14:textId="284D8682"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Pr>
          <w:rFonts w:ascii="Times New Roman" w:eastAsia="Times New Roman" w:hAnsi="Times New Roman" w:cs="Times New Roman"/>
          <w:kern w:val="0"/>
          <w:lang w:val="es-CL" w:eastAsia="es-CL"/>
          <w14:ligatures w14:val="none"/>
        </w:rPr>
        <w:t>L</w:t>
      </w:r>
      <w:r w:rsidRPr="00B16B48">
        <w:rPr>
          <w:rFonts w:ascii="Times New Roman" w:eastAsia="Times New Roman" w:hAnsi="Times New Roman" w:cs="Times New Roman"/>
          <w:kern w:val="0"/>
          <w:lang w:val="es-CL" w:eastAsia="es-CL"/>
          <w14:ligatures w14:val="none"/>
        </w:rPr>
        <w:t>a inducción debiera comprometer al conjunto de la comunidad universitaria. La participación de docentes, autoridades y equipos profesionales resulta especialmente relevante, pues permite establecer tempranamente relaciones de confianza y transmitir que la recepción de las y los nuevos estudiantes constituye una responsabilidad institucional compartida.</w:t>
      </w:r>
    </w:p>
    <w:p w14:paraId="137D842A" w14:textId="77777777"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Las autoridades y los equipos académicos no debieran restarse de este proceso ni limitar su participación a saludos protocolares. Su presencia puede contribuir a fortalecer la identificación con la carrera y la institución, hacer más cercanas las estructuras universitarias y comunicar las expectativas académicas de manera directa. Del mismo modo, la participación de estudiantes de cursos superiores, tutores pares y organizaciones estudiantiles favorece una aproximación más horizontal a la experiencia universitaria, permitiendo compartir conocimientos cotidianos, resolver inquietudes y generar vínculos entre pares.</w:t>
      </w:r>
    </w:p>
    <w:p w14:paraId="5143FA4D" w14:textId="77777777" w:rsidR="00B16B48" w:rsidRPr="00B16B48" w:rsidRDefault="00B16B48" w:rsidP="00B16B48">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B16B48">
        <w:rPr>
          <w:rFonts w:ascii="Times New Roman" w:eastAsia="Times New Roman" w:hAnsi="Times New Roman" w:cs="Times New Roman"/>
          <w:kern w:val="0"/>
          <w:lang w:val="es-CL" w:eastAsia="es-CL"/>
          <w14:ligatures w14:val="none"/>
        </w:rPr>
        <w:t>En consecuencia, la inducción debe entenderse como la primera intervención institucional sobre la trayectoria académica. Más que una actividad informativa, constituye un dispositivo de integración temprana que permite presentar una universidad articulada, accesible y disponible para acompañar a quienes comienzan su proceso formativo.</w:t>
      </w:r>
    </w:p>
    <w:p w14:paraId="6813D26B"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Actividades de inclusión temprana</w:t>
      </w:r>
    </w:p>
    <w:p w14:paraId="460E30D1" w14:textId="77777777" w:rsidR="00FC5AF7" w:rsidRPr="00FC5AF7" w:rsidRDefault="00FC5AF7" w:rsidP="00FC5AF7">
      <w:pPr>
        <w:spacing w:line="240" w:lineRule="auto"/>
        <w:jc w:val="both"/>
        <w:rPr>
          <w:rFonts w:ascii="Times New Roman" w:hAnsi="Times New Roman" w:cs="Times New Roman"/>
        </w:rPr>
      </w:pPr>
      <w:r w:rsidRPr="00FC5AF7">
        <w:rPr>
          <w:rFonts w:ascii="Times New Roman" w:hAnsi="Times New Roman" w:cs="Times New Roman"/>
        </w:rPr>
        <w:t xml:space="preserve">Corresponde a las acciones con foco en inclusión, integración y nivelación que se desarrollan antes del ingreso a clases y que son específicas para los/as estudiantes de primer año.  Pueden formar parte del proceso de inducción, pero se diferencian porque </w:t>
      </w:r>
      <w:r w:rsidRPr="00FC5AF7">
        <w:rPr>
          <w:rFonts w:ascii="Times New Roman" w:hAnsi="Times New Roman" w:cs="Times New Roman"/>
        </w:rPr>
        <w:lastRenderedPageBreak/>
        <w:t xml:space="preserve">no son universales, sino que focalizadas en algunos/as estudiantes. Esta focalización puede ser por vía de ingreso, puntaje PAES, establecimiento de origen u otra información recabada. No suelen responder al diagnóstico, ya que estos son procesos que se realizan en forma paralela.   </w:t>
      </w:r>
    </w:p>
    <w:p w14:paraId="29738942" w14:textId="77777777" w:rsidR="00FC5AF7" w:rsidRPr="00FC5AF7" w:rsidRDefault="00FC5AF7" w:rsidP="00FC5AF7">
      <w:pPr>
        <w:spacing w:line="240" w:lineRule="auto"/>
        <w:jc w:val="both"/>
        <w:rPr>
          <w:rFonts w:ascii="Times New Roman" w:hAnsi="Times New Roman" w:cs="Times New Roman"/>
        </w:rPr>
      </w:pPr>
      <w:r w:rsidRPr="00FC5AF7">
        <w:rPr>
          <w:rFonts w:ascii="Times New Roman" w:hAnsi="Times New Roman" w:cs="Times New Roman"/>
        </w:rPr>
        <w:t xml:space="preserve">Las actividades que se desarrollan pueden ser academias de verano, talleres de autogestión, actividades deportivas entre otras.  Pueden ser realizas por las unidades académicas o alguna unidad central de acompañamiento. Es ideal que exista involucramiento de docentes de las carreras y de estudiantes tutores. Se recomienda vincular su participación a alguna calificación de asignatura, teniendo así un vínculo curricular. </w:t>
      </w:r>
    </w:p>
    <w:p w14:paraId="4B6EEFBD" w14:textId="362D7D19" w:rsidR="00FD67E8" w:rsidRPr="00FD67E8" w:rsidRDefault="00FD67E8" w:rsidP="00FD67E8">
      <w:pPr>
        <w:spacing w:line="240" w:lineRule="auto"/>
        <w:jc w:val="both"/>
        <w:rPr>
          <w:rFonts w:ascii="Times New Roman" w:hAnsi="Times New Roman" w:cs="Times New Roman"/>
          <w:b/>
          <w:bCs/>
          <w:i/>
          <w:iCs/>
        </w:rPr>
      </w:pPr>
      <w:r w:rsidRPr="00FD67E8">
        <w:rPr>
          <w:rFonts w:ascii="Times New Roman" w:hAnsi="Times New Roman" w:cs="Times New Roman"/>
          <w:b/>
          <w:bCs/>
          <w:i/>
          <w:iCs/>
        </w:rPr>
        <w:t>Diagnóstico: competencias, necesidades académicas y psicoeducativas</w:t>
      </w:r>
    </w:p>
    <w:p w14:paraId="06D3670E" w14:textId="77777777" w:rsidR="00FD67E8" w:rsidRPr="00FD67E8" w:rsidRDefault="00FD67E8" w:rsidP="00FD67E8">
      <w:pPr>
        <w:spacing w:line="240" w:lineRule="auto"/>
        <w:jc w:val="both"/>
        <w:rPr>
          <w:rFonts w:ascii="Times New Roman" w:hAnsi="Times New Roman" w:cs="Times New Roman"/>
        </w:rPr>
      </w:pPr>
      <w:r w:rsidRPr="00FD67E8">
        <w:rPr>
          <w:rFonts w:ascii="Times New Roman" w:hAnsi="Times New Roman" w:cs="Times New Roman"/>
        </w:rPr>
        <w:t>El diagnóstico comprende el conjunto de instrumentos destinados a recoger información sobre las competencias, necesidades y condiciones de las y los estudiantes en los ámbitos académico, psicoeducativo y psicosocial. Para ello, pueden utilizarse encuestas, pruebas de contenido, entrevistas individuales o grupales y antecedentes ya disponibles, como resultados de la PAES, datos de ingreso o información sobre el establecimiento de origen.</w:t>
      </w:r>
    </w:p>
    <w:p w14:paraId="6B07D304" w14:textId="09336D1E" w:rsidR="00FD67E8" w:rsidRPr="00FD67E8" w:rsidRDefault="00FD67E8" w:rsidP="00FD67E8">
      <w:pPr>
        <w:spacing w:line="240" w:lineRule="auto"/>
        <w:jc w:val="both"/>
        <w:rPr>
          <w:rFonts w:ascii="Times New Roman" w:hAnsi="Times New Roman" w:cs="Times New Roman"/>
        </w:rPr>
      </w:pPr>
      <w:r w:rsidRPr="00FD67E8">
        <w:rPr>
          <w:rFonts w:ascii="Times New Roman" w:hAnsi="Times New Roman" w:cs="Times New Roman"/>
        </w:rPr>
        <w:t>Para que sea efectivo, el diagnóstico debe ser pertinente, oportuno y utilizable. Su finalidad no es sólo describir al estudiantado, sino orientar decisiones concretas de acompañamiento. Por ello, idealmente, sus resultados deben estar disponibles antes de definir los apoyos iniciales y traducirse en derivaciones, atención de situaciones críticas, ajustes en las estrategias pedagógicas o adecuaciones de contenidos.</w:t>
      </w:r>
    </w:p>
    <w:p w14:paraId="2C82857A" w14:textId="77777777" w:rsidR="00FD67E8" w:rsidRDefault="00FD67E8" w:rsidP="00FD67E8">
      <w:pPr>
        <w:spacing w:line="240" w:lineRule="auto"/>
        <w:jc w:val="both"/>
        <w:rPr>
          <w:rFonts w:ascii="Times New Roman" w:hAnsi="Times New Roman" w:cs="Times New Roman"/>
        </w:rPr>
      </w:pPr>
      <w:r w:rsidRPr="00FD67E8">
        <w:rPr>
          <w:rFonts w:ascii="Times New Roman" w:hAnsi="Times New Roman" w:cs="Times New Roman"/>
        </w:rPr>
        <w:t>Asimismo, la información debe ser accesible para las y los propios estudiantes, de modo que les permita reconocer sus fortalezas y necesidades, tomar decisiones y solicitar apoyo cuando sea necesario. El diagnóstico también entrega antecedentes relevantes a las unidades académicas, pero pierde utilidad si no se vincula con acciones concretas y mecanismos claros de seguimiento.</w:t>
      </w:r>
      <w:r>
        <w:rPr>
          <w:rFonts w:ascii="Times New Roman" w:hAnsi="Times New Roman" w:cs="Times New Roman"/>
        </w:rPr>
        <w:t xml:space="preserve"> </w:t>
      </w:r>
    </w:p>
    <w:p w14:paraId="6CB5225E" w14:textId="264751E5" w:rsidR="00FC5AF7" w:rsidRPr="00FD67E8" w:rsidRDefault="00FC5AF7" w:rsidP="00FD67E8">
      <w:pPr>
        <w:spacing w:line="240" w:lineRule="auto"/>
        <w:jc w:val="both"/>
        <w:rPr>
          <w:rFonts w:ascii="Times New Roman" w:hAnsi="Times New Roman" w:cs="Times New Roman"/>
          <w:b/>
          <w:bCs/>
          <w:i/>
          <w:iCs/>
        </w:rPr>
      </w:pPr>
      <w:r w:rsidRPr="00FD67E8">
        <w:rPr>
          <w:rFonts w:ascii="Times New Roman" w:hAnsi="Times New Roman" w:cs="Times New Roman"/>
          <w:b/>
          <w:bCs/>
          <w:i/>
          <w:iCs/>
        </w:rPr>
        <w:t>Acompañamiento académico: tutorías; mentorías; talleres; atención individual emergente</w:t>
      </w:r>
    </w:p>
    <w:p w14:paraId="69C97269" w14:textId="77777777" w:rsidR="00FC5AF7" w:rsidRPr="00FC5AF7" w:rsidRDefault="00FC5AF7" w:rsidP="00FC5AF7">
      <w:pPr>
        <w:spacing w:line="240" w:lineRule="auto"/>
        <w:jc w:val="both"/>
        <w:rPr>
          <w:rFonts w:ascii="Times New Roman" w:hAnsi="Times New Roman" w:cs="Times New Roman"/>
        </w:rPr>
      </w:pPr>
      <w:r w:rsidRPr="00FC5AF7">
        <w:rPr>
          <w:rFonts w:ascii="Times New Roman" w:hAnsi="Times New Roman" w:cs="Times New Roman"/>
        </w:rPr>
        <w:t xml:space="preserve">El acompañamiento académico corresponde a todas aquellas actividades que están enfocadas en la nivelación y/u apoyo en asignaturas para los/as estudiantes. Principalmente son acciones extra curriculares y voluntarias, a las cuales se accede por focalización, solicitud o derivación.  Las actividades de nivelación abordan o refuerzan contenidos de la educación media que son fundamentales para la comprensión de las asignaturas, las otras actividades se centran en reforzar contenidos que ya se están recibiendo y que no han sido suficientemente comprendidos o bien que requieren un apoyo adicional para adquirir conocimientos y/o prácticas. También existen actividades que abordan contenidos transversales que mejoran la adaptabilidad académica, como las competencias en lectoescritura, presentaciones orales; uso de citas entre otros.  </w:t>
      </w:r>
    </w:p>
    <w:p w14:paraId="0CB60DCE" w14:textId="77777777" w:rsidR="00FC5AF7" w:rsidRPr="00FC5AF7" w:rsidRDefault="00FC5AF7" w:rsidP="00FC5AF7">
      <w:pPr>
        <w:spacing w:line="240" w:lineRule="auto"/>
        <w:jc w:val="both"/>
        <w:rPr>
          <w:rFonts w:ascii="Times New Roman" w:hAnsi="Times New Roman" w:cs="Times New Roman"/>
        </w:rPr>
      </w:pPr>
      <w:r w:rsidRPr="00FC5AF7">
        <w:rPr>
          <w:rFonts w:ascii="Times New Roman" w:hAnsi="Times New Roman" w:cs="Times New Roman"/>
        </w:rPr>
        <w:t xml:space="preserve">Para que sean efectivos, los acompañamientos académicos deben fomentar las capacidades de autogestión y auto monitoreo de aprendizaje. Junto con ello, deben estar </w:t>
      </w:r>
      <w:r w:rsidRPr="00FC5AF7">
        <w:rPr>
          <w:rFonts w:ascii="Times New Roman" w:hAnsi="Times New Roman" w:cs="Times New Roman"/>
        </w:rPr>
        <w:lastRenderedPageBreak/>
        <w:t xml:space="preserve">vinculadas a los procesos de monitoreo y alerta temprana, para así reconocer y derivar los casos que sean pertinentes de ser abordados por otras acciones de orden psicosocial o psicopedagógico, además, se recomienda que se articulen con las asignaturas, no sólo con sus contenidos, sino que puedan formar parte de procesos evaluativos. Finalmente, requieren mecanismos de difusión efectivos. Dentro de las acciones de acompañamiento académico se encuentran: tutorías pares; mentorías; talleres; atención individual emergente. </w:t>
      </w:r>
    </w:p>
    <w:p w14:paraId="05BD9DC6"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Tutorías pares</w:t>
      </w:r>
    </w:p>
    <w:p w14:paraId="10DE636E" w14:textId="0988CC22" w:rsidR="00FD67E8" w:rsidRPr="00FD67E8" w:rsidRDefault="00FD67E8" w:rsidP="00FD67E8">
      <w:pPr>
        <w:spacing w:line="240" w:lineRule="auto"/>
        <w:jc w:val="both"/>
        <w:rPr>
          <w:rFonts w:ascii="Times New Roman" w:hAnsi="Times New Roman" w:cs="Times New Roman"/>
        </w:rPr>
      </w:pPr>
      <w:r w:rsidRPr="00FD67E8">
        <w:rPr>
          <w:rFonts w:ascii="Times New Roman" w:hAnsi="Times New Roman" w:cs="Times New Roman"/>
        </w:rPr>
        <w:t>Las tutorías pares son estrategias de acompañamiento en las que estudiantes de cursos superiores, previamente seleccionados y capacitados, apoyan a quienes se encuentran en etapas iniciales o presentan necesidades académicas específicas. Pueden desarrollarse en pequeños grupos conformados por estudiantes de una misma carrera, asignatura o unidad académica, o mediante encuentros personalizados y periódicos entre tutor/a y estudiante.</w:t>
      </w:r>
    </w:p>
    <w:p w14:paraId="16BD2D55" w14:textId="1AA14AB1" w:rsidR="00FD67E8" w:rsidRPr="00FD67E8" w:rsidRDefault="00FD67E8" w:rsidP="00FD67E8">
      <w:pPr>
        <w:spacing w:line="240" w:lineRule="auto"/>
        <w:jc w:val="both"/>
        <w:rPr>
          <w:rFonts w:ascii="Times New Roman" w:hAnsi="Times New Roman" w:cs="Times New Roman"/>
        </w:rPr>
      </w:pPr>
      <w:r w:rsidRPr="00FD67E8">
        <w:rPr>
          <w:rFonts w:ascii="Times New Roman" w:hAnsi="Times New Roman" w:cs="Times New Roman"/>
        </w:rPr>
        <w:t>Estas tutorías han mostrado una alta valoración entre el estudiantado, tanto por su contribución al aprendizaje como por la cercanía que posibilita el vínculo entre pares. Para su adecuado funcionamiento, es necesario considerar algunos elementos fundamentales:</w:t>
      </w:r>
    </w:p>
    <w:p w14:paraId="7280DDF5" w14:textId="77777777" w:rsidR="00FD67E8" w:rsidRPr="00FD67E8" w:rsidRDefault="00FD67E8" w:rsidP="00FD67E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FD67E8">
        <w:rPr>
          <w:rFonts w:ascii="Times New Roman" w:eastAsia="Times New Roman" w:hAnsi="Times New Roman" w:cs="Times New Roman"/>
          <w:kern w:val="0"/>
          <w:lang w:val="es-CL" w:eastAsia="es-CL"/>
          <w14:ligatures w14:val="none"/>
        </w:rPr>
        <w:t>Deben desarrollarse de manera sistemática, idealmente una o dos veces por semana, en horarios acordados y con compromisos claros de participación.</w:t>
      </w:r>
    </w:p>
    <w:p w14:paraId="54CFF62A" w14:textId="77777777" w:rsidR="00FD67E8" w:rsidRPr="00FD67E8" w:rsidRDefault="00FD67E8" w:rsidP="00FD67E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FD67E8">
        <w:rPr>
          <w:rFonts w:ascii="Times New Roman" w:eastAsia="Times New Roman" w:hAnsi="Times New Roman" w:cs="Times New Roman"/>
          <w:kern w:val="0"/>
          <w:lang w:val="es-CL" w:eastAsia="es-CL"/>
          <w14:ligatures w14:val="none"/>
        </w:rPr>
        <w:t>Requieren procesos institucionales de selección, formación, acompañamiento y evaluación de quienes desempeñan el rol de tutor/a.</w:t>
      </w:r>
    </w:p>
    <w:p w14:paraId="49239455" w14:textId="77777777" w:rsidR="00FD67E8" w:rsidRPr="00FD67E8" w:rsidRDefault="00FD67E8" w:rsidP="00FD67E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FD67E8">
        <w:rPr>
          <w:rFonts w:ascii="Times New Roman" w:eastAsia="Times New Roman" w:hAnsi="Times New Roman" w:cs="Times New Roman"/>
          <w:kern w:val="0"/>
          <w:lang w:val="es-CL" w:eastAsia="es-CL"/>
          <w14:ligatures w14:val="none"/>
        </w:rPr>
        <w:t>La participación de las y los tutores debe ser remunerada o reconocida mediante créditos académicos u otros mecanismos formales.</w:t>
      </w:r>
    </w:p>
    <w:p w14:paraId="74FE4A02" w14:textId="77777777" w:rsidR="00FD67E8" w:rsidRPr="00FD67E8" w:rsidRDefault="00FD67E8" w:rsidP="00FD67E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FD67E8">
        <w:rPr>
          <w:rFonts w:ascii="Times New Roman" w:eastAsia="Times New Roman" w:hAnsi="Times New Roman" w:cs="Times New Roman"/>
          <w:kern w:val="0"/>
          <w:lang w:val="es-CL" w:eastAsia="es-CL"/>
          <w14:ligatures w14:val="none"/>
        </w:rPr>
        <w:t>Es recomendable otorgar un reconocimiento vinculado con la identidad institucional y con el valor formativo de la labor realizada.</w:t>
      </w:r>
    </w:p>
    <w:p w14:paraId="5A6A135B" w14:textId="77777777" w:rsidR="00FD67E8" w:rsidRPr="00FD67E8" w:rsidRDefault="00FD67E8" w:rsidP="00FD67E8">
      <w:pPr>
        <w:numPr>
          <w:ilvl w:val="0"/>
          <w:numId w:val="12"/>
        </w:num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FD67E8">
        <w:rPr>
          <w:rFonts w:ascii="Times New Roman" w:eastAsia="Times New Roman" w:hAnsi="Times New Roman" w:cs="Times New Roman"/>
          <w:kern w:val="0"/>
          <w:lang w:val="es-CL" w:eastAsia="es-CL"/>
          <w14:ligatures w14:val="none"/>
        </w:rPr>
        <w:t>Las tutorías deben contar con mecanismos de registro y seguimiento articulados con los sistemas de monitoreo y alerta temprana.</w:t>
      </w:r>
    </w:p>
    <w:p w14:paraId="571F56AF" w14:textId="70D3971F" w:rsidR="00FC5AF7" w:rsidRPr="00FC5AF7" w:rsidRDefault="00FD67E8" w:rsidP="00FD67E8">
      <w:pPr>
        <w:jc w:val="both"/>
        <w:rPr>
          <w:color w:val="7F7F7F" w:themeColor="text1" w:themeTint="80"/>
          <w:sz w:val="20"/>
          <w:szCs w:val="20"/>
        </w:rPr>
      </w:pPr>
      <w:r w:rsidRPr="00FD67E8">
        <w:rPr>
          <w:rFonts w:ascii="Times New Roman" w:hAnsi="Times New Roman" w:cs="Times New Roman"/>
        </w:rPr>
        <w:t xml:space="preserve">La evidencia muestra una evaluación especialmente positiva de la figura del tutor par, tanto por su dominio disciplinario y sus habilidades pedagógicas como por aspectos asociados a la responsabilidad, la frecuencia de los encuentros y el aprovechamiento del tiempo. Su cercanía favorece formas de enseñanza más horizontales y una participación activa de quienes reciben el apoyo. Además de facilitar el progreso en asignaturas específicas, las tutorías generan efectos que trascienden lo estrictamente académico, al ofrecer orientación vocacional, conocimiento práctico sobre la vida universitaria y acompañamiento en los procesos de integración académica y social </w:t>
      </w:r>
      <w:r w:rsidR="00642C73">
        <w:rPr>
          <w:rFonts w:ascii="Times New Roman" w:hAnsi="Times New Roman" w:cs="Times New Roman"/>
        </w:rPr>
        <w:t>(</w:t>
      </w:r>
      <w:r w:rsidR="00642C73" w:rsidRPr="00642C73">
        <w:rPr>
          <w:rFonts w:ascii="Times New Roman" w:hAnsi="Times New Roman" w:cs="Times New Roman"/>
        </w:rPr>
        <w:t>Lizama et al., 2018).</w:t>
      </w:r>
    </w:p>
    <w:p w14:paraId="7AD384BB"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Mentorías</w:t>
      </w:r>
    </w:p>
    <w:p w14:paraId="1F97E250" w14:textId="77777777" w:rsidR="00FC5AF7" w:rsidRPr="00FC5AF7" w:rsidRDefault="00FC5AF7" w:rsidP="00FD67E8">
      <w:pPr>
        <w:jc w:val="both"/>
        <w:rPr>
          <w:rFonts w:ascii="Times New Roman" w:hAnsi="Times New Roman" w:cs="Times New Roman"/>
        </w:rPr>
      </w:pPr>
      <w:r w:rsidRPr="00FC5AF7">
        <w:rPr>
          <w:rFonts w:ascii="Times New Roman" w:hAnsi="Times New Roman" w:cs="Times New Roman"/>
        </w:rPr>
        <w:t xml:space="preserve">La figura del/a mentor/a implica una experticia mayor que la del tutor par. Mentores/as pueden ser académicos/as, profesionales y/o ex estudiantes. A diferencia del tutor par, las y los mentores desarrollan una labor pedagógica profesional o bien entregan una asesoría </w:t>
      </w:r>
      <w:r w:rsidRPr="00FC5AF7">
        <w:rPr>
          <w:rFonts w:ascii="Times New Roman" w:hAnsi="Times New Roman" w:cs="Times New Roman"/>
        </w:rPr>
        <w:lastRenderedPageBreak/>
        <w:t xml:space="preserve">y acompañamiento para la toma de decisiones. Cuando son desarrolladas por académicos/as u exalumnos de las mismas disciplinas, contienen un importante componente de identidad disciplinaria. Son especialmente recomendables en cursos superiores, para el abordaje de materias más complejas, o para acompañar dudas vocacionales.  Al igual que las tutorías pares, pueden ser realizadas en grupos pequeños o en atención individual y requieren cierta sistematicidad. </w:t>
      </w:r>
    </w:p>
    <w:p w14:paraId="2B7C1FFF"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Talleres</w:t>
      </w:r>
    </w:p>
    <w:p w14:paraId="53E43FB2" w14:textId="2F039892" w:rsidR="00FC5AF7" w:rsidRPr="00FC5AF7" w:rsidRDefault="00FC5AF7" w:rsidP="00FD67E8">
      <w:pPr>
        <w:jc w:val="both"/>
        <w:rPr>
          <w:rFonts w:ascii="Times New Roman" w:hAnsi="Times New Roman" w:cs="Times New Roman"/>
        </w:rPr>
      </w:pPr>
      <w:r w:rsidRPr="00FC5AF7">
        <w:rPr>
          <w:rFonts w:ascii="Times New Roman" w:hAnsi="Times New Roman" w:cs="Times New Roman"/>
        </w:rPr>
        <w:t>Los talleres son sesiones grupales, realizados por tutores/as pares y/o profesionales, en las cuales se abordan contenidos de nivelación, de las asignaturas, y/o mejoramiento de habilidades para el trabajo académico.  Pueden tener una metodología expositiva o participativa. Se distingue de las tutorías y mentorías, en cuanto los talleres son más masivos y menos personalizados. El foco está en los contenidos que se abordan y no en la necesidad particular que requiere cada estudiante. En este sentido, deben estar vinculados a los procesos formativos, ya sea a necesidades de nivelación detectadas o a asignaturas críticas. En cuanto a la sistematicidad, pueden ser sistemáticos y</w:t>
      </w:r>
      <w:r w:rsidR="00FD67E8">
        <w:rPr>
          <w:rFonts w:ascii="Times New Roman" w:hAnsi="Times New Roman" w:cs="Times New Roman"/>
        </w:rPr>
        <w:t>/o</w:t>
      </w:r>
      <w:r w:rsidRPr="00FC5AF7">
        <w:rPr>
          <w:rFonts w:ascii="Times New Roman" w:hAnsi="Times New Roman" w:cs="Times New Roman"/>
        </w:rPr>
        <w:t xml:space="preserve"> emergentes. La participación puede ser intermitente y no requiere un compromiso como en las tutorías pares o mentorías. Los talleres emergentes responden a los sistemas de alerta temprana (que se abordarán más adelante) y abordan contenidos específicos para prepararse para alguna evaluación. Suelen ser muy masivos, ya que los/as estudiantes los incorporan como metodología de estudio. </w:t>
      </w:r>
    </w:p>
    <w:p w14:paraId="3723F687"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Atención individual emergente.</w:t>
      </w:r>
    </w:p>
    <w:p w14:paraId="79B57786" w14:textId="77777777" w:rsidR="00FC5AF7" w:rsidRPr="00FC5AF7" w:rsidRDefault="00FC5AF7" w:rsidP="00FD67E8">
      <w:pPr>
        <w:jc w:val="both"/>
        <w:rPr>
          <w:rFonts w:ascii="Times New Roman" w:hAnsi="Times New Roman" w:cs="Times New Roman"/>
        </w:rPr>
      </w:pPr>
      <w:r w:rsidRPr="00FC5AF7">
        <w:rPr>
          <w:rFonts w:ascii="Times New Roman" w:hAnsi="Times New Roman" w:cs="Times New Roman"/>
        </w:rPr>
        <w:t xml:space="preserve">Desarrollados por tutores, académicos, u otros especialistas, implica hora de atención individual que se ofrecen para necesidades emergentes que se puedan atender en una sola ocasión: responder preguntas específicas; preparación y/o corrección de una prueba; comprensión de ejercicios; redacción de algún informe, entre otros. Pueden ser para una carrera particular; apoyo de asignaturas particulares, o para reforzamiento general. No son sistemáticos, ni requieren un compromiso. Ideal si estas horas de atención son visibles, por ejemplo, tutores que están en una mesa de atención dentro de las unidades académicas o bibliotecas. También pueden ofrecer un sistema de “toma de horas” en línea. </w:t>
      </w:r>
    </w:p>
    <w:p w14:paraId="30C83F8B" w14:textId="77777777" w:rsidR="00FC5AF7" w:rsidRPr="00FD67E8" w:rsidRDefault="00FC5AF7" w:rsidP="00FC5AF7">
      <w:pPr>
        <w:spacing w:line="240" w:lineRule="auto"/>
        <w:jc w:val="both"/>
        <w:rPr>
          <w:rFonts w:ascii="Times New Roman" w:hAnsi="Times New Roman" w:cs="Times New Roman"/>
          <w:b/>
          <w:bCs/>
          <w:i/>
          <w:iCs/>
        </w:rPr>
      </w:pPr>
      <w:r w:rsidRPr="00FD67E8">
        <w:rPr>
          <w:rFonts w:ascii="Times New Roman" w:hAnsi="Times New Roman" w:cs="Times New Roman"/>
          <w:b/>
          <w:bCs/>
          <w:i/>
          <w:iCs/>
        </w:rPr>
        <w:t>Acompañamiento psicosocial y psicoeducativo: prevención, orientación, derivación</w:t>
      </w:r>
    </w:p>
    <w:p w14:paraId="769EBF2B" w14:textId="713A49A5" w:rsidR="00FC5AF7" w:rsidRDefault="00FC5AF7" w:rsidP="00FD67E8">
      <w:pPr>
        <w:jc w:val="both"/>
        <w:rPr>
          <w:rFonts w:ascii="Times New Roman" w:hAnsi="Times New Roman" w:cs="Times New Roman"/>
        </w:rPr>
      </w:pPr>
      <w:r w:rsidRPr="00FC5AF7">
        <w:rPr>
          <w:rFonts w:ascii="Times New Roman" w:hAnsi="Times New Roman" w:cs="Times New Roman"/>
        </w:rPr>
        <w:t xml:space="preserve">El acompañamiento psicosocial y psicoeducativo corresponde a acciones de prevención, orientación y derivación que atienden aspectos vinculados con el bienestar psicosocial, habilidades y recursos personales, autogestión del aprendizaje, manejo de redes, necesidades psicoeducativas y orientación vocacional de los/as estudiantes. Al igual que el acompañamiento académico, corresponden a actividades extra curriculares y </w:t>
      </w:r>
      <w:r w:rsidRPr="00FC5AF7">
        <w:rPr>
          <w:rFonts w:ascii="Times New Roman" w:hAnsi="Times New Roman" w:cs="Times New Roman"/>
        </w:rPr>
        <w:lastRenderedPageBreak/>
        <w:t>voluntarias, a las cuales se accede por focalización, solicitud o derivación.  Implica acciones grupales y/o individuales.</w:t>
      </w:r>
    </w:p>
    <w:p w14:paraId="09727A50" w14:textId="5295C583" w:rsidR="00FD67E8" w:rsidRPr="00FC5AF7" w:rsidRDefault="00FD67E8" w:rsidP="00FD67E8">
      <w:pPr>
        <w:spacing w:line="240" w:lineRule="auto"/>
        <w:jc w:val="both"/>
        <w:rPr>
          <w:rFonts w:ascii="Times New Roman" w:hAnsi="Times New Roman" w:cs="Times New Roman"/>
          <w:i/>
          <w:iCs/>
        </w:rPr>
      </w:pPr>
      <w:r w:rsidRPr="00FC5AF7">
        <w:rPr>
          <w:rFonts w:ascii="Times New Roman" w:hAnsi="Times New Roman" w:cs="Times New Roman"/>
          <w:i/>
          <w:iCs/>
        </w:rPr>
        <w:t xml:space="preserve">Figura </w:t>
      </w:r>
      <w:r>
        <w:rPr>
          <w:rFonts w:ascii="Times New Roman" w:hAnsi="Times New Roman" w:cs="Times New Roman"/>
          <w:i/>
          <w:iCs/>
        </w:rPr>
        <w:t>2</w:t>
      </w:r>
      <w:r w:rsidRPr="00FC5AF7">
        <w:rPr>
          <w:rFonts w:ascii="Times New Roman" w:hAnsi="Times New Roman" w:cs="Times New Roman"/>
          <w:i/>
          <w:iCs/>
        </w:rPr>
        <w:t xml:space="preserve">. </w:t>
      </w:r>
      <w:r w:rsidR="000A79D8">
        <w:rPr>
          <w:rFonts w:ascii="Times New Roman" w:hAnsi="Times New Roman" w:cs="Times New Roman"/>
          <w:i/>
          <w:iCs/>
        </w:rPr>
        <w:t>Acciones</w:t>
      </w:r>
      <w:r>
        <w:rPr>
          <w:rFonts w:ascii="Times New Roman" w:hAnsi="Times New Roman" w:cs="Times New Roman"/>
          <w:i/>
          <w:iCs/>
        </w:rPr>
        <w:t xml:space="preserve"> de a</w:t>
      </w:r>
      <w:r w:rsidRPr="00FD67E8">
        <w:rPr>
          <w:rFonts w:ascii="Times New Roman" w:hAnsi="Times New Roman" w:cs="Times New Roman"/>
          <w:i/>
          <w:iCs/>
        </w:rPr>
        <w:t>compañamiento psicosocial y psicoeducativo</w:t>
      </w:r>
    </w:p>
    <w:p w14:paraId="6428413D" w14:textId="775BBC90" w:rsidR="00FC5AF7" w:rsidRDefault="00FC5AF7" w:rsidP="00FC5AF7">
      <w:pPr>
        <w:spacing w:line="240" w:lineRule="auto"/>
        <w:jc w:val="both"/>
        <w:rPr>
          <w:rFonts w:ascii="Times New Roman" w:hAnsi="Times New Roman" w:cs="Times New Roman"/>
        </w:rPr>
      </w:pPr>
    </w:p>
    <w:p w14:paraId="155DE6BD" w14:textId="0B122F83" w:rsidR="00FC5AF7" w:rsidRDefault="00FC5AF7" w:rsidP="00FC5AF7">
      <w:pPr>
        <w:spacing w:line="240" w:lineRule="auto"/>
        <w:jc w:val="both"/>
        <w:rPr>
          <w:rFonts w:ascii="Times New Roman" w:hAnsi="Times New Roman" w:cs="Times New Roman"/>
        </w:rPr>
      </w:pPr>
      <w:r w:rsidRPr="00E86327">
        <w:rPr>
          <w:noProof/>
          <w:lang w:val="es-CL" w:eastAsia="es-CL"/>
        </w:rPr>
        <w:drawing>
          <wp:inline distT="0" distB="0" distL="0" distR="0" wp14:anchorId="42A15D2E" wp14:editId="4E88781B">
            <wp:extent cx="5400040" cy="3612851"/>
            <wp:effectExtent l="0" t="0" r="6731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171A554" w14:textId="77777777" w:rsidR="00FD67E8" w:rsidRPr="00755A41" w:rsidRDefault="00FD67E8" w:rsidP="00FD67E8">
      <w:pPr>
        <w:jc w:val="both"/>
        <w:rPr>
          <w:sz w:val="18"/>
        </w:rPr>
      </w:pPr>
      <w:r>
        <w:rPr>
          <w:sz w:val="18"/>
        </w:rPr>
        <w:t xml:space="preserve">Fuente: elaboración propia. </w:t>
      </w:r>
    </w:p>
    <w:p w14:paraId="4CE05543" w14:textId="68000BC6" w:rsidR="00FC5AF7" w:rsidRPr="00FD67E8" w:rsidRDefault="00FC5AF7" w:rsidP="00FD67E8">
      <w:pPr>
        <w:spacing w:line="240" w:lineRule="auto"/>
        <w:jc w:val="both"/>
        <w:rPr>
          <w:rFonts w:ascii="Times New Roman" w:hAnsi="Times New Roman" w:cs="Times New Roman"/>
          <w:b/>
          <w:bCs/>
          <w:i/>
          <w:iCs/>
        </w:rPr>
      </w:pPr>
      <w:bookmarkStart w:id="0" w:name="_Toc128256806"/>
      <w:r w:rsidRPr="00FD67E8">
        <w:rPr>
          <w:rFonts w:ascii="Times New Roman" w:hAnsi="Times New Roman" w:cs="Times New Roman"/>
          <w:b/>
          <w:bCs/>
          <w:i/>
          <w:iCs/>
        </w:rPr>
        <w:t>Monitoreo y alerta temp</w:t>
      </w:r>
      <w:r w:rsidR="00642C73">
        <w:rPr>
          <w:rFonts w:ascii="Times New Roman" w:hAnsi="Times New Roman" w:cs="Times New Roman"/>
          <w:b/>
          <w:bCs/>
          <w:i/>
          <w:iCs/>
        </w:rPr>
        <w:t>r</w:t>
      </w:r>
      <w:r w:rsidRPr="00FD67E8">
        <w:rPr>
          <w:rFonts w:ascii="Times New Roman" w:hAnsi="Times New Roman" w:cs="Times New Roman"/>
          <w:b/>
          <w:bCs/>
          <w:i/>
          <w:iCs/>
        </w:rPr>
        <w:t>ana</w:t>
      </w:r>
      <w:bookmarkEnd w:id="0"/>
    </w:p>
    <w:p w14:paraId="409B8ACD" w14:textId="77777777" w:rsidR="00FC5AF7" w:rsidRDefault="00FC5AF7" w:rsidP="00FC5AF7">
      <w:pPr>
        <w:jc w:val="both"/>
        <w:rPr>
          <w:lang w:val="es-CL"/>
        </w:rPr>
      </w:pPr>
      <w:r w:rsidRPr="00FD67E8">
        <w:rPr>
          <w:rFonts w:ascii="Times New Roman" w:hAnsi="Times New Roman" w:cs="Times New Roman"/>
        </w:rPr>
        <w:t>Para que el acompañamiento estudiantil sea efectivo, es fundamental mantener sistemas de monitoreo y alerta temprana que permita disponer de información de las situaciones individuales de los estudiantes, en los ámbitos académicos, personales y sociales, de manera de implementar los acompañamientos y apoyos necesarios con prontitud. La información que otorga el diagnóstico, sólo facilita el diseño inicial del acompañamiento académico, es el sistema de monitoreo el que permite diseñar las respuestas adecuadas para los/as estudiantes que lo requieren. El objetivo es detectar de manera temprana las variables que pueden impactar en la permanencia de los estudiantes y la activación de los dispositivos para su atención. Además, permite observar si las acciones realizadas están cumpliendo sus propósitos y si es necesario realizar cambios. En estos términos, el monitoreo otorga información sobre los alcances del sistema de acompañamiento estudiantil, por lo tanto, para su sustentabilidad es esencial que las universidades mantengan estos registros.</w:t>
      </w:r>
    </w:p>
    <w:p w14:paraId="2A28BDD4" w14:textId="680756EC" w:rsidR="00FC5AF7" w:rsidRPr="00FD67E8" w:rsidRDefault="00FC5AF7" w:rsidP="00FC5AF7">
      <w:pPr>
        <w:jc w:val="both"/>
        <w:rPr>
          <w:rFonts w:ascii="Times New Roman" w:hAnsi="Times New Roman" w:cs="Times New Roman"/>
        </w:rPr>
      </w:pPr>
      <w:r w:rsidRPr="00FD67E8">
        <w:rPr>
          <w:rFonts w:ascii="Times New Roman" w:hAnsi="Times New Roman" w:cs="Times New Roman"/>
        </w:rPr>
        <w:lastRenderedPageBreak/>
        <w:t>Es importante señalar es estos sistemas no implican necesariamente un</w:t>
      </w:r>
      <w:r w:rsidR="00FD67E8">
        <w:rPr>
          <w:rFonts w:ascii="Times New Roman" w:hAnsi="Times New Roman" w:cs="Times New Roman"/>
        </w:rPr>
        <w:t>a plataforma</w:t>
      </w:r>
      <w:r w:rsidRPr="00FD67E8">
        <w:rPr>
          <w:rFonts w:ascii="Times New Roman" w:hAnsi="Times New Roman" w:cs="Times New Roman"/>
        </w:rPr>
        <w:t xml:space="preserve"> de manejo de datos. Si bien es necesario que las universidades puedan mantener organizada la información, como las calificaciones y datos de ingreso, para el acompañamiento estudiantil lo fundamental es conocer esa información con prontitud. El sistema de gestión de datos no será útil si entrega información tardía. Lo recomendable es mantener sistemas de seguimiento que permitan no solo conocer las calificaciones o datos de entrada, sino también la asistencia a clases, a los dispositivos de atención y acompañamiento, y otros elementos más subjetivos que puedan </w:t>
      </w:r>
      <w:proofErr w:type="spellStart"/>
      <w:r w:rsidRPr="00FD67E8">
        <w:rPr>
          <w:rFonts w:ascii="Times New Roman" w:hAnsi="Times New Roman" w:cs="Times New Roman"/>
        </w:rPr>
        <w:t>autorreportar</w:t>
      </w:r>
      <w:proofErr w:type="spellEnd"/>
      <w:r w:rsidRPr="00FD67E8">
        <w:rPr>
          <w:rFonts w:ascii="Times New Roman" w:hAnsi="Times New Roman" w:cs="Times New Roman"/>
        </w:rPr>
        <w:t xml:space="preserve"> los estudiantes, sus docentes, tutores y mentores, de tal manera que se constituyan sistemas fluidos de alerta y derivación entre todos estos actores. </w:t>
      </w:r>
      <w:r w:rsidR="00FD67E8">
        <w:rPr>
          <w:rFonts w:ascii="Times New Roman" w:hAnsi="Times New Roman" w:cs="Times New Roman"/>
        </w:rPr>
        <w:t xml:space="preserve">En este sentido, la </w:t>
      </w:r>
      <w:proofErr w:type="spellStart"/>
      <w:r w:rsidR="00FD67E8">
        <w:rPr>
          <w:rFonts w:ascii="Times New Roman" w:hAnsi="Times New Roman" w:cs="Times New Roman"/>
        </w:rPr>
        <w:t>interoperatividad</w:t>
      </w:r>
      <w:proofErr w:type="spellEnd"/>
      <w:r w:rsidR="00FD67E8">
        <w:rPr>
          <w:rFonts w:ascii="Times New Roman" w:hAnsi="Times New Roman" w:cs="Times New Roman"/>
        </w:rPr>
        <w:t xml:space="preserve"> de los registros y datos internos es muy relevante. </w:t>
      </w:r>
    </w:p>
    <w:p w14:paraId="12CE0BCB" w14:textId="4292C074"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144B7EC7" w14:textId="77777777" w:rsidR="006D1DE5" w:rsidRPr="006D1DE5" w:rsidRDefault="006D1DE5" w:rsidP="006D1DE5">
      <w:pPr>
        <w:jc w:val="both"/>
        <w:rPr>
          <w:rFonts w:ascii="Times New Roman" w:hAnsi="Times New Roman" w:cs="Times New Roman"/>
        </w:rPr>
      </w:pPr>
      <w:r w:rsidRPr="006D1DE5">
        <w:rPr>
          <w:rFonts w:ascii="Times New Roman" w:hAnsi="Times New Roman" w:cs="Times New Roman"/>
        </w:rPr>
        <w:t>El análisis desarrollado permite sostener que el principal desafío de la inclusión en educación superior ya no consiste únicamente en ampliar las oportunidades de ingreso, sino en generar condiciones efectivas para que estudiantes con trayectorias, experiencias y necesidades diversas puedan permanecer, progresar, graduarse y transitar hacia el mundo laboral. La masificación ha transformado la composición del estudiantado, pero no ha eliminado las desigualdades que atraviesan sus procesos formativos. En algunos casos, estas desigualdades se mantienen o adquieren nuevas expresiones una vez producido el ingreso a la universidad.</w:t>
      </w:r>
    </w:p>
    <w:p w14:paraId="75B2413A" w14:textId="77777777" w:rsidR="006D1DE5" w:rsidRPr="006D1DE5" w:rsidRDefault="006D1DE5" w:rsidP="006D1DE5">
      <w:pPr>
        <w:jc w:val="both"/>
        <w:rPr>
          <w:rFonts w:ascii="Times New Roman" w:hAnsi="Times New Roman" w:cs="Times New Roman"/>
        </w:rPr>
      </w:pPr>
      <w:r w:rsidRPr="006D1DE5">
        <w:rPr>
          <w:rFonts w:ascii="Times New Roman" w:hAnsi="Times New Roman" w:cs="Times New Roman"/>
        </w:rPr>
        <w:t>La clasificación propuesta muestra que los riesgos asociados al rezago, la interrupción y el abandono no pueden explicarse exclusivamente a partir de las características individuales de las y los estudiantes. Las condiciones psicosociales y psicoeducativas interactúan con prácticas pedagógicas, estructuras curriculares, capacidades institucionales y marcos de política pública. Las figuras del estudiante en desventaja, el aula expulsora, el programa de obstáculos, la universidad indiferente y el Estado ausente permiten representar estas distintas dimensiones y desplazar el análisis desde una perspectiva centrada en el déficit individual hacia una comprensión relacional y sistémica de las trayectorias.</w:t>
      </w:r>
    </w:p>
    <w:p w14:paraId="2CDFFD37" w14:textId="77777777" w:rsidR="006D1DE5" w:rsidRPr="006D1DE5" w:rsidRDefault="006D1DE5" w:rsidP="006D1DE5">
      <w:pPr>
        <w:jc w:val="both"/>
        <w:rPr>
          <w:rFonts w:ascii="Times New Roman" w:hAnsi="Times New Roman" w:cs="Times New Roman"/>
        </w:rPr>
      </w:pPr>
      <w:r w:rsidRPr="006D1DE5">
        <w:rPr>
          <w:rFonts w:ascii="Times New Roman" w:hAnsi="Times New Roman" w:cs="Times New Roman"/>
        </w:rPr>
        <w:t xml:space="preserve">Desde esta perspectiva, un factor de riesgo no constituye una causa lineal ni conduce necesariamente al abandono. Su impacto depende de la forma en que se acumula con otras dificultades y, especialmente, de la capacidad de las instituciones para reconocerlo y responder de manera oportuna. Una brecha formativa previa puede ser contenida mediante prácticas pedagógicas inclusivas y apoyos académicos pertinentes, pero también puede intensificarse cuando se combina con evaluaciones poco formativas, currículos rígidos, falta de seguimiento o ausencia de recursos institucionales. La </w:t>
      </w:r>
      <w:r w:rsidRPr="006D1DE5">
        <w:rPr>
          <w:rFonts w:ascii="Times New Roman" w:hAnsi="Times New Roman" w:cs="Times New Roman"/>
        </w:rPr>
        <w:lastRenderedPageBreak/>
        <w:t>trayectoria es, por tanto, el resultado de una interacción continua entre las condiciones del estudiantado y los entornos en los que se desarrolla la experiencia universitaria.</w:t>
      </w:r>
    </w:p>
    <w:p w14:paraId="6CA78F55" w14:textId="51034BE4" w:rsidR="006D1DE5" w:rsidRPr="006D1DE5" w:rsidRDefault="006D1DE5" w:rsidP="006D1DE5">
      <w:pPr>
        <w:jc w:val="both"/>
        <w:rPr>
          <w:rFonts w:ascii="Times New Roman" w:hAnsi="Times New Roman" w:cs="Times New Roman"/>
        </w:rPr>
      </w:pPr>
      <w:r w:rsidRPr="006D1DE5">
        <w:rPr>
          <w:rFonts w:ascii="Times New Roman" w:hAnsi="Times New Roman" w:cs="Times New Roman"/>
        </w:rPr>
        <w:t>Los mecanismos examinados</w:t>
      </w:r>
      <w:r>
        <w:rPr>
          <w:rFonts w:ascii="Times New Roman" w:hAnsi="Times New Roman" w:cs="Times New Roman"/>
        </w:rPr>
        <w:t xml:space="preserve">: </w:t>
      </w:r>
      <w:r w:rsidRPr="006D1DE5">
        <w:rPr>
          <w:rFonts w:ascii="Times New Roman" w:hAnsi="Times New Roman" w:cs="Times New Roman"/>
        </w:rPr>
        <w:t>inducción, inclusión temprana, diagnóstico, acompañamiento académico, apoyo psicosocial y psicoeducativo, monitoreo y alerta temprana</w:t>
      </w:r>
      <w:r>
        <w:rPr>
          <w:rFonts w:ascii="Times New Roman" w:hAnsi="Times New Roman" w:cs="Times New Roman"/>
        </w:rPr>
        <w:t xml:space="preserve">, </w:t>
      </w:r>
      <w:r w:rsidRPr="006D1DE5">
        <w:rPr>
          <w:rFonts w:ascii="Times New Roman" w:hAnsi="Times New Roman" w:cs="Times New Roman"/>
        </w:rPr>
        <w:t>muestran que las universidades chilenas han desarrollado capacidades relevantes para responder a esta complejidad. Sin embargo, su sola existencia no garantiza un acompañamiento efectivo. Su impacto depende de la oportunidad de las intervenciones, su cobertura, continuidad, articulación con las unidades académicas y capacidad para traducir la información disponible en decisiones y apoyos concretos. El diagnóstico pierde sentido si no genera acciones; la alerta temprana resulta insuficiente si no activa respuestas; y las tutorías o apoyos psicosociales tienen un alcance limitado cuando funcionan de manera aislada respecto de la docencia y el currículo.</w:t>
      </w:r>
    </w:p>
    <w:p w14:paraId="7ACAC519" w14:textId="77777777" w:rsidR="006D1DE5" w:rsidRPr="006D1DE5" w:rsidRDefault="006D1DE5" w:rsidP="006D1DE5">
      <w:pPr>
        <w:jc w:val="both"/>
        <w:rPr>
          <w:rFonts w:ascii="Times New Roman" w:hAnsi="Times New Roman" w:cs="Times New Roman"/>
        </w:rPr>
      </w:pPr>
      <w:r w:rsidRPr="006D1DE5">
        <w:rPr>
          <w:rFonts w:ascii="Times New Roman" w:hAnsi="Times New Roman" w:cs="Times New Roman"/>
        </w:rPr>
        <w:t>Uno de los principales riesgos consiste, precisamente, en concebir el acompañamiento como una innovación periférica destinada a compensar las supuestas carencias del estudiantado sin modificar las condiciones institucionales que producen o profundizan las dificultades. Los mecanismos extracurriculares son necesarios, pero no pueden transformarse en circuitos paralelos encargados de adaptar a las y los estudiantes a estructuras educativas inalteradas. Su efectividad requiere articularse con transformaciones pedagógicas, flexibilización curricular, revisión de asignaturas críticas, fortalecimiento de los procesos de finalización y generación de condiciones institucionales que permitan compatibilizar los estudios con la diversidad de situaciones vitales.</w:t>
      </w:r>
    </w:p>
    <w:p w14:paraId="051E4768" w14:textId="77777777" w:rsidR="006D1DE5" w:rsidRPr="006D1DE5" w:rsidRDefault="006D1DE5" w:rsidP="006D1DE5">
      <w:pPr>
        <w:jc w:val="both"/>
        <w:rPr>
          <w:rFonts w:ascii="Times New Roman" w:hAnsi="Times New Roman" w:cs="Times New Roman"/>
        </w:rPr>
      </w:pPr>
      <w:r w:rsidRPr="006D1DE5">
        <w:rPr>
          <w:rFonts w:ascii="Times New Roman" w:hAnsi="Times New Roman" w:cs="Times New Roman"/>
        </w:rPr>
        <w:t>Asimismo, los sistemas de acompañamiento deben superar la concentración casi exclusiva en el primer año. Aunque el ingreso constituye un momento crítico, las dificultades cambian a medida que avanza la trayectoria: dudas vocacionales, acumulación de asignaturas pendientes, prácticas profesionales, procesos de titulación y transición hacia el trabajo demandan apoyos específicos. Acompañar la trayectoria supone, en consecuencia, construir una arquitectura institucional capaz de combinar acciones universales y focalizadas, preventivas y reactivas, individuales y colectivas, desde la matrícula hasta la graduación.</w:t>
      </w:r>
    </w:p>
    <w:p w14:paraId="544B704F" w14:textId="003B8FF4" w:rsidR="00BC236F" w:rsidRPr="00BA642E" w:rsidRDefault="006D1DE5" w:rsidP="006D1DE5">
      <w:pPr>
        <w:jc w:val="both"/>
        <w:rPr>
          <w:rFonts w:ascii="Times New Roman" w:hAnsi="Times New Roman" w:cs="Times New Roman"/>
        </w:rPr>
      </w:pPr>
      <w:r w:rsidRPr="006D1DE5">
        <w:rPr>
          <w:rFonts w:ascii="Times New Roman" w:hAnsi="Times New Roman" w:cs="Times New Roman"/>
        </w:rPr>
        <w:t xml:space="preserve">Finalmente, la permanencia no puede ser responsabilidad exclusiva del estudiante ni de los equipos especializados. Requiere una corresponsabilidad que involucre a autoridades, unidades académicas, docentes, equipos profesionales, organizaciones estudiantiles y organismos públicos. También demanda financiamiento estable, sistemas interoperables de información y una mayor incorporación de la progresión, la graduación y la titulación oportuna dentro de las políticas y criterios de calidad. La inclusión efectiva debe evaluarse no sólo por quiénes logran ingresar, sino por las oportunidades reales que encuentran para </w:t>
      </w:r>
      <w:r w:rsidRPr="006D1DE5">
        <w:rPr>
          <w:rFonts w:ascii="Times New Roman" w:hAnsi="Times New Roman" w:cs="Times New Roman"/>
        </w:rPr>
        <w:lastRenderedPageBreak/>
        <w:t>aprender, participar, avanzar y culminar sus estudios. El tránsito desde el acceso hacia la permanencia implica, en definitiva, reconocer que el derecho a la educación superior no se satisface al abrir la puerta de entrada, sino al garantizar condiciones justas para recorrer y completar la trayectoria.</w:t>
      </w:r>
    </w:p>
    <w:p w14:paraId="39B57161" w14:textId="32C7A589" w:rsidR="005F3B2E" w:rsidRPr="00FD67E8"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1E3E4810"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Brunner, J.-J. (2012). La idea de universidad en tiempos de masificación. </w:t>
      </w:r>
      <w:r w:rsidRPr="00EA258B">
        <w:rPr>
          <w:rFonts w:ascii="Times New Roman" w:hAnsi="Times New Roman" w:cs="Times New Roman"/>
          <w:i/>
          <w:iCs/>
        </w:rPr>
        <w:t>Revista Iberoamericana de Educación Superior, 3</w:t>
      </w:r>
      <w:r w:rsidRPr="00EA258B">
        <w:rPr>
          <w:rFonts w:ascii="Times New Roman" w:hAnsi="Times New Roman" w:cs="Times New Roman"/>
        </w:rPr>
        <w:t>(7), 130–143. DOI: 10.22201/iisue.20072872e.2012.7.69</w:t>
      </w:r>
    </w:p>
    <w:p w14:paraId="565F3F0A"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Brunner, J. J., &amp; Labraña, J. (2018). </w:t>
      </w:r>
      <w:r w:rsidRPr="00EA258B">
        <w:rPr>
          <w:rFonts w:ascii="Times New Roman" w:hAnsi="Times New Roman" w:cs="Times New Roman"/>
          <w:i/>
          <w:iCs/>
        </w:rPr>
        <w:t>Financiamiento de la educación superior, gratuidad y proyecto de nuevo crédito estudiantil</w:t>
      </w:r>
      <w:r w:rsidRPr="00EA258B">
        <w:rPr>
          <w:rFonts w:ascii="Times New Roman" w:hAnsi="Times New Roman" w:cs="Times New Roman"/>
        </w:rPr>
        <w:t xml:space="preserve">. </w:t>
      </w:r>
      <w:r w:rsidRPr="00EA258B">
        <w:rPr>
          <w:rFonts w:ascii="Times New Roman" w:hAnsi="Times New Roman" w:cs="Times New Roman"/>
          <w:i/>
          <w:iCs/>
        </w:rPr>
        <w:t>Debates de Política Pública</w:t>
      </w:r>
      <w:r w:rsidRPr="00EA258B">
        <w:rPr>
          <w:rFonts w:ascii="Times New Roman" w:hAnsi="Times New Roman" w:cs="Times New Roman"/>
        </w:rPr>
        <w:t>, (31), 1–26. Centro de Estudios Públicos.</w:t>
      </w:r>
    </w:p>
    <w:p w14:paraId="1F024970"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Casanova Cruz, D. (2015). </w:t>
      </w:r>
      <w:r w:rsidRPr="00EA258B">
        <w:rPr>
          <w:rFonts w:ascii="Times New Roman" w:hAnsi="Times New Roman" w:cs="Times New Roman"/>
          <w:i/>
          <w:iCs/>
        </w:rPr>
        <w:t>Entre el pago y el mérito: Admisión estudiantil e inclusión social en las universidades chilenas</w:t>
      </w:r>
      <w:r w:rsidRPr="00EA258B">
        <w:rPr>
          <w:rFonts w:ascii="Times New Roman" w:hAnsi="Times New Roman" w:cs="Times New Roman"/>
        </w:rPr>
        <w:t>. Ediciones Universidad Diego Portales.</w:t>
      </w:r>
    </w:p>
    <w:p w14:paraId="35C80942"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Centro Interuniversitario de Desarrollo [CINDA] &amp; Instituto Internacional para la Educación Superior en América Latina y el Caribe [IESALC]. (2006). </w:t>
      </w:r>
      <w:r w:rsidRPr="00EA258B">
        <w:rPr>
          <w:rFonts w:ascii="Times New Roman" w:hAnsi="Times New Roman" w:cs="Times New Roman"/>
          <w:i/>
          <w:iCs/>
        </w:rPr>
        <w:t>Repitencia y deserción universitaria en América Latina</w:t>
      </w:r>
      <w:r w:rsidRPr="00EA258B">
        <w:rPr>
          <w:rFonts w:ascii="Times New Roman" w:hAnsi="Times New Roman" w:cs="Times New Roman"/>
        </w:rPr>
        <w:t>. CINDA/IESALC-UNESCO.</w:t>
      </w:r>
    </w:p>
    <w:p w14:paraId="5617EBF6" w14:textId="77777777" w:rsidR="006D1DE5" w:rsidRPr="00EA258B" w:rsidRDefault="006D1DE5" w:rsidP="00EA258B">
      <w:pPr>
        <w:jc w:val="both"/>
        <w:rPr>
          <w:rFonts w:ascii="Times New Roman" w:hAnsi="Times New Roman" w:cs="Times New Roman"/>
        </w:rPr>
      </w:pPr>
      <w:proofErr w:type="spellStart"/>
      <w:r w:rsidRPr="00EA258B">
        <w:rPr>
          <w:rFonts w:ascii="Times New Roman" w:hAnsi="Times New Roman" w:cs="Times New Roman"/>
        </w:rPr>
        <w:t>Chiroleu</w:t>
      </w:r>
      <w:proofErr w:type="spellEnd"/>
      <w:r w:rsidRPr="00EA258B">
        <w:rPr>
          <w:rFonts w:ascii="Times New Roman" w:hAnsi="Times New Roman" w:cs="Times New Roman"/>
        </w:rPr>
        <w:t xml:space="preserve">, A. (2018). Democratización e inclusión en la universidad argentina: Sus alcances durante los gobiernos Kirchner (2003–2015). </w:t>
      </w:r>
      <w:proofErr w:type="spellStart"/>
      <w:r w:rsidRPr="00EA258B">
        <w:rPr>
          <w:rFonts w:ascii="Times New Roman" w:hAnsi="Times New Roman" w:cs="Times New Roman"/>
          <w:i/>
          <w:iCs/>
        </w:rPr>
        <w:t>Educação</w:t>
      </w:r>
      <w:proofErr w:type="spellEnd"/>
      <w:r w:rsidRPr="00EA258B">
        <w:rPr>
          <w:rFonts w:ascii="Times New Roman" w:hAnsi="Times New Roman" w:cs="Times New Roman"/>
          <w:i/>
          <w:iCs/>
        </w:rPr>
        <w:t xml:space="preserve"> em Revista, 34</w:t>
      </w:r>
      <w:r w:rsidRPr="00EA258B">
        <w:rPr>
          <w:rFonts w:ascii="Times New Roman" w:hAnsi="Times New Roman" w:cs="Times New Roman"/>
        </w:rPr>
        <w:t>, e176003. DOI: 10.1590/0102-4698176003</w:t>
      </w:r>
    </w:p>
    <w:p w14:paraId="6EC4250A"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Cifuentes Gómez, G., Guzmán, P., &amp; Santelices, M. V. (2022). </w:t>
      </w:r>
      <w:r w:rsidRPr="00EA258B">
        <w:rPr>
          <w:rFonts w:ascii="Times New Roman" w:hAnsi="Times New Roman" w:cs="Times New Roman"/>
          <w:i/>
          <w:iCs/>
        </w:rPr>
        <w:t>Transición a la educación superior: Expectativas y realidades de los estudiantes</w:t>
      </w:r>
      <w:r w:rsidRPr="00EA258B">
        <w:rPr>
          <w:rFonts w:ascii="Times New Roman" w:hAnsi="Times New Roman" w:cs="Times New Roman"/>
        </w:rPr>
        <w:t xml:space="preserve"> (</w:t>
      </w:r>
      <w:proofErr w:type="spellStart"/>
      <w:r w:rsidRPr="00EA258B">
        <w:rPr>
          <w:rFonts w:ascii="Times New Roman" w:hAnsi="Times New Roman" w:cs="Times New Roman"/>
        </w:rPr>
        <w:t>Policy</w:t>
      </w:r>
      <w:proofErr w:type="spellEnd"/>
      <w:r w:rsidRPr="00EA258B">
        <w:rPr>
          <w:rFonts w:ascii="Times New Roman" w:hAnsi="Times New Roman" w:cs="Times New Roman"/>
        </w:rPr>
        <w:t xml:space="preserve"> </w:t>
      </w:r>
      <w:proofErr w:type="spellStart"/>
      <w:r w:rsidRPr="00EA258B">
        <w:rPr>
          <w:rFonts w:ascii="Times New Roman" w:hAnsi="Times New Roman" w:cs="Times New Roman"/>
        </w:rPr>
        <w:t>Brief</w:t>
      </w:r>
      <w:proofErr w:type="spellEnd"/>
      <w:r w:rsidRPr="00EA258B">
        <w:rPr>
          <w:rFonts w:ascii="Times New Roman" w:hAnsi="Times New Roman" w:cs="Times New Roman"/>
        </w:rPr>
        <w:t xml:space="preserve"> N.º 10). Núcleo Milenio Experiencia Estudiantil en Educación Superior.</w:t>
      </w:r>
    </w:p>
    <w:p w14:paraId="75CDE751" w14:textId="77777777" w:rsidR="006D1DE5" w:rsidRPr="00EA258B" w:rsidRDefault="006D1DE5" w:rsidP="00EA258B">
      <w:pPr>
        <w:jc w:val="both"/>
        <w:rPr>
          <w:rFonts w:ascii="Times New Roman" w:hAnsi="Times New Roman" w:cs="Times New Roman"/>
        </w:rPr>
      </w:pPr>
      <w:proofErr w:type="spellStart"/>
      <w:r w:rsidRPr="00EA258B">
        <w:rPr>
          <w:rFonts w:ascii="Times New Roman" w:hAnsi="Times New Roman" w:cs="Times New Roman"/>
        </w:rPr>
        <w:t>Engstrom</w:t>
      </w:r>
      <w:proofErr w:type="spellEnd"/>
      <w:r w:rsidRPr="00EA258B">
        <w:rPr>
          <w:rFonts w:ascii="Times New Roman" w:hAnsi="Times New Roman" w:cs="Times New Roman"/>
        </w:rPr>
        <w:t xml:space="preserve">, C., &amp; Tinto, V. (2008). Access </w:t>
      </w:r>
      <w:proofErr w:type="spellStart"/>
      <w:r w:rsidRPr="00EA258B">
        <w:rPr>
          <w:rFonts w:ascii="Times New Roman" w:hAnsi="Times New Roman" w:cs="Times New Roman"/>
        </w:rPr>
        <w:t>without</w:t>
      </w:r>
      <w:proofErr w:type="spellEnd"/>
      <w:r w:rsidRPr="00EA258B">
        <w:rPr>
          <w:rFonts w:ascii="Times New Roman" w:hAnsi="Times New Roman" w:cs="Times New Roman"/>
        </w:rPr>
        <w:t xml:space="preserve"> </w:t>
      </w:r>
      <w:proofErr w:type="spellStart"/>
      <w:r w:rsidRPr="00EA258B">
        <w:rPr>
          <w:rFonts w:ascii="Times New Roman" w:hAnsi="Times New Roman" w:cs="Times New Roman"/>
        </w:rPr>
        <w:t>support</w:t>
      </w:r>
      <w:proofErr w:type="spellEnd"/>
      <w:r w:rsidRPr="00EA258B">
        <w:rPr>
          <w:rFonts w:ascii="Times New Roman" w:hAnsi="Times New Roman" w:cs="Times New Roman"/>
        </w:rPr>
        <w:t xml:space="preserve"> </w:t>
      </w:r>
      <w:proofErr w:type="spellStart"/>
      <w:r w:rsidRPr="00EA258B">
        <w:rPr>
          <w:rFonts w:ascii="Times New Roman" w:hAnsi="Times New Roman" w:cs="Times New Roman"/>
        </w:rPr>
        <w:t>is</w:t>
      </w:r>
      <w:proofErr w:type="spellEnd"/>
      <w:r w:rsidRPr="00EA258B">
        <w:rPr>
          <w:rFonts w:ascii="Times New Roman" w:hAnsi="Times New Roman" w:cs="Times New Roman"/>
        </w:rPr>
        <w:t xml:space="preserve"> </w:t>
      </w:r>
      <w:proofErr w:type="spellStart"/>
      <w:r w:rsidRPr="00EA258B">
        <w:rPr>
          <w:rFonts w:ascii="Times New Roman" w:hAnsi="Times New Roman" w:cs="Times New Roman"/>
        </w:rPr>
        <w:t>not</w:t>
      </w:r>
      <w:proofErr w:type="spellEnd"/>
      <w:r w:rsidRPr="00EA258B">
        <w:rPr>
          <w:rFonts w:ascii="Times New Roman" w:hAnsi="Times New Roman" w:cs="Times New Roman"/>
        </w:rPr>
        <w:t xml:space="preserve"> </w:t>
      </w:r>
      <w:proofErr w:type="spellStart"/>
      <w:r w:rsidRPr="00EA258B">
        <w:rPr>
          <w:rFonts w:ascii="Times New Roman" w:hAnsi="Times New Roman" w:cs="Times New Roman"/>
        </w:rPr>
        <w:t>opportunity</w:t>
      </w:r>
      <w:proofErr w:type="spellEnd"/>
      <w:r w:rsidRPr="00EA258B">
        <w:rPr>
          <w:rFonts w:ascii="Times New Roman" w:hAnsi="Times New Roman" w:cs="Times New Roman"/>
        </w:rPr>
        <w:t xml:space="preserve">. </w:t>
      </w:r>
      <w:r w:rsidRPr="00EA258B">
        <w:rPr>
          <w:rFonts w:ascii="Times New Roman" w:hAnsi="Times New Roman" w:cs="Times New Roman"/>
          <w:i/>
          <w:iCs/>
        </w:rPr>
        <w:t xml:space="preserve">Change: </w:t>
      </w:r>
      <w:proofErr w:type="spellStart"/>
      <w:r w:rsidRPr="00EA258B">
        <w:rPr>
          <w:rFonts w:ascii="Times New Roman" w:hAnsi="Times New Roman" w:cs="Times New Roman"/>
          <w:i/>
          <w:iCs/>
        </w:rPr>
        <w:t>The</w:t>
      </w:r>
      <w:proofErr w:type="spellEnd"/>
      <w:r w:rsidRPr="00EA258B">
        <w:rPr>
          <w:rFonts w:ascii="Times New Roman" w:hAnsi="Times New Roman" w:cs="Times New Roman"/>
          <w:i/>
          <w:iCs/>
        </w:rPr>
        <w:t xml:space="preserve"> Magazine </w:t>
      </w:r>
      <w:proofErr w:type="spellStart"/>
      <w:r w:rsidRPr="00EA258B">
        <w:rPr>
          <w:rFonts w:ascii="Times New Roman" w:hAnsi="Times New Roman" w:cs="Times New Roman"/>
          <w:i/>
          <w:iCs/>
        </w:rPr>
        <w:t>of</w:t>
      </w:r>
      <w:proofErr w:type="spellEnd"/>
      <w:r w:rsidRPr="00EA258B">
        <w:rPr>
          <w:rFonts w:ascii="Times New Roman" w:hAnsi="Times New Roman" w:cs="Times New Roman"/>
          <w:i/>
          <w:iCs/>
        </w:rPr>
        <w:t xml:space="preserve"> </w:t>
      </w:r>
      <w:proofErr w:type="spellStart"/>
      <w:r w:rsidRPr="00EA258B">
        <w:rPr>
          <w:rFonts w:ascii="Times New Roman" w:hAnsi="Times New Roman" w:cs="Times New Roman"/>
          <w:i/>
          <w:iCs/>
        </w:rPr>
        <w:t>Higher</w:t>
      </w:r>
      <w:proofErr w:type="spellEnd"/>
      <w:r w:rsidRPr="00EA258B">
        <w:rPr>
          <w:rFonts w:ascii="Times New Roman" w:hAnsi="Times New Roman" w:cs="Times New Roman"/>
          <w:i/>
          <w:iCs/>
        </w:rPr>
        <w:t xml:space="preserve"> </w:t>
      </w:r>
      <w:proofErr w:type="spellStart"/>
      <w:r w:rsidRPr="00EA258B">
        <w:rPr>
          <w:rFonts w:ascii="Times New Roman" w:hAnsi="Times New Roman" w:cs="Times New Roman"/>
          <w:i/>
          <w:iCs/>
        </w:rPr>
        <w:t>Learning</w:t>
      </w:r>
      <w:proofErr w:type="spellEnd"/>
      <w:r w:rsidRPr="00EA258B">
        <w:rPr>
          <w:rFonts w:ascii="Times New Roman" w:hAnsi="Times New Roman" w:cs="Times New Roman"/>
          <w:i/>
          <w:iCs/>
        </w:rPr>
        <w:t>, 40</w:t>
      </w:r>
      <w:r w:rsidRPr="00EA258B">
        <w:rPr>
          <w:rFonts w:ascii="Times New Roman" w:hAnsi="Times New Roman" w:cs="Times New Roman"/>
        </w:rPr>
        <w:t>(1), 46–50. DOI: 10.3200/CHNG.40.1.46-50</w:t>
      </w:r>
    </w:p>
    <w:p w14:paraId="773003D6"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Ezcurra, A. M., </w:t>
      </w:r>
      <w:proofErr w:type="spellStart"/>
      <w:r w:rsidRPr="00EA258B">
        <w:rPr>
          <w:rFonts w:ascii="Times New Roman" w:hAnsi="Times New Roman" w:cs="Times New Roman"/>
        </w:rPr>
        <w:t>Feeney</w:t>
      </w:r>
      <w:proofErr w:type="spellEnd"/>
      <w:r w:rsidRPr="00EA258B">
        <w:rPr>
          <w:rFonts w:ascii="Times New Roman" w:hAnsi="Times New Roman" w:cs="Times New Roman"/>
        </w:rPr>
        <w:t xml:space="preserve">, S., </w:t>
      </w:r>
      <w:proofErr w:type="spellStart"/>
      <w:r w:rsidRPr="00EA258B">
        <w:rPr>
          <w:rFonts w:ascii="Times New Roman" w:hAnsi="Times New Roman" w:cs="Times New Roman"/>
        </w:rPr>
        <w:t>Grandoli</w:t>
      </w:r>
      <w:proofErr w:type="spellEnd"/>
      <w:r w:rsidRPr="00EA258B">
        <w:rPr>
          <w:rFonts w:ascii="Times New Roman" w:hAnsi="Times New Roman" w:cs="Times New Roman"/>
        </w:rPr>
        <w:t xml:space="preserve">, M. E., Marquina, M., </w:t>
      </w:r>
      <w:proofErr w:type="spellStart"/>
      <w:r w:rsidRPr="00EA258B">
        <w:rPr>
          <w:rFonts w:ascii="Times New Roman" w:hAnsi="Times New Roman" w:cs="Times New Roman"/>
        </w:rPr>
        <w:t>Pegasano</w:t>
      </w:r>
      <w:proofErr w:type="spellEnd"/>
      <w:r w:rsidRPr="00EA258B">
        <w:rPr>
          <w:rFonts w:ascii="Times New Roman" w:hAnsi="Times New Roman" w:cs="Times New Roman"/>
        </w:rPr>
        <w:t xml:space="preserve">, E., </w:t>
      </w:r>
      <w:proofErr w:type="spellStart"/>
      <w:r w:rsidRPr="00EA258B">
        <w:rPr>
          <w:rFonts w:ascii="Times New Roman" w:hAnsi="Times New Roman" w:cs="Times New Roman"/>
        </w:rPr>
        <w:t>Rosica</w:t>
      </w:r>
      <w:proofErr w:type="spellEnd"/>
      <w:r w:rsidRPr="00EA258B">
        <w:rPr>
          <w:rFonts w:ascii="Times New Roman" w:hAnsi="Times New Roman" w:cs="Times New Roman"/>
        </w:rPr>
        <w:t xml:space="preserve">, M., &amp; Sosa, Y. (2011). </w:t>
      </w:r>
      <w:r w:rsidRPr="00EA258B">
        <w:rPr>
          <w:rFonts w:ascii="Times New Roman" w:hAnsi="Times New Roman" w:cs="Times New Roman"/>
          <w:i/>
          <w:iCs/>
        </w:rPr>
        <w:t>Admisión a la universidad y selectividad social: Cuando la democratización es más que un problema de “ingresos”</w:t>
      </w:r>
      <w:r w:rsidRPr="00EA258B">
        <w:rPr>
          <w:rFonts w:ascii="Times New Roman" w:hAnsi="Times New Roman" w:cs="Times New Roman"/>
        </w:rPr>
        <w:t xml:space="preserve"> (N. </w:t>
      </w:r>
      <w:proofErr w:type="spellStart"/>
      <w:r w:rsidRPr="00EA258B">
        <w:rPr>
          <w:rFonts w:ascii="Times New Roman" w:hAnsi="Times New Roman" w:cs="Times New Roman"/>
        </w:rPr>
        <w:t>Gluz</w:t>
      </w:r>
      <w:proofErr w:type="spellEnd"/>
      <w:r w:rsidRPr="00EA258B">
        <w:rPr>
          <w:rFonts w:ascii="Times New Roman" w:hAnsi="Times New Roman" w:cs="Times New Roman"/>
        </w:rPr>
        <w:t>, Ed.). Universidad Nacional de General Sarmiento.</w:t>
      </w:r>
    </w:p>
    <w:p w14:paraId="08101ADD"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Ezcurra, A. M. (2015). </w:t>
      </w:r>
      <w:r w:rsidRPr="00EA258B">
        <w:rPr>
          <w:rFonts w:ascii="Times New Roman" w:hAnsi="Times New Roman" w:cs="Times New Roman"/>
          <w:i/>
          <w:iCs/>
        </w:rPr>
        <w:t>Calidad e inclusión en educación superior</w:t>
      </w:r>
      <w:r w:rsidRPr="00EA258B">
        <w:rPr>
          <w:rFonts w:ascii="Times New Roman" w:hAnsi="Times New Roman" w:cs="Times New Roman"/>
        </w:rPr>
        <w:t xml:space="preserve"> [Conferencia]. Facultad de Ciencias Económicas, Universidad Nacional de La Plata.</w:t>
      </w:r>
    </w:p>
    <w:p w14:paraId="6CE335F9"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García de </w:t>
      </w:r>
      <w:proofErr w:type="spellStart"/>
      <w:r w:rsidRPr="00EA258B">
        <w:rPr>
          <w:rFonts w:ascii="Times New Roman" w:hAnsi="Times New Roman" w:cs="Times New Roman"/>
        </w:rPr>
        <w:t>Fanelli</w:t>
      </w:r>
      <w:proofErr w:type="spellEnd"/>
      <w:r w:rsidRPr="00EA258B">
        <w:rPr>
          <w:rFonts w:ascii="Times New Roman" w:hAnsi="Times New Roman" w:cs="Times New Roman"/>
        </w:rPr>
        <w:t xml:space="preserve">, A. M. (2014). Inclusión social en la educación superior argentina: Indicadores y políticas en torno al acceso y a la graduación. </w:t>
      </w:r>
      <w:r w:rsidRPr="00EA258B">
        <w:rPr>
          <w:rFonts w:ascii="Times New Roman" w:hAnsi="Times New Roman" w:cs="Times New Roman"/>
          <w:i/>
          <w:iCs/>
        </w:rPr>
        <w:t>Páginas de Educación, 7</w:t>
      </w:r>
      <w:r w:rsidRPr="00EA258B">
        <w:rPr>
          <w:rFonts w:ascii="Times New Roman" w:hAnsi="Times New Roman" w:cs="Times New Roman"/>
        </w:rPr>
        <w:t>(2), 275–297.</w:t>
      </w:r>
    </w:p>
    <w:p w14:paraId="639A794E"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lastRenderedPageBreak/>
        <w:t xml:space="preserve">Gil, F. J., &amp; Rahmer, B. (2016). Inclusión y ampliar oportunidades. En I. Sánchez (Ed.), </w:t>
      </w:r>
      <w:r w:rsidRPr="00EA258B">
        <w:rPr>
          <w:rFonts w:ascii="Times New Roman" w:hAnsi="Times New Roman" w:cs="Times New Roman"/>
          <w:i/>
          <w:iCs/>
        </w:rPr>
        <w:t>Ideas en educación: Reflexiones y propuestas desde la UC</w:t>
      </w:r>
      <w:r w:rsidRPr="00EA258B">
        <w:rPr>
          <w:rFonts w:ascii="Times New Roman" w:hAnsi="Times New Roman" w:cs="Times New Roman"/>
        </w:rPr>
        <w:t xml:space="preserve"> (pp. 369–396). Ediciones UC.</w:t>
      </w:r>
    </w:p>
    <w:p w14:paraId="382C9C3F"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Lizama, O., Gil, F. J., &amp; Rahmer, B. (2018). </w:t>
      </w:r>
      <w:r w:rsidRPr="00EA258B">
        <w:rPr>
          <w:rFonts w:ascii="Times New Roman" w:hAnsi="Times New Roman" w:cs="Times New Roman"/>
          <w:i/>
          <w:iCs/>
        </w:rPr>
        <w:t>La experiencia de la inclusión en la educación superior en Chile</w:t>
      </w:r>
      <w:r w:rsidRPr="00EA258B">
        <w:rPr>
          <w:rFonts w:ascii="Times New Roman" w:hAnsi="Times New Roman" w:cs="Times New Roman"/>
        </w:rPr>
        <w:t xml:space="preserve"> (2.ª ed.). Editorial Universidad de Santiago de Chile.</w:t>
      </w:r>
    </w:p>
    <w:p w14:paraId="227300D8" w14:textId="77777777" w:rsidR="006D1DE5" w:rsidRPr="00EA258B" w:rsidRDefault="006D1DE5" w:rsidP="00EA258B">
      <w:pPr>
        <w:jc w:val="both"/>
        <w:rPr>
          <w:rFonts w:ascii="Times New Roman" w:hAnsi="Times New Roman" w:cs="Times New Roman"/>
        </w:rPr>
      </w:pPr>
      <w:proofErr w:type="spellStart"/>
      <w:r w:rsidRPr="00EA258B">
        <w:rPr>
          <w:rFonts w:ascii="Times New Roman" w:hAnsi="Times New Roman" w:cs="Times New Roman"/>
        </w:rPr>
        <w:t>Maccagno</w:t>
      </w:r>
      <w:proofErr w:type="spellEnd"/>
      <w:r w:rsidRPr="00EA258B">
        <w:rPr>
          <w:rFonts w:ascii="Times New Roman" w:hAnsi="Times New Roman" w:cs="Times New Roman"/>
        </w:rPr>
        <w:t xml:space="preserve">, A., </w:t>
      </w:r>
      <w:proofErr w:type="spellStart"/>
      <w:r w:rsidRPr="00EA258B">
        <w:rPr>
          <w:rFonts w:ascii="Times New Roman" w:hAnsi="Times New Roman" w:cs="Times New Roman"/>
        </w:rPr>
        <w:t>Mangeaud</w:t>
      </w:r>
      <w:proofErr w:type="spellEnd"/>
      <w:r w:rsidRPr="00EA258B">
        <w:rPr>
          <w:rFonts w:ascii="Times New Roman" w:hAnsi="Times New Roman" w:cs="Times New Roman"/>
        </w:rPr>
        <w:t xml:space="preserve">, A., </w:t>
      </w:r>
      <w:proofErr w:type="spellStart"/>
      <w:r w:rsidRPr="00EA258B">
        <w:rPr>
          <w:rFonts w:ascii="Times New Roman" w:hAnsi="Times New Roman" w:cs="Times New Roman"/>
        </w:rPr>
        <w:t>Somazzi</w:t>
      </w:r>
      <w:proofErr w:type="spellEnd"/>
      <w:r w:rsidRPr="00EA258B">
        <w:rPr>
          <w:rFonts w:ascii="Times New Roman" w:hAnsi="Times New Roman" w:cs="Times New Roman"/>
        </w:rPr>
        <w:t xml:space="preserve">, C., &amp; </w:t>
      </w:r>
      <w:proofErr w:type="spellStart"/>
      <w:r w:rsidRPr="00EA258B">
        <w:rPr>
          <w:rFonts w:ascii="Times New Roman" w:hAnsi="Times New Roman" w:cs="Times New Roman"/>
        </w:rPr>
        <w:t>Esbry</w:t>
      </w:r>
      <w:proofErr w:type="spellEnd"/>
      <w:r w:rsidRPr="00EA258B">
        <w:rPr>
          <w:rFonts w:ascii="Times New Roman" w:hAnsi="Times New Roman" w:cs="Times New Roman"/>
        </w:rPr>
        <w:t xml:space="preserve">, N. (2017). </w:t>
      </w:r>
      <w:r w:rsidRPr="00EA258B">
        <w:rPr>
          <w:rFonts w:ascii="Times New Roman" w:hAnsi="Times New Roman" w:cs="Times New Roman"/>
          <w:i/>
          <w:iCs/>
        </w:rPr>
        <w:t>La deserción estudiantil en el primer año de la universidad</w:t>
      </w:r>
      <w:r w:rsidRPr="00EA258B">
        <w:rPr>
          <w:rFonts w:ascii="Times New Roman" w:hAnsi="Times New Roman" w:cs="Times New Roman"/>
        </w:rPr>
        <w:t>. Universidad Nacional de Córdoba.</w:t>
      </w:r>
    </w:p>
    <w:p w14:paraId="30F41DC9" w14:textId="356C51D1" w:rsidR="006D1DE5" w:rsidRPr="00EA258B" w:rsidRDefault="006D1DE5" w:rsidP="00EA258B">
      <w:pPr>
        <w:jc w:val="both"/>
        <w:rPr>
          <w:rFonts w:ascii="Times New Roman" w:hAnsi="Times New Roman" w:cs="Times New Roman"/>
        </w:rPr>
      </w:pPr>
      <w:r w:rsidRPr="00EA258B">
        <w:rPr>
          <w:rFonts w:ascii="Times New Roman" w:hAnsi="Times New Roman" w:cs="Times New Roman"/>
        </w:rPr>
        <w:t>Ministerio de Educación. (202</w:t>
      </w:r>
      <w:r w:rsidR="00642C73" w:rsidRPr="00EA258B">
        <w:rPr>
          <w:rFonts w:ascii="Times New Roman" w:hAnsi="Times New Roman" w:cs="Times New Roman"/>
        </w:rPr>
        <w:t>5</w:t>
      </w:r>
      <w:r w:rsidRPr="00EA258B">
        <w:rPr>
          <w:rFonts w:ascii="Times New Roman" w:hAnsi="Times New Roman" w:cs="Times New Roman"/>
        </w:rPr>
        <w:t xml:space="preserve">). </w:t>
      </w:r>
      <w:r w:rsidRPr="00EA258B">
        <w:rPr>
          <w:rFonts w:ascii="Times New Roman" w:hAnsi="Times New Roman" w:cs="Times New Roman"/>
          <w:i/>
          <w:iCs/>
        </w:rPr>
        <w:t>Instituciones de Educación Superior PACE: Admisión 20</w:t>
      </w:r>
      <w:r w:rsidR="00642C73" w:rsidRPr="00EA258B">
        <w:rPr>
          <w:rFonts w:ascii="Times New Roman" w:hAnsi="Times New Roman" w:cs="Times New Roman"/>
          <w:i/>
          <w:iCs/>
        </w:rPr>
        <w:t>27</w:t>
      </w:r>
      <w:r w:rsidRPr="00EA258B">
        <w:rPr>
          <w:rFonts w:ascii="Times New Roman" w:hAnsi="Times New Roman" w:cs="Times New Roman"/>
        </w:rPr>
        <w:t>. Subsecretaría de Educación Superior.</w:t>
      </w:r>
      <w:r w:rsidR="00642C73" w:rsidRPr="00EA258B">
        <w:rPr>
          <w:rFonts w:ascii="Times New Roman" w:hAnsi="Times New Roman" w:cs="Times New Roman"/>
        </w:rPr>
        <w:t xml:space="preserve"> En: </w:t>
      </w:r>
      <w:hyperlink r:id="rId17" w:history="1">
        <w:r w:rsidR="00642C73" w:rsidRPr="00EA258B">
          <w:rPr>
            <w:rFonts w:ascii="Times New Roman" w:hAnsi="Times New Roman" w:cs="Times New Roman"/>
          </w:rPr>
          <w:t>https://acceso.mineduc.cl/admision-universidades-2023/portal-pace/</w:t>
        </w:r>
      </w:hyperlink>
      <w:r w:rsidR="00642C73" w:rsidRPr="00EA258B">
        <w:rPr>
          <w:rFonts w:ascii="Times New Roman" w:hAnsi="Times New Roman" w:cs="Times New Roman"/>
        </w:rPr>
        <w:t xml:space="preserve"> </w:t>
      </w:r>
    </w:p>
    <w:p w14:paraId="20276E28"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Moris, E., &amp; Rahmer, B. (2014). Orientación psicosocial para estudiantes de alto rendimiento en contexto: Un modelo en desarrollo. En </w:t>
      </w:r>
      <w:r w:rsidRPr="00EA258B">
        <w:rPr>
          <w:rFonts w:ascii="Times New Roman" w:hAnsi="Times New Roman" w:cs="Times New Roman"/>
          <w:i/>
          <w:iCs/>
        </w:rPr>
        <w:t>IV Conferencia Latinoamericana sobre el Abandono en la Educación Superior (CLABES)</w:t>
      </w:r>
      <w:r w:rsidRPr="00EA258B">
        <w:rPr>
          <w:rFonts w:ascii="Times New Roman" w:hAnsi="Times New Roman" w:cs="Times New Roman"/>
        </w:rPr>
        <w:t>.</w:t>
      </w:r>
    </w:p>
    <w:p w14:paraId="23B9A89C"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Programa de Acceso Inclusivo, Equidad y Permanencia de la Universidad de Santiago de Chile [PAIEP-USACH]. (2016). </w:t>
      </w:r>
      <w:r w:rsidRPr="00EA258B">
        <w:rPr>
          <w:rFonts w:ascii="Times New Roman" w:hAnsi="Times New Roman" w:cs="Times New Roman"/>
          <w:i/>
          <w:iCs/>
        </w:rPr>
        <w:t>Aprendizajes del Programa de Acceso Inclusivo, Equidad y Permanencia 2012–2015</w:t>
      </w:r>
      <w:r w:rsidRPr="00EA258B">
        <w:rPr>
          <w:rFonts w:ascii="Times New Roman" w:hAnsi="Times New Roman" w:cs="Times New Roman"/>
        </w:rPr>
        <w:t xml:space="preserve"> (R. Miranda, Ed.). LOM Ediciones.</w:t>
      </w:r>
    </w:p>
    <w:p w14:paraId="2486255E"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Rahmer, B., Miranda, R., &amp; Gil, F. J. (2013). Programa de Acceso Inclusivo, Equidad y Permanencia de la Universidad de Santiago de Chile: Una política universitaria de acción afirmativa. En </w:t>
      </w:r>
      <w:r w:rsidRPr="00EA258B">
        <w:rPr>
          <w:rFonts w:ascii="Times New Roman" w:hAnsi="Times New Roman" w:cs="Times New Roman"/>
          <w:i/>
          <w:iCs/>
        </w:rPr>
        <w:t>III Conferencia Latinoamericana sobre el Abandono en la Educación Superior (CLABES)</w:t>
      </w:r>
      <w:r w:rsidRPr="00EA258B">
        <w:rPr>
          <w:rFonts w:ascii="Times New Roman" w:hAnsi="Times New Roman" w:cs="Times New Roman"/>
        </w:rPr>
        <w:t>.</w:t>
      </w:r>
    </w:p>
    <w:p w14:paraId="49543F92"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Silva Laya, M., &amp; Rodríguez, A. (2012). </w:t>
      </w:r>
      <w:r w:rsidRPr="00EA258B">
        <w:rPr>
          <w:rFonts w:ascii="Times New Roman" w:hAnsi="Times New Roman" w:cs="Times New Roman"/>
          <w:i/>
          <w:iCs/>
        </w:rPr>
        <w:t>El primer año universitario entre jóvenes provenientes de sectores de pobreza: Un asunto de equidad</w:t>
      </w:r>
      <w:r w:rsidRPr="00EA258B">
        <w:rPr>
          <w:rFonts w:ascii="Times New Roman" w:hAnsi="Times New Roman" w:cs="Times New Roman"/>
        </w:rPr>
        <w:t>. Asociación Nacional de Universidades e Instituciones de Educación Superior.</w:t>
      </w:r>
    </w:p>
    <w:p w14:paraId="40179543"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Subsecretaría de Educación Superior. (2025). </w:t>
      </w:r>
      <w:r w:rsidRPr="00EA258B">
        <w:rPr>
          <w:rFonts w:ascii="Times New Roman" w:hAnsi="Times New Roman" w:cs="Times New Roman"/>
          <w:i/>
          <w:iCs/>
        </w:rPr>
        <w:t>Matrícula en educación superior en Chile 2025</w:t>
      </w:r>
      <w:r w:rsidRPr="00EA258B">
        <w:rPr>
          <w:rFonts w:ascii="Times New Roman" w:hAnsi="Times New Roman" w:cs="Times New Roman"/>
        </w:rPr>
        <w:t>. Ministerio de Educación.</w:t>
      </w:r>
    </w:p>
    <w:p w14:paraId="63C60148"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Tinto, V. (2017). </w:t>
      </w:r>
      <w:r w:rsidRPr="00EA258B">
        <w:rPr>
          <w:rFonts w:ascii="Times New Roman" w:hAnsi="Times New Roman" w:cs="Times New Roman"/>
          <w:i/>
          <w:iCs/>
        </w:rPr>
        <w:t>Completando la universidad: Repensando la acción institucional</w:t>
      </w:r>
      <w:r w:rsidRPr="00EA258B">
        <w:rPr>
          <w:rFonts w:ascii="Times New Roman" w:hAnsi="Times New Roman" w:cs="Times New Roman"/>
        </w:rPr>
        <w:t xml:space="preserve"> (S. </w:t>
      </w:r>
      <w:proofErr w:type="spellStart"/>
      <w:r w:rsidRPr="00EA258B">
        <w:rPr>
          <w:rFonts w:ascii="Times New Roman" w:hAnsi="Times New Roman" w:cs="Times New Roman"/>
        </w:rPr>
        <w:t>Mastrangelo</w:t>
      </w:r>
      <w:proofErr w:type="spellEnd"/>
      <w:r w:rsidRPr="00EA258B">
        <w:rPr>
          <w:rFonts w:ascii="Times New Roman" w:hAnsi="Times New Roman" w:cs="Times New Roman"/>
        </w:rPr>
        <w:t>, Trad.). Universidad de Palermo.</w:t>
      </w:r>
    </w:p>
    <w:p w14:paraId="3E2C0E1C"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UNESCO IESALC. (2020). </w:t>
      </w:r>
      <w:r w:rsidRPr="00EA258B">
        <w:rPr>
          <w:rFonts w:ascii="Times New Roman" w:hAnsi="Times New Roman" w:cs="Times New Roman"/>
          <w:i/>
          <w:iCs/>
        </w:rPr>
        <w:t>Hacia el acceso universal a la educación superior: Tendencias internacionales</w:t>
      </w:r>
      <w:r w:rsidRPr="00EA258B">
        <w:rPr>
          <w:rFonts w:ascii="Times New Roman" w:hAnsi="Times New Roman" w:cs="Times New Roman"/>
        </w:rPr>
        <w:t>.</w:t>
      </w:r>
    </w:p>
    <w:p w14:paraId="3B2611AD" w14:textId="77777777" w:rsidR="006D1DE5" w:rsidRPr="00EA258B" w:rsidRDefault="006D1DE5" w:rsidP="00EA258B">
      <w:pPr>
        <w:jc w:val="both"/>
        <w:rPr>
          <w:rFonts w:ascii="Times New Roman" w:hAnsi="Times New Roman" w:cs="Times New Roman"/>
        </w:rPr>
      </w:pPr>
      <w:r w:rsidRPr="00EA258B">
        <w:rPr>
          <w:rFonts w:ascii="Times New Roman" w:hAnsi="Times New Roman" w:cs="Times New Roman"/>
        </w:rPr>
        <w:t xml:space="preserve">Vergara, M., Villarroel, T., &amp; Carpentier, S. (2021). </w:t>
      </w:r>
      <w:r w:rsidRPr="00EA258B">
        <w:rPr>
          <w:rFonts w:ascii="Times New Roman" w:hAnsi="Times New Roman" w:cs="Times New Roman"/>
          <w:i/>
          <w:iCs/>
        </w:rPr>
        <w:t>Matrícula de primer año en educación superior 2021</w:t>
      </w:r>
      <w:r w:rsidRPr="00EA258B">
        <w:rPr>
          <w:rFonts w:ascii="Times New Roman" w:hAnsi="Times New Roman" w:cs="Times New Roman"/>
        </w:rPr>
        <w:t>. Acción Educar.</w:t>
      </w:r>
    </w:p>
    <w:p w14:paraId="556D21A6" w14:textId="7882DC24" w:rsidR="00FC5AF7" w:rsidRPr="00BA642E" w:rsidRDefault="00FC5AF7" w:rsidP="00EA258B">
      <w:pPr>
        <w:jc w:val="both"/>
        <w:rPr>
          <w:rFonts w:ascii="Times New Roman" w:hAnsi="Times New Roman" w:cs="Times New Roman"/>
        </w:rPr>
      </w:pPr>
    </w:p>
    <w:sectPr w:rsidR="00FC5AF7"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5499" w14:textId="77777777" w:rsidR="00EA155F" w:rsidRPr="00BA642E" w:rsidRDefault="00EA155F" w:rsidP="00C802F5">
      <w:pPr>
        <w:spacing w:after="0" w:line="240" w:lineRule="auto"/>
      </w:pPr>
      <w:r w:rsidRPr="00BA642E">
        <w:separator/>
      </w:r>
    </w:p>
  </w:endnote>
  <w:endnote w:type="continuationSeparator" w:id="0">
    <w:p w14:paraId="02BB8778" w14:textId="77777777" w:rsidR="00EA155F" w:rsidRPr="00BA642E" w:rsidRDefault="00EA155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F25BE" w14:textId="77777777" w:rsidR="00EA155F" w:rsidRPr="00BA642E" w:rsidRDefault="00EA155F" w:rsidP="00C802F5">
      <w:pPr>
        <w:spacing w:after="0" w:line="240" w:lineRule="auto"/>
      </w:pPr>
      <w:r w:rsidRPr="00BA642E">
        <w:separator/>
      </w:r>
    </w:p>
  </w:footnote>
  <w:footnote w:type="continuationSeparator" w:id="0">
    <w:p w14:paraId="0CF64DA2" w14:textId="77777777" w:rsidR="00EA155F" w:rsidRPr="00BA642E" w:rsidRDefault="00EA155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3B6"/>
    <w:multiLevelType w:val="hybridMultilevel"/>
    <w:tmpl w:val="F50C6D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8D37E3F"/>
    <w:multiLevelType w:val="hybridMultilevel"/>
    <w:tmpl w:val="08CAA0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DE76E28"/>
    <w:multiLevelType w:val="multilevel"/>
    <w:tmpl w:val="6450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A11A8"/>
    <w:multiLevelType w:val="hybridMultilevel"/>
    <w:tmpl w:val="31AE5C60"/>
    <w:lvl w:ilvl="0" w:tplc="340A0001">
      <w:start w:val="1"/>
      <w:numFmt w:val="bullet"/>
      <w:lvlText w:val=""/>
      <w:lvlJc w:val="left"/>
      <w:pPr>
        <w:ind w:left="1777"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AB650B3"/>
    <w:multiLevelType w:val="hybridMultilevel"/>
    <w:tmpl w:val="56C4031C"/>
    <w:lvl w:ilvl="0" w:tplc="2270786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69E0C13"/>
    <w:multiLevelType w:val="hybridMultilevel"/>
    <w:tmpl w:val="D8FCD4C0"/>
    <w:lvl w:ilvl="0" w:tplc="2270786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1CB46E6"/>
    <w:multiLevelType w:val="hybridMultilevel"/>
    <w:tmpl w:val="72688DEA"/>
    <w:lvl w:ilvl="0" w:tplc="2270786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23641EC"/>
    <w:multiLevelType w:val="hybridMultilevel"/>
    <w:tmpl w:val="9E40A7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48153D6"/>
    <w:multiLevelType w:val="hybridMultilevel"/>
    <w:tmpl w:val="E940F8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8F6434D"/>
    <w:multiLevelType w:val="hybridMultilevel"/>
    <w:tmpl w:val="347614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C67631E"/>
    <w:multiLevelType w:val="hybridMultilevel"/>
    <w:tmpl w:val="9BCE99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61C921BD"/>
    <w:multiLevelType w:val="hybridMultilevel"/>
    <w:tmpl w:val="EFF427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3602FEE"/>
    <w:multiLevelType w:val="hybridMultilevel"/>
    <w:tmpl w:val="F37428D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4F73547"/>
    <w:multiLevelType w:val="hybridMultilevel"/>
    <w:tmpl w:val="30B4E3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A976A76"/>
    <w:multiLevelType w:val="hybridMultilevel"/>
    <w:tmpl w:val="6DE452E4"/>
    <w:lvl w:ilvl="0" w:tplc="2270786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5627E37"/>
    <w:multiLevelType w:val="hybridMultilevel"/>
    <w:tmpl w:val="C310BC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79B30AD3"/>
    <w:multiLevelType w:val="multilevel"/>
    <w:tmpl w:val="D6CC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10"/>
  </w:num>
  <w:num w:numId="4">
    <w:abstractNumId w:val="0"/>
  </w:num>
  <w:num w:numId="5">
    <w:abstractNumId w:val="15"/>
  </w:num>
  <w:num w:numId="6">
    <w:abstractNumId w:val="3"/>
  </w:num>
  <w:num w:numId="7">
    <w:abstractNumId w:val="12"/>
  </w:num>
  <w:num w:numId="8">
    <w:abstractNumId w:val="9"/>
  </w:num>
  <w:num w:numId="9">
    <w:abstractNumId w:val="1"/>
  </w:num>
  <w:num w:numId="10">
    <w:abstractNumId w:val="8"/>
  </w:num>
  <w:num w:numId="11">
    <w:abstractNumId w:val="11"/>
  </w:num>
  <w:num w:numId="12">
    <w:abstractNumId w:val="16"/>
  </w:num>
  <w:num w:numId="13">
    <w:abstractNumId w:val="14"/>
  </w:num>
  <w:num w:numId="14">
    <w:abstractNumId w:val="5"/>
  </w:num>
  <w:num w:numId="15">
    <w:abstractNumId w:val="6"/>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3756"/>
    <w:rsid w:val="00077AE3"/>
    <w:rsid w:val="000A79D8"/>
    <w:rsid w:val="000D4CA6"/>
    <w:rsid w:val="001816D6"/>
    <w:rsid w:val="00185F5E"/>
    <w:rsid w:val="001923DC"/>
    <w:rsid w:val="001F7C4E"/>
    <w:rsid w:val="002327C3"/>
    <w:rsid w:val="00281681"/>
    <w:rsid w:val="00312392"/>
    <w:rsid w:val="003441C8"/>
    <w:rsid w:val="004040C0"/>
    <w:rsid w:val="00437E9C"/>
    <w:rsid w:val="0049728E"/>
    <w:rsid w:val="00550766"/>
    <w:rsid w:val="00584AEA"/>
    <w:rsid w:val="005F3B2E"/>
    <w:rsid w:val="00642C73"/>
    <w:rsid w:val="006D1DE5"/>
    <w:rsid w:val="00701F64"/>
    <w:rsid w:val="00734F5F"/>
    <w:rsid w:val="00771C5A"/>
    <w:rsid w:val="00785FCB"/>
    <w:rsid w:val="007B5B5F"/>
    <w:rsid w:val="007D233B"/>
    <w:rsid w:val="0085070B"/>
    <w:rsid w:val="009041F9"/>
    <w:rsid w:val="00A17247"/>
    <w:rsid w:val="00B16B48"/>
    <w:rsid w:val="00B67540"/>
    <w:rsid w:val="00BA642E"/>
    <w:rsid w:val="00BC236F"/>
    <w:rsid w:val="00BF63DB"/>
    <w:rsid w:val="00C802F5"/>
    <w:rsid w:val="00C96B2C"/>
    <w:rsid w:val="00CC04C1"/>
    <w:rsid w:val="00D843EC"/>
    <w:rsid w:val="00DB2B83"/>
    <w:rsid w:val="00EA155F"/>
    <w:rsid w:val="00EA258B"/>
    <w:rsid w:val="00EA3CF6"/>
    <w:rsid w:val="00EB3F84"/>
    <w:rsid w:val="00FC5AF7"/>
    <w:rsid w:val="00FD67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pdq2pgselectionanchorcontainer">
    <w:name w:val="pdq2pg_selectionanchorcontainer"/>
    <w:basedOn w:val="Normal"/>
    <w:rsid w:val="00B16B48"/>
    <w:pPr>
      <w:spacing w:before="100" w:beforeAutospacing="1" w:after="100" w:afterAutospacing="1" w:line="240" w:lineRule="auto"/>
    </w:pPr>
    <w:rPr>
      <w:rFonts w:ascii="Times New Roman" w:eastAsia="Times New Roman" w:hAnsi="Times New Roman" w:cs="Times New Roman"/>
      <w:kern w:val="0"/>
      <w:lang w:val="es-CL" w:eastAsia="es-CL"/>
      <w14:ligatures w14:val="none"/>
    </w:rPr>
  </w:style>
  <w:style w:type="paragraph" w:styleId="NormalWeb">
    <w:name w:val="Normal (Web)"/>
    <w:basedOn w:val="Normal"/>
    <w:uiPriority w:val="99"/>
    <w:semiHidden/>
    <w:unhideWhenUsed/>
    <w:rsid w:val="00B16B48"/>
    <w:pPr>
      <w:spacing w:before="100" w:beforeAutospacing="1" w:after="100" w:afterAutospacing="1" w:line="240" w:lineRule="auto"/>
    </w:pPr>
    <w:rPr>
      <w:rFonts w:ascii="Times New Roman" w:eastAsia="Times New Roman" w:hAnsi="Times New Roman" w:cs="Times New Roman"/>
      <w:kern w:val="0"/>
      <w:lang w:val="es-CL" w:eastAsia="es-CL"/>
      <w14:ligatures w14:val="none"/>
    </w:rPr>
  </w:style>
  <w:style w:type="character" w:styleId="Textoennegrita">
    <w:name w:val="Strong"/>
    <w:basedOn w:val="Fuentedeprrafopredeter"/>
    <w:uiPriority w:val="22"/>
    <w:qFormat/>
    <w:rsid w:val="00B16B48"/>
    <w:rPr>
      <w:b/>
      <w:bCs/>
    </w:rPr>
  </w:style>
  <w:style w:type="character" w:styleId="nfasis">
    <w:name w:val="Emphasis"/>
    <w:basedOn w:val="Fuentedeprrafopredeter"/>
    <w:uiPriority w:val="20"/>
    <w:qFormat/>
    <w:rsid w:val="006D1D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900669">
      <w:bodyDiv w:val="1"/>
      <w:marLeft w:val="0"/>
      <w:marRight w:val="0"/>
      <w:marTop w:val="0"/>
      <w:marBottom w:val="0"/>
      <w:divBdr>
        <w:top w:val="none" w:sz="0" w:space="0" w:color="auto"/>
        <w:left w:val="none" w:sz="0" w:space="0" w:color="auto"/>
        <w:bottom w:val="none" w:sz="0" w:space="0" w:color="auto"/>
        <w:right w:val="none" w:sz="0" w:space="0" w:color="auto"/>
      </w:divBdr>
    </w:div>
    <w:div w:id="20872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https://acceso.mineduc.cl/admision-universidades-2023/portal-pace/"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AD7C37-D074-452C-8AAD-157D537983BE}" type="doc">
      <dgm:prSet loTypeId="urn:microsoft.com/office/officeart/2009/3/layout/PieProcess" loCatId="process" qsTypeId="urn:microsoft.com/office/officeart/2005/8/quickstyle/simple1" qsCatId="simple" csTypeId="urn:microsoft.com/office/officeart/2005/8/colors/accent1_2" csCatId="accent1" phldr="1"/>
      <dgm:spPr/>
      <dgm:t>
        <a:bodyPr/>
        <a:lstStyle/>
        <a:p>
          <a:endParaRPr lang="es-ES"/>
        </a:p>
      </dgm:t>
    </dgm:pt>
    <dgm:pt modelId="{3EF437DC-B7D7-4912-A389-99153A282086}">
      <dgm:prSet phldrT="[Texto]" custT="1"/>
      <dgm:spPr/>
      <dgm:t>
        <a:bodyPr/>
        <a:lstStyle/>
        <a:p>
          <a:r>
            <a:rPr lang="es-ES" sz="1200">
              <a:latin typeface="Times New Roman" panose="02020603050405020304" pitchFamily="18" charset="0"/>
              <a:cs typeface="Times New Roman" panose="02020603050405020304" pitchFamily="18" charset="0"/>
            </a:rPr>
            <a:t>1° y 2° año</a:t>
          </a:r>
        </a:p>
      </dgm:t>
    </dgm:pt>
    <dgm:pt modelId="{3985CC91-D36D-4F44-B715-27B254255915}" type="parTrans" cxnId="{95C7F76B-D8C9-4432-8D9D-F592BC6E515E}">
      <dgm:prSet/>
      <dgm:spPr/>
      <dgm:t>
        <a:bodyPr/>
        <a:lstStyle/>
        <a:p>
          <a:endParaRPr lang="es-ES">
            <a:latin typeface="Times New Roman" panose="02020603050405020304" pitchFamily="18" charset="0"/>
            <a:cs typeface="Times New Roman" panose="02020603050405020304" pitchFamily="18" charset="0"/>
          </a:endParaRPr>
        </a:p>
      </dgm:t>
    </dgm:pt>
    <dgm:pt modelId="{9BE1B510-78B5-4680-B46E-8B47301C5BB9}" type="sibTrans" cxnId="{95C7F76B-D8C9-4432-8D9D-F592BC6E515E}">
      <dgm:prSet/>
      <dgm:spPr/>
      <dgm:t>
        <a:bodyPr/>
        <a:lstStyle/>
        <a:p>
          <a:endParaRPr lang="es-ES">
            <a:latin typeface="Times New Roman" panose="02020603050405020304" pitchFamily="18" charset="0"/>
            <a:cs typeface="Times New Roman" panose="02020603050405020304" pitchFamily="18" charset="0"/>
          </a:endParaRPr>
        </a:p>
      </dgm:t>
    </dgm:pt>
    <dgm:pt modelId="{87E466D6-AC31-432A-85CF-B96F04C4C02A}">
      <dgm:prSet phldrT="[Texto]"/>
      <dgm:spPr/>
      <dgm:t>
        <a:bodyPr/>
        <a:lstStyle/>
        <a:p>
          <a:r>
            <a:rPr lang="es-ES">
              <a:latin typeface="Times New Roman" panose="02020603050405020304" pitchFamily="18" charset="0"/>
              <a:cs typeface="Times New Roman" panose="02020603050405020304" pitchFamily="18" charset="0"/>
            </a:rPr>
            <a:t>Adaptabilidad e identidad institucional </a:t>
          </a:r>
        </a:p>
        <a:p>
          <a:r>
            <a:rPr lang="es-ES">
              <a:latin typeface="Times New Roman" panose="02020603050405020304" pitchFamily="18" charset="0"/>
              <a:cs typeface="Times New Roman" panose="02020603050405020304" pitchFamily="18" charset="0"/>
            </a:rPr>
            <a:t>Conformacion de grupo de pares </a:t>
          </a:r>
        </a:p>
        <a:p>
          <a:r>
            <a:rPr lang="es-ES">
              <a:latin typeface="Times New Roman" panose="02020603050405020304" pitchFamily="18" charset="0"/>
              <a:cs typeface="Times New Roman" panose="02020603050405020304" pitchFamily="18" charset="0"/>
            </a:rPr>
            <a:t>Adaptabilidad académica</a:t>
          </a:r>
        </a:p>
        <a:p>
          <a:r>
            <a:rPr lang="es-ES">
              <a:latin typeface="Times New Roman" panose="02020603050405020304" pitchFamily="18" charset="0"/>
              <a:cs typeface="Times New Roman" panose="02020603050405020304" pitchFamily="18" charset="0"/>
            </a:rPr>
            <a:t>Reconocimiento de necesidades y solicitud de apoyo</a:t>
          </a:r>
        </a:p>
        <a:p>
          <a:r>
            <a:rPr lang="es-ES">
              <a:latin typeface="Times New Roman" panose="02020603050405020304" pitchFamily="18" charset="0"/>
              <a:cs typeface="Times New Roman" panose="02020603050405020304" pitchFamily="18" charset="0"/>
            </a:rPr>
            <a:t>Nivelación no desarrollada</a:t>
          </a:r>
        </a:p>
        <a:p>
          <a:endParaRPr lang="es-ES">
            <a:latin typeface="Times New Roman" panose="02020603050405020304" pitchFamily="18" charset="0"/>
            <a:cs typeface="Times New Roman" panose="02020603050405020304" pitchFamily="18" charset="0"/>
          </a:endParaRPr>
        </a:p>
        <a:p>
          <a:endParaRPr lang="es-ES">
            <a:latin typeface="Times New Roman" panose="02020603050405020304" pitchFamily="18" charset="0"/>
            <a:cs typeface="Times New Roman" panose="02020603050405020304" pitchFamily="18" charset="0"/>
          </a:endParaRPr>
        </a:p>
      </dgm:t>
    </dgm:pt>
    <dgm:pt modelId="{A7F5D88D-E9AC-43FC-9A09-75D35F82E996}" type="parTrans" cxnId="{631C6B20-D386-42DA-92A1-9D6B3716E94A}">
      <dgm:prSet/>
      <dgm:spPr/>
      <dgm:t>
        <a:bodyPr/>
        <a:lstStyle/>
        <a:p>
          <a:endParaRPr lang="es-ES">
            <a:latin typeface="Times New Roman" panose="02020603050405020304" pitchFamily="18" charset="0"/>
            <a:cs typeface="Times New Roman" panose="02020603050405020304" pitchFamily="18" charset="0"/>
          </a:endParaRPr>
        </a:p>
      </dgm:t>
    </dgm:pt>
    <dgm:pt modelId="{6CDDC434-8C29-468A-B0E3-6296100C24E5}" type="sibTrans" cxnId="{631C6B20-D386-42DA-92A1-9D6B3716E94A}">
      <dgm:prSet/>
      <dgm:spPr/>
      <dgm:t>
        <a:bodyPr/>
        <a:lstStyle/>
        <a:p>
          <a:endParaRPr lang="es-ES">
            <a:latin typeface="Times New Roman" panose="02020603050405020304" pitchFamily="18" charset="0"/>
            <a:cs typeface="Times New Roman" panose="02020603050405020304" pitchFamily="18" charset="0"/>
          </a:endParaRPr>
        </a:p>
      </dgm:t>
    </dgm:pt>
    <dgm:pt modelId="{2FBD6EC1-9CFD-4767-8711-6B5DC6578C97}">
      <dgm:prSet phldrT="[Texto]" custT="1"/>
      <dgm:spPr/>
      <dgm:t>
        <a:bodyPr/>
        <a:lstStyle/>
        <a:p>
          <a:r>
            <a:rPr lang="es-ES" sz="1200">
              <a:latin typeface="Times New Roman" panose="02020603050405020304" pitchFamily="18" charset="0"/>
              <a:cs typeface="Times New Roman" panose="02020603050405020304" pitchFamily="18" charset="0"/>
            </a:rPr>
            <a:t>3° y 4° año </a:t>
          </a:r>
        </a:p>
      </dgm:t>
    </dgm:pt>
    <dgm:pt modelId="{C1F9F78B-A31C-4425-9B93-3A416AA59D8A}" type="parTrans" cxnId="{F9B9B403-29DA-4334-AB9F-C5BA6D326FB8}">
      <dgm:prSet/>
      <dgm:spPr/>
      <dgm:t>
        <a:bodyPr/>
        <a:lstStyle/>
        <a:p>
          <a:endParaRPr lang="es-ES">
            <a:latin typeface="Times New Roman" panose="02020603050405020304" pitchFamily="18" charset="0"/>
            <a:cs typeface="Times New Roman" panose="02020603050405020304" pitchFamily="18" charset="0"/>
          </a:endParaRPr>
        </a:p>
      </dgm:t>
    </dgm:pt>
    <dgm:pt modelId="{7F016356-74F3-4043-9FD2-F9D5445E0E14}" type="sibTrans" cxnId="{F9B9B403-29DA-4334-AB9F-C5BA6D326FB8}">
      <dgm:prSet/>
      <dgm:spPr/>
      <dgm:t>
        <a:bodyPr/>
        <a:lstStyle/>
        <a:p>
          <a:endParaRPr lang="es-ES">
            <a:latin typeface="Times New Roman" panose="02020603050405020304" pitchFamily="18" charset="0"/>
            <a:cs typeface="Times New Roman" panose="02020603050405020304" pitchFamily="18" charset="0"/>
          </a:endParaRPr>
        </a:p>
      </dgm:t>
    </dgm:pt>
    <dgm:pt modelId="{50553207-F539-4899-86C3-96088581BBEE}">
      <dgm:prSet phldrT="[Texto]"/>
      <dgm:spPr/>
      <dgm:t>
        <a:bodyPr/>
        <a:lstStyle/>
        <a:p>
          <a:r>
            <a:rPr lang="es-ES">
              <a:latin typeface="Times New Roman" panose="02020603050405020304" pitchFamily="18" charset="0"/>
              <a:cs typeface="Times New Roman" panose="02020603050405020304" pitchFamily="18" charset="0"/>
            </a:rPr>
            <a:t>Seguridad para la continuación de estudio</a:t>
          </a:r>
        </a:p>
      </dgm:t>
    </dgm:pt>
    <dgm:pt modelId="{B74A3D86-D44B-437E-AD7F-AD476B9B7CD5}" type="parTrans" cxnId="{C30F8984-B7B2-43EB-A646-7FD1F2F2466C}">
      <dgm:prSet/>
      <dgm:spPr/>
      <dgm:t>
        <a:bodyPr/>
        <a:lstStyle/>
        <a:p>
          <a:endParaRPr lang="es-ES">
            <a:latin typeface="Times New Roman" panose="02020603050405020304" pitchFamily="18" charset="0"/>
            <a:cs typeface="Times New Roman" panose="02020603050405020304" pitchFamily="18" charset="0"/>
          </a:endParaRPr>
        </a:p>
      </dgm:t>
    </dgm:pt>
    <dgm:pt modelId="{E559C074-FF38-46BB-BCA5-D4AFA1CFC412}" type="sibTrans" cxnId="{C30F8984-B7B2-43EB-A646-7FD1F2F2466C}">
      <dgm:prSet/>
      <dgm:spPr/>
      <dgm:t>
        <a:bodyPr/>
        <a:lstStyle/>
        <a:p>
          <a:endParaRPr lang="es-ES">
            <a:latin typeface="Times New Roman" panose="02020603050405020304" pitchFamily="18" charset="0"/>
            <a:cs typeface="Times New Roman" panose="02020603050405020304" pitchFamily="18" charset="0"/>
          </a:endParaRPr>
        </a:p>
      </dgm:t>
    </dgm:pt>
    <dgm:pt modelId="{B9DFC83D-9D03-4FE6-BD43-6BA6CE1C20C7}">
      <dgm:prSet phldrT="[Texto]" custT="1"/>
      <dgm:spPr/>
      <dgm:t>
        <a:bodyPr/>
        <a:lstStyle/>
        <a:p>
          <a:r>
            <a:rPr lang="es-ES" sz="1200">
              <a:latin typeface="Times New Roman" panose="02020603050405020304" pitchFamily="18" charset="0"/>
              <a:cs typeface="Times New Roman" panose="02020603050405020304" pitchFamily="18" charset="0"/>
            </a:rPr>
            <a:t>Finalización de carrera </a:t>
          </a:r>
        </a:p>
      </dgm:t>
    </dgm:pt>
    <dgm:pt modelId="{FE5F1413-2424-40FC-A2C5-7D770A11E971}" type="parTrans" cxnId="{0306F8BE-9690-4654-990C-7D2E12051C39}">
      <dgm:prSet/>
      <dgm:spPr/>
      <dgm:t>
        <a:bodyPr/>
        <a:lstStyle/>
        <a:p>
          <a:endParaRPr lang="es-ES">
            <a:latin typeface="Times New Roman" panose="02020603050405020304" pitchFamily="18" charset="0"/>
            <a:cs typeface="Times New Roman" panose="02020603050405020304" pitchFamily="18" charset="0"/>
          </a:endParaRPr>
        </a:p>
      </dgm:t>
    </dgm:pt>
    <dgm:pt modelId="{A72F88FD-5409-47CB-9AE0-73AE43B54CE6}" type="sibTrans" cxnId="{0306F8BE-9690-4654-990C-7D2E12051C39}">
      <dgm:prSet/>
      <dgm:spPr/>
      <dgm:t>
        <a:bodyPr/>
        <a:lstStyle/>
        <a:p>
          <a:endParaRPr lang="es-ES">
            <a:latin typeface="Times New Roman" panose="02020603050405020304" pitchFamily="18" charset="0"/>
            <a:cs typeface="Times New Roman" panose="02020603050405020304" pitchFamily="18" charset="0"/>
          </a:endParaRPr>
        </a:p>
      </dgm:t>
    </dgm:pt>
    <dgm:pt modelId="{CFD31539-6E05-4355-8B69-1D669037E17F}">
      <dgm:prSet phldrT="[Texto]"/>
      <dgm:spPr/>
      <dgm:t>
        <a:bodyPr/>
        <a:lstStyle/>
        <a:p>
          <a:r>
            <a:rPr lang="es-ES">
              <a:latin typeface="Times New Roman" panose="02020603050405020304" pitchFamily="18" charset="0"/>
              <a:cs typeface="Times New Roman" panose="02020603050405020304" pitchFamily="18" charset="0"/>
            </a:rPr>
            <a:t>Procesos de tesis</a:t>
          </a:r>
        </a:p>
        <a:p>
          <a:r>
            <a:rPr lang="es-ES">
              <a:latin typeface="Times New Roman" panose="02020603050405020304" pitchFamily="18" charset="0"/>
              <a:cs typeface="Times New Roman" panose="02020603050405020304" pitchFamily="18" charset="0"/>
            </a:rPr>
            <a:t>Prácticas profesionales</a:t>
          </a:r>
        </a:p>
        <a:p>
          <a:r>
            <a:rPr lang="es-ES">
              <a:latin typeface="Times New Roman" panose="02020603050405020304" pitchFamily="18" charset="0"/>
              <a:cs typeface="Times New Roman" panose="02020603050405020304" pitchFamily="18" charset="0"/>
            </a:rPr>
            <a:t>Ingreso al mundo laboral antes de la finalización</a:t>
          </a:r>
        </a:p>
        <a:p>
          <a:r>
            <a:rPr lang="es-ES">
              <a:latin typeface="Times New Roman" panose="02020603050405020304" pitchFamily="18" charset="0"/>
              <a:cs typeface="Times New Roman" panose="02020603050405020304" pitchFamily="18" charset="0"/>
            </a:rPr>
            <a:t> </a:t>
          </a:r>
        </a:p>
      </dgm:t>
    </dgm:pt>
    <dgm:pt modelId="{042CF649-E8D6-4379-B93C-CB9057310401}" type="parTrans" cxnId="{8656C06E-E879-4849-BAA6-DE3AC8B658A2}">
      <dgm:prSet/>
      <dgm:spPr/>
      <dgm:t>
        <a:bodyPr/>
        <a:lstStyle/>
        <a:p>
          <a:endParaRPr lang="es-ES">
            <a:latin typeface="Times New Roman" panose="02020603050405020304" pitchFamily="18" charset="0"/>
            <a:cs typeface="Times New Roman" panose="02020603050405020304" pitchFamily="18" charset="0"/>
          </a:endParaRPr>
        </a:p>
      </dgm:t>
    </dgm:pt>
    <dgm:pt modelId="{B4AFC7B9-0015-46CD-A11E-25370714033F}" type="sibTrans" cxnId="{8656C06E-E879-4849-BAA6-DE3AC8B658A2}">
      <dgm:prSet/>
      <dgm:spPr/>
      <dgm:t>
        <a:bodyPr/>
        <a:lstStyle/>
        <a:p>
          <a:endParaRPr lang="es-ES">
            <a:latin typeface="Times New Roman" panose="02020603050405020304" pitchFamily="18" charset="0"/>
            <a:cs typeface="Times New Roman" panose="02020603050405020304" pitchFamily="18" charset="0"/>
          </a:endParaRPr>
        </a:p>
      </dgm:t>
    </dgm:pt>
    <dgm:pt modelId="{26509B41-E630-4C99-85D6-E61A447FFF32}">
      <dgm:prSet phldrT="[Texto]"/>
      <dgm:spPr/>
      <dgm:t>
        <a:bodyPr/>
        <a:lstStyle/>
        <a:p>
          <a:endParaRPr lang="es-ES">
            <a:latin typeface="Times New Roman" panose="02020603050405020304" pitchFamily="18" charset="0"/>
            <a:cs typeface="Times New Roman" panose="02020603050405020304" pitchFamily="18" charset="0"/>
          </a:endParaRPr>
        </a:p>
      </dgm:t>
    </dgm:pt>
    <dgm:pt modelId="{1F04A3BA-E180-4E8E-8404-F00550C2A394}" type="parTrans" cxnId="{8219C5E0-A34D-4A2F-99D2-3FEC17155056}">
      <dgm:prSet/>
      <dgm:spPr/>
      <dgm:t>
        <a:bodyPr/>
        <a:lstStyle/>
        <a:p>
          <a:endParaRPr lang="es-ES">
            <a:latin typeface="Times New Roman" panose="02020603050405020304" pitchFamily="18" charset="0"/>
            <a:cs typeface="Times New Roman" panose="02020603050405020304" pitchFamily="18" charset="0"/>
          </a:endParaRPr>
        </a:p>
      </dgm:t>
    </dgm:pt>
    <dgm:pt modelId="{52EAA2A7-9E86-4640-B3BD-72BD691FD657}" type="sibTrans" cxnId="{8219C5E0-A34D-4A2F-99D2-3FEC17155056}">
      <dgm:prSet/>
      <dgm:spPr/>
      <dgm:t>
        <a:bodyPr/>
        <a:lstStyle/>
        <a:p>
          <a:endParaRPr lang="es-ES">
            <a:latin typeface="Times New Roman" panose="02020603050405020304" pitchFamily="18" charset="0"/>
            <a:cs typeface="Times New Roman" panose="02020603050405020304" pitchFamily="18" charset="0"/>
          </a:endParaRPr>
        </a:p>
      </dgm:t>
    </dgm:pt>
    <dgm:pt modelId="{2CA86E04-1BCC-4900-AB11-499C5DE458F8}">
      <dgm:prSet phldrT="[Texto]"/>
      <dgm:spPr/>
      <dgm:t>
        <a:bodyPr/>
        <a:lstStyle/>
        <a:p>
          <a:r>
            <a:rPr lang="es-ES">
              <a:latin typeface="Times New Roman" panose="02020603050405020304" pitchFamily="18" charset="0"/>
              <a:cs typeface="Times New Roman" panose="02020603050405020304" pitchFamily="18" charset="0"/>
            </a:rPr>
            <a:t>Incomodidad y/o dudas vocacionales </a:t>
          </a:r>
        </a:p>
      </dgm:t>
    </dgm:pt>
    <dgm:pt modelId="{A37D426E-0D29-49E1-A8BF-7719AB66BBD7}" type="parTrans" cxnId="{8CF83236-87F7-4239-BC74-39ED71B1098B}">
      <dgm:prSet/>
      <dgm:spPr/>
      <dgm:t>
        <a:bodyPr/>
        <a:lstStyle/>
        <a:p>
          <a:endParaRPr lang="es-ES">
            <a:latin typeface="Times New Roman" panose="02020603050405020304" pitchFamily="18" charset="0"/>
            <a:cs typeface="Times New Roman" panose="02020603050405020304" pitchFamily="18" charset="0"/>
          </a:endParaRPr>
        </a:p>
      </dgm:t>
    </dgm:pt>
    <dgm:pt modelId="{1BCB1976-EDD7-4F2D-92C9-CB9DF9ADDAA7}" type="sibTrans" cxnId="{8CF83236-87F7-4239-BC74-39ED71B1098B}">
      <dgm:prSet/>
      <dgm:spPr/>
      <dgm:t>
        <a:bodyPr/>
        <a:lstStyle/>
        <a:p>
          <a:endParaRPr lang="es-ES">
            <a:latin typeface="Times New Roman" panose="02020603050405020304" pitchFamily="18" charset="0"/>
            <a:cs typeface="Times New Roman" panose="02020603050405020304" pitchFamily="18" charset="0"/>
          </a:endParaRPr>
        </a:p>
      </dgm:t>
    </dgm:pt>
    <dgm:pt modelId="{047351CC-F3C3-40C3-BD95-33CDD8ED1DA4}">
      <dgm:prSet phldrT="[Texto]"/>
      <dgm:spPr/>
      <dgm:t>
        <a:bodyPr/>
        <a:lstStyle/>
        <a:p>
          <a:r>
            <a:rPr lang="es-ES">
              <a:latin typeface="Times New Roman" panose="02020603050405020304" pitchFamily="18" charset="0"/>
              <a:cs typeface="Times New Roman" panose="02020603050405020304" pitchFamily="18" charset="0"/>
            </a:rPr>
            <a:t>Prácticas o pre-prácticas insatisfactorias</a:t>
          </a:r>
        </a:p>
      </dgm:t>
    </dgm:pt>
    <dgm:pt modelId="{11CD9F20-E775-4708-9CFB-FE3D799DBC68}" type="parTrans" cxnId="{56479556-8798-4FED-9D2A-39B226E70F03}">
      <dgm:prSet/>
      <dgm:spPr/>
      <dgm:t>
        <a:bodyPr/>
        <a:lstStyle/>
        <a:p>
          <a:endParaRPr lang="es-ES">
            <a:latin typeface="Times New Roman" panose="02020603050405020304" pitchFamily="18" charset="0"/>
            <a:cs typeface="Times New Roman" panose="02020603050405020304" pitchFamily="18" charset="0"/>
          </a:endParaRPr>
        </a:p>
      </dgm:t>
    </dgm:pt>
    <dgm:pt modelId="{75E04A39-CBF8-46E7-BA4F-674A6E15CA3B}" type="sibTrans" cxnId="{56479556-8798-4FED-9D2A-39B226E70F03}">
      <dgm:prSet/>
      <dgm:spPr/>
      <dgm:t>
        <a:bodyPr/>
        <a:lstStyle/>
        <a:p>
          <a:endParaRPr lang="es-ES">
            <a:latin typeface="Times New Roman" panose="02020603050405020304" pitchFamily="18" charset="0"/>
            <a:cs typeface="Times New Roman" panose="02020603050405020304" pitchFamily="18" charset="0"/>
          </a:endParaRPr>
        </a:p>
      </dgm:t>
    </dgm:pt>
    <dgm:pt modelId="{B2501C44-C63D-4311-8F57-1D95BD79A707}">
      <dgm:prSet phldrT="[Texto]"/>
      <dgm:spPr/>
      <dgm:t>
        <a:bodyPr/>
        <a:lstStyle/>
        <a:p>
          <a:r>
            <a:rPr lang="es-ES">
              <a:latin typeface="Times New Roman" panose="02020603050405020304" pitchFamily="18" charset="0"/>
              <a:cs typeface="Times New Roman" panose="02020603050405020304" pitchFamily="18" charset="0"/>
            </a:rPr>
            <a:t>Atraso y acumulación de créditos por rendir</a:t>
          </a:r>
        </a:p>
      </dgm:t>
    </dgm:pt>
    <dgm:pt modelId="{F208B924-6933-4468-8E76-743D0D30CC69}" type="parTrans" cxnId="{DCB26799-AD04-4880-8266-19901AA8DB82}">
      <dgm:prSet/>
      <dgm:spPr/>
      <dgm:t>
        <a:bodyPr/>
        <a:lstStyle/>
        <a:p>
          <a:endParaRPr lang="es-ES">
            <a:latin typeface="Times New Roman" panose="02020603050405020304" pitchFamily="18" charset="0"/>
            <a:cs typeface="Times New Roman" panose="02020603050405020304" pitchFamily="18" charset="0"/>
          </a:endParaRPr>
        </a:p>
      </dgm:t>
    </dgm:pt>
    <dgm:pt modelId="{0906A3D7-C065-4C82-A55E-A8AA3782E9F0}" type="sibTrans" cxnId="{DCB26799-AD04-4880-8266-19901AA8DB82}">
      <dgm:prSet/>
      <dgm:spPr/>
      <dgm:t>
        <a:bodyPr/>
        <a:lstStyle/>
        <a:p>
          <a:endParaRPr lang="es-ES">
            <a:latin typeface="Times New Roman" panose="02020603050405020304" pitchFamily="18" charset="0"/>
            <a:cs typeface="Times New Roman" panose="02020603050405020304" pitchFamily="18" charset="0"/>
          </a:endParaRPr>
        </a:p>
      </dgm:t>
    </dgm:pt>
    <dgm:pt modelId="{406BE744-506C-4334-B471-48DF82844C3D}" type="pres">
      <dgm:prSet presAssocID="{6DAD7C37-D074-452C-8AAD-157D537983BE}" presName="Name0" presStyleCnt="0">
        <dgm:presLayoutVars>
          <dgm:chMax val="7"/>
          <dgm:chPref val="7"/>
          <dgm:dir/>
          <dgm:animOne val="branch"/>
          <dgm:animLvl val="lvl"/>
        </dgm:presLayoutVars>
      </dgm:prSet>
      <dgm:spPr/>
    </dgm:pt>
    <dgm:pt modelId="{6A6D1942-C37F-41CA-B5DE-A1F47E0F36E1}" type="pres">
      <dgm:prSet presAssocID="{3EF437DC-B7D7-4912-A389-99153A282086}" presName="ParentComposite" presStyleCnt="0"/>
      <dgm:spPr/>
    </dgm:pt>
    <dgm:pt modelId="{49D93D20-5F06-4D9B-AB4D-F9080452F7D4}" type="pres">
      <dgm:prSet presAssocID="{3EF437DC-B7D7-4912-A389-99153A282086}" presName="Chord" presStyleLbl="bgShp" presStyleIdx="0" presStyleCnt="3"/>
      <dgm:spPr/>
    </dgm:pt>
    <dgm:pt modelId="{A523E037-9B61-4D33-BC66-3B2FE39844D9}" type="pres">
      <dgm:prSet presAssocID="{3EF437DC-B7D7-4912-A389-99153A282086}" presName="Pie" presStyleLbl="alignNode1" presStyleIdx="0" presStyleCnt="3"/>
      <dgm:spPr/>
    </dgm:pt>
    <dgm:pt modelId="{76334BBF-2114-441A-A91E-9747ED055997}" type="pres">
      <dgm:prSet presAssocID="{3EF437DC-B7D7-4912-A389-99153A282086}" presName="Parent" presStyleLbl="revTx" presStyleIdx="0" presStyleCnt="6">
        <dgm:presLayoutVars>
          <dgm:chMax val="1"/>
          <dgm:chPref val="1"/>
          <dgm:bulletEnabled val="1"/>
        </dgm:presLayoutVars>
      </dgm:prSet>
      <dgm:spPr/>
    </dgm:pt>
    <dgm:pt modelId="{7F265C51-35DC-4E58-BE43-D36CBE95DF51}" type="pres">
      <dgm:prSet presAssocID="{6CDDC434-8C29-468A-B0E3-6296100C24E5}" presName="negSibTrans" presStyleCnt="0"/>
      <dgm:spPr/>
    </dgm:pt>
    <dgm:pt modelId="{CB0BCFE6-705C-41F7-8171-32D6D38127DB}" type="pres">
      <dgm:prSet presAssocID="{3EF437DC-B7D7-4912-A389-99153A282086}" presName="composite" presStyleCnt="0"/>
      <dgm:spPr/>
    </dgm:pt>
    <dgm:pt modelId="{16E1BE8E-E214-4CED-9C32-F19B290658C3}" type="pres">
      <dgm:prSet presAssocID="{3EF437DC-B7D7-4912-A389-99153A282086}" presName="Child" presStyleLbl="revTx" presStyleIdx="1" presStyleCnt="6">
        <dgm:presLayoutVars>
          <dgm:chMax val="0"/>
          <dgm:chPref val="0"/>
          <dgm:bulletEnabled val="1"/>
        </dgm:presLayoutVars>
      </dgm:prSet>
      <dgm:spPr/>
    </dgm:pt>
    <dgm:pt modelId="{76DD94E1-E70D-485D-A1DF-18413D8C6433}" type="pres">
      <dgm:prSet presAssocID="{9BE1B510-78B5-4680-B46E-8B47301C5BB9}" presName="sibTrans" presStyleCnt="0"/>
      <dgm:spPr/>
    </dgm:pt>
    <dgm:pt modelId="{7830C203-37C5-43DC-B234-199BC560D8E2}" type="pres">
      <dgm:prSet presAssocID="{2FBD6EC1-9CFD-4767-8711-6B5DC6578C97}" presName="ParentComposite" presStyleCnt="0"/>
      <dgm:spPr/>
    </dgm:pt>
    <dgm:pt modelId="{93ACD7A5-79BF-4272-98BB-0033E46DF7EC}" type="pres">
      <dgm:prSet presAssocID="{2FBD6EC1-9CFD-4767-8711-6B5DC6578C97}" presName="Chord" presStyleLbl="bgShp" presStyleIdx="1" presStyleCnt="3"/>
      <dgm:spPr/>
    </dgm:pt>
    <dgm:pt modelId="{91A6A62F-C3E7-4BBF-B044-E9FEACD0BBA2}" type="pres">
      <dgm:prSet presAssocID="{2FBD6EC1-9CFD-4767-8711-6B5DC6578C97}" presName="Pie" presStyleLbl="alignNode1" presStyleIdx="1" presStyleCnt="3"/>
      <dgm:spPr/>
    </dgm:pt>
    <dgm:pt modelId="{20697738-BD79-40F3-821E-A542CB377116}" type="pres">
      <dgm:prSet presAssocID="{2FBD6EC1-9CFD-4767-8711-6B5DC6578C97}" presName="Parent" presStyleLbl="revTx" presStyleIdx="2" presStyleCnt="6">
        <dgm:presLayoutVars>
          <dgm:chMax val="1"/>
          <dgm:chPref val="1"/>
          <dgm:bulletEnabled val="1"/>
        </dgm:presLayoutVars>
      </dgm:prSet>
      <dgm:spPr/>
    </dgm:pt>
    <dgm:pt modelId="{8D2182A1-80E3-4BDF-9A44-AA7F0B5E5EB7}" type="pres">
      <dgm:prSet presAssocID="{E559C074-FF38-46BB-BCA5-D4AFA1CFC412}" presName="negSibTrans" presStyleCnt="0"/>
      <dgm:spPr/>
    </dgm:pt>
    <dgm:pt modelId="{70018EE7-3581-4DE9-9B88-30F483BF0358}" type="pres">
      <dgm:prSet presAssocID="{2FBD6EC1-9CFD-4767-8711-6B5DC6578C97}" presName="composite" presStyleCnt="0"/>
      <dgm:spPr/>
    </dgm:pt>
    <dgm:pt modelId="{28864DDA-B64B-402F-B4A8-00402506BF3E}" type="pres">
      <dgm:prSet presAssocID="{2FBD6EC1-9CFD-4767-8711-6B5DC6578C97}" presName="Child" presStyleLbl="revTx" presStyleIdx="3" presStyleCnt="6">
        <dgm:presLayoutVars>
          <dgm:chMax val="0"/>
          <dgm:chPref val="0"/>
          <dgm:bulletEnabled val="1"/>
        </dgm:presLayoutVars>
      </dgm:prSet>
      <dgm:spPr/>
    </dgm:pt>
    <dgm:pt modelId="{61A44DC5-105A-48DB-90EC-54CA3F0B8C92}" type="pres">
      <dgm:prSet presAssocID="{7F016356-74F3-4043-9FD2-F9D5445E0E14}" presName="sibTrans" presStyleCnt="0"/>
      <dgm:spPr/>
    </dgm:pt>
    <dgm:pt modelId="{A735E1E1-410D-4647-B211-C6DF88F11D45}" type="pres">
      <dgm:prSet presAssocID="{B9DFC83D-9D03-4FE6-BD43-6BA6CE1C20C7}" presName="ParentComposite" presStyleCnt="0"/>
      <dgm:spPr/>
    </dgm:pt>
    <dgm:pt modelId="{28A1E85D-0EFE-4EE4-9C55-C5C1940FB154}" type="pres">
      <dgm:prSet presAssocID="{B9DFC83D-9D03-4FE6-BD43-6BA6CE1C20C7}" presName="Chord" presStyleLbl="bgShp" presStyleIdx="2" presStyleCnt="3"/>
      <dgm:spPr/>
    </dgm:pt>
    <dgm:pt modelId="{CCEBAFC3-F120-4672-8B54-90A9C18EC0AF}" type="pres">
      <dgm:prSet presAssocID="{B9DFC83D-9D03-4FE6-BD43-6BA6CE1C20C7}" presName="Pie" presStyleLbl="alignNode1" presStyleIdx="2" presStyleCnt="3"/>
      <dgm:spPr/>
    </dgm:pt>
    <dgm:pt modelId="{91BC2F57-0735-4288-8EB8-B5FCBD3373E2}" type="pres">
      <dgm:prSet presAssocID="{B9DFC83D-9D03-4FE6-BD43-6BA6CE1C20C7}" presName="Parent" presStyleLbl="revTx" presStyleIdx="4" presStyleCnt="6">
        <dgm:presLayoutVars>
          <dgm:chMax val="1"/>
          <dgm:chPref val="1"/>
          <dgm:bulletEnabled val="1"/>
        </dgm:presLayoutVars>
      </dgm:prSet>
      <dgm:spPr/>
    </dgm:pt>
    <dgm:pt modelId="{5F998E6F-C9EC-4764-B401-C6F47A7F9690}" type="pres">
      <dgm:prSet presAssocID="{B4AFC7B9-0015-46CD-A11E-25370714033F}" presName="negSibTrans" presStyleCnt="0"/>
      <dgm:spPr/>
    </dgm:pt>
    <dgm:pt modelId="{54631C94-5EAF-4787-90DB-5CA190907BF6}" type="pres">
      <dgm:prSet presAssocID="{B9DFC83D-9D03-4FE6-BD43-6BA6CE1C20C7}" presName="composite" presStyleCnt="0"/>
      <dgm:spPr/>
    </dgm:pt>
    <dgm:pt modelId="{D346F14B-F20E-4D65-B9EB-93614036CCA9}" type="pres">
      <dgm:prSet presAssocID="{B9DFC83D-9D03-4FE6-BD43-6BA6CE1C20C7}" presName="Child" presStyleLbl="revTx" presStyleIdx="5" presStyleCnt="6">
        <dgm:presLayoutVars>
          <dgm:chMax val="0"/>
          <dgm:chPref val="0"/>
          <dgm:bulletEnabled val="1"/>
        </dgm:presLayoutVars>
      </dgm:prSet>
      <dgm:spPr/>
    </dgm:pt>
  </dgm:ptLst>
  <dgm:cxnLst>
    <dgm:cxn modelId="{F9B9B403-29DA-4334-AB9F-C5BA6D326FB8}" srcId="{6DAD7C37-D074-452C-8AAD-157D537983BE}" destId="{2FBD6EC1-9CFD-4767-8711-6B5DC6578C97}" srcOrd="1" destOrd="0" parTransId="{C1F9F78B-A31C-4425-9B93-3A416AA59D8A}" sibTransId="{7F016356-74F3-4043-9FD2-F9D5445E0E14}"/>
    <dgm:cxn modelId="{2A59970A-B3A7-4200-B5F9-A0D4C04E9E6A}" type="presOf" srcId="{3EF437DC-B7D7-4912-A389-99153A282086}" destId="{76334BBF-2114-441A-A91E-9747ED055997}" srcOrd="0" destOrd="0" presId="urn:microsoft.com/office/officeart/2009/3/layout/PieProcess"/>
    <dgm:cxn modelId="{6A9DCA10-3C0B-42E1-8139-4B8996BCB773}" type="presOf" srcId="{87E466D6-AC31-432A-85CF-B96F04C4C02A}" destId="{16E1BE8E-E214-4CED-9C32-F19B290658C3}" srcOrd="0" destOrd="0" presId="urn:microsoft.com/office/officeart/2009/3/layout/PieProcess"/>
    <dgm:cxn modelId="{631C6B20-D386-42DA-92A1-9D6B3716E94A}" srcId="{3EF437DC-B7D7-4912-A389-99153A282086}" destId="{87E466D6-AC31-432A-85CF-B96F04C4C02A}" srcOrd="0" destOrd="0" parTransId="{A7F5D88D-E9AC-43FC-9A09-75D35F82E996}" sibTransId="{6CDDC434-8C29-468A-B0E3-6296100C24E5}"/>
    <dgm:cxn modelId="{917E1129-7722-4F81-A89F-B04BE17C35B9}" type="presOf" srcId="{2CA86E04-1BCC-4900-AB11-499C5DE458F8}" destId="{28864DDA-B64B-402F-B4A8-00402506BF3E}" srcOrd="0" destOrd="1" presId="urn:microsoft.com/office/officeart/2009/3/layout/PieProcess"/>
    <dgm:cxn modelId="{8CF83236-87F7-4239-BC74-39ED71B1098B}" srcId="{2FBD6EC1-9CFD-4767-8711-6B5DC6578C97}" destId="{2CA86E04-1BCC-4900-AB11-499C5DE458F8}" srcOrd="1" destOrd="0" parTransId="{A37D426E-0D29-49E1-A8BF-7719AB66BBD7}" sibTransId="{1BCB1976-EDD7-4F2D-92C9-CB9DF9ADDAA7}"/>
    <dgm:cxn modelId="{95C7F76B-D8C9-4432-8D9D-F592BC6E515E}" srcId="{6DAD7C37-D074-452C-8AAD-157D537983BE}" destId="{3EF437DC-B7D7-4912-A389-99153A282086}" srcOrd="0" destOrd="0" parTransId="{3985CC91-D36D-4F44-B715-27B254255915}" sibTransId="{9BE1B510-78B5-4680-B46E-8B47301C5BB9}"/>
    <dgm:cxn modelId="{8656C06E-E879-4849-BAA6-DE3AC8B658A2}" srcId="{B9DFC83D-9D03-4FE6-BD43-6BA6CE1C20C7}" destId="{CFD31539-6E05-4355-8B69-1D669037E17F}" srcOrd="0" destOrd="0" parTransId="{042CF649-E8D6-4379-B93C-CB9057310401}" sibTransId="{B4AFC7B9-0015-46CD-A11E-25370714033F}"/>
    <dgm:cxn modelId="{B0C1C06F-C685-4B0B-B256-56625AEB2301}" type="presOf" srcId="{B9DFC83D-9D03-4FE6-BD43-6BA6CE1C20C7}" destId="{91BC2F57-0735-4288-8EB8-B5FCBD3373E2}" srcOrd="0" destOrd="0" presId="urn:microsoft.com/office/officeart/2009/3/layout/PieProcess"/>
    <dgm:cxn modelId="{FE955070-87F7-4800-A04C-81F9C81F06A1}" type="presOf" srcId="{2FBD6EC1-9CFD-4767-8711-6B5DC6578C97}" destId="{20697738-BD79-40F3-821E-A542CB377116}" srcOrd="0" destOrd="0" presId="urn:microsoft.com/office/officeart/2009/3/layout/PieProcess"/>
    <dgm:cxn modelId="{56479556-8798-4FED-9D2A-39B226E70F03}" srcId="{2FBD6EC1-9CFD-4767-8711-6B5DC6578C97}" destId="{047351CC-F3C3-40C3-BD95-33CDD8ED1DA4}" srcOrd="2" destOrd="0" parTransId="{11CD9F20-E775-4708-9CFB-FE3D799DBC68}" sibTransId="{75E04A39-CBF8-46E7-BA4F-674A6E15CA3B}"/>
    <dgm:cxn modelId="{AFB32457-24D2-4960-9F9F-5A145790CC09}" type="presOf" srcId="{50553207-F539-4899-86C3-96088581BBEE}" destId="{28864DDA-B64B-402F-B4A8-00402506BF3E}" srcOrd="0" destOrd="0" presId="urn:microsoft.com/office/officeart/2009/3/layout/PieProcess"/>
    <dgm:cxn modelId="{C30F8984-B7B2-43EB-A646-7FD1F2F2466C}" srcId="{2FBD6EC1-9CFD-4767-8711-6B5DC6578C97}" destId="{50553207-F539-4899-86C3-96088581BBEE}" srcOrd="0" destOrd="0" parTransId="{B74A3D86-D44B-437E-AD7F-AD476B9B7CD5}" sibTransId="{E559C074-FF38-46BB-BCA5-D4AFA1CFC412}"/>
    <dgm:cxn modelId="{9C5B6889-B0A7-469D-9834-BFA86C10630B}" type="presOf" srcId="{CFD31539-6E05-4355-8B69-1D669037E17F}" destId="{D346F14B-F20E-4D65-B9EB-93614036CCA9}" srcOrd="0" destOrd="0" presId="urn:microsoft.com/office/officeart/2009/3/layout/PieProcess"/>
    <dgm:cxn modelId="{DCB26799-AD04-4880-8266-19901AA8DB82}" srcId="{2FBD6EC1-9CFD-4767-8711-6B5DC6578C97}" destId="{B2501C44-C63D-4311-8F57-1D95BD79A707}" srcOrd="3" destOrd="0" parTransId="{F208B924-6933-4468-8E76-743D0D30CC69}" sibTransId="{0906A3D7-C065-4C82-A55E-A8AA3782E9F0}"/>
    <dgm:cxn modelId="{55638CBD-42CA-455F-9DD3-927C9294F214}" type="presOf" srcId="{047351CC-F3C3-40C3-BD95-33CDD8ED1DA4}" destId="{28864DDA-B64B-402F-B4A8-00402506BF3E}" srcOrd="0" destOrd="2" presId="urn:microsoft.com/office/officeart/2009/3/layout/PieProcess"/>
    <dgm:cxn modelId="{0306F8BE-9690-4654-990C-7D2E12051C39}" srcId="{6DAD7C37-D074-452C-8AAD-157D537983BE}" destId="{B9DFC83D-9D03-4FE6-BD43-6BA6CE1C20C7}" srcOrd="2" destOrd="0" parTransId="{FE5F1413-2424-40FC-A2C5-7D770A11E971}" sibTransId="{A72F88FD-5409-47CB-9AE0-73AE43B54CE6}"/>
    <dgm:cxn modelId="{514CFBD0-AC47-4F60-B908-460CABE5441C}" type="presOf" srcId="{26509B41-E630-4C99-85D6-E61A447FFF32}" destId="{D346F14B-F20E-4D65-B9EB-93614036CCA9}" srcOrd="0" destOrd="1" presId="urn:microsoft.com/office/officeart/2009/3/layout/PieProcess"/>
    <dgm:cxn modelId="{7F0E55D3-E02E-4E44-A18B-6A8086BFCA76}" type="presOf" srcId="{B2501C44-C63D-4311-8F57-1D95BD79A707}" destId="{28864DDA-B64B-402F-B4A8-00402506BF3E}" srcOrd="0" destOrd="3" presId="urn:microsoft.com/office/officeart/2009/3/layout/PieProcess"/>
    <dgm:cxn modelId="{8219C5E0-A34D-4A2F-99D2-3FEC17155056}" srcId="{B9DFC83D-9D03-4FE6-BD43-6BA6CE1C20C7}" destId="{26509B41-E630-4C99-85D6-E61A447FFF32}" srcOrd="1" destOrd="0" parTransId="{1F04A3BA-E180-4E8E-8404-F00550C2A394}" sibTransId="{52EAA2A7-9E86-4640-B3BD-72BD691FD657}"/>
    <dgm:cxn modelId="{5356D1E8-3584-473A-895E-9414083D34C9}" type="presOf" srcId="{6DAD7C37-D074-452C-8AAD-157D537983BE}" destId="{406BE744-506C-4334-B471-48DF82844C3D}" srcOrd="0" destOrd="0" presId="urn:microsoft.com/office/officeart/2009/3/layout/PieProcess"/>
    <dgm:cxn modelId="{06A48790-0890-48D5-87C7-6574FFAD6512}" type="presParOf" srcId="{406BE744-506C-4334-B471-48DF82844C3D}" destId="{6A6D1942-C37F-41CA-B5DE-A1F47E0F36E1}" srcOrd="0" destOrd="0" presId="urn:microsoft.com/office/officeart/2009/3/layout/PieProcess"/>
    <dgm:cxn modelId="{425E5C74-78A9-4934-A7BD-0F02075E903C}" type="presParOf" srcId="{6A6D1942-C37F-41CA-B5DE-A1F47E0F36E1}" destId="{49D93D20-5F06-4D9B-AB4D-F9080452F7D4}" srcOrd="0" destOrd="0" presId="urn:microsoft.com/office/officeart/2009/3/layout/PieProcess"/>
    <dgm:cxn modelId="{BC6AF0B2-FD1F-475F-8961-1F4FF33A3B4B}" type="presParOf" srcId="{6A6D1942-C37F-41CA-B5DE-A1F47E0F36E1}" destId="{A523E037-9B61-4D33-BC66-3B2FE39844D9}" srcOrd="1" destOrd="0" presId="urn:microsoft.com/office/officeart/2009/3/layout/PieProcess"/>
    <dgm:cxn modelId="{EAD4D7F6-937D-4992-9A9C-C3A718512AF9}" type="presParOf" srcId="{6A6D1942-C37F-41CA-B5DE-A1F47E0F36E1}" destId="{76334BBF-2114-441A-A91E-9747ED055997}" srcOrd="2" destOrd="0" presId="urn:microsoft.com/office/officeart/2009/3/layout/PieProcess"/>
    <dgm:cxn modelId="{D62929CE-1E68-48C1-ABF8-0152A90CEF03}" type="presParOf" srcId="{406BE744-506C-4334-B471-48DF82844C3D}" destId="{7F265C51-35DC-4E58-BE43-D36CBE95DF51}" srcOrd="1" destOrd="0" presId="urn:microsoft.com/office/officeart/2009/3/layout/PieProcess"/>
    <dgm:cxn modelId="{86ABA9A3-9766-4050-BCE2-723E8A3E1C09}" type="presParOf" srcId="{406BE744-506C-4334-B471-48DF82844C3D}" destId="{CB0BCFE6-705C-41F7-8171-32D6D38127DB}" srcOrd="2" destOrd="0" presId="urn:microsoft.com/office/officeart/2009/3/layout/PieProcess"/>
    <dgm:cxn modelId="{34C7557B-0898-4C66-A4DF-667D7491F6F1}" type="presParOf" srcId="{CB0BCFE6-705C-41F7-8171-32D6D38127DB}" destId="{16E1BE8E-E214-4CED-9C32-F19B290658C3}" srcOrd="0" destOrd="0" presId="urn:microsoft.com/office/officeart/2009/3/layout/PieProcess"/>
    <dgm:cxn modelId="{970FE2DE-C75A-426E-9272-3498C35EF248}" type="presParOf" srcId="{406BE744-506C-4334-B471-48DF82844C3D}" destId="{76DD94E1-E70D-485D-A1DF-18413D8C6433}" srcOrd="3" destOrd="0" presId="urn:microsoft.com/office/officeart/2009/3/layout/PieProcess"/>
    <dgm:cxn modelId="{6151D506-2D68-42E5-851D-509D72C4A784}" type="presParOf" srcId="{406BE744-506C-4334-B471-48DF82844C3D}" destId="{7830C203-37C5-43DC-B234-199BC560D8E2}" srcOrd="4" destOrd="0" presId="urn:microsoft.com/office/officeart/2009/3/layout/PieProcess"/>
    <dgm:cxn modelId="{9F4E24B7-880D-442E-8713-4C76CAAE44B5}" type="presParOf" srcId="{7830C203-37C5-43DC-B234-199BC560D8E2}" destId="{93ACD7A5-79BF-4272-98BB-0033E46DF7EC}" srcOrd="0" destOrd="0" presId="urn:microsoft.com/office/officeart/2009/3/layout/PieProcess"/>
    <dgm:cxn modelId="{FBA1D7E2-CD62-4C2A-B687-459101D2EB48}" type="presParOf" srcId="{7830C203-37C5-43DC-B234-199BC560D8E2}" destId="{91A6A62F-C3E7-4BBF-B044-E9FEACD0BBA2}" srcOrd="1" destOrd="0" presId="urn:microsoft.com/office/officeart/2009/3/layout/PieProcess"/>
    <dgm:cxn modelId="{FE8479AD-3DEF-4B49-8902-FFA3AEC75080}" type="presParOf" srcId="{7830C203-37C5-43DC-B234-199BC560D8E2}" destId="{20697738-BD79-40F3-821E-A542CB377116}" srcOrd="2" destOrd="0" presId="urn:microsoft.com/office/officeart/2009/3/layout/PieProcess"/>
    <dgm:cxn modelId="{FCE46EFC-C6DB-4D67-A74B-96A01FFD8DBA}" type="presParOf" srcId="{406BE744-506C-4334-B471-48DF82844C3D}" destId="{8D2182A1-80E3-4BDF-9A44-AA7F0B5E5EB7}" srcOrd="5" destOrd="0" presId="urn:microsoft.com/office/officeart/2009/3/layout/PieProcess"/>
    <dgm:cxn modelId="{90EEC888-5638-488A-BC09-3F03836E61DC}" type="presParOf" srcId="{406BE744-506C-4334-B471-48DF82844C3D}" destId="{70018EE7-3581-4DE9-9B88-30F483BF0358}" srcOrd="6" destOrd="0" presId="urn:microsoft.com/office/officeart/2009/3/layout/PieProcess"/>
    <dgm:cxn modelId="{7223EAF1-509D-4A78-B9DD-4BC35ED8D1AE}" type="presParOf" srcId="{70018EE7-3581-4DE9-9B88-30F483BF0358}" destId="{28864DDA-B64B-402F-B4A8-00402506BF3E}" srcOrd="0" destOrd="0" presId="urn:microsoft.com/office/officeart/2009/3/layout/PieProcess"/>
    <dgm:cxn modelId="{0C68DF51-DEA9-4149-A3BD-B5B8C8D51A54}" type="presParOf" srcId="{406BE744-506C-4334-B471-48DF82844C3D}" destId="{61A44DC5-105A-48DB-90EC-54CA3F0B8C92}" srcOrd="7" destOrd="0" presId="urn:microsoft.com/office/officeart/2009/3/layout/PieProcess"/>
    <dgm:cxn modelId="{F5D038C4-C152-4223-91C8-62776D66CA86}" type="presParOf" srcId="{406BE744-506C-4334-B471-48DF82844C3D}" destId="{A735E1E1-410D-4647-B211-C6DF88F11D45}" srcOrd="8" destOrd="0" presId="urn:microsoft.com/office/officeart/2009/3/layout/PieProcess"/>
    <dgm:cxn modelId="{87AF8F2E-5E19-4CB3-A14A-D683698D4537}" type="presParOf" srcId="{A735E1E1-410D-4647-B211-C6DF88F11D45}" destId="{28A1E85D-0EFE-4EE4-9C55-C5C1940FB154}" srcOrd="0" destOrd="0" presId="urn:microsoft.com/office/officeart/2009/3/layout/PieProcess"/>
    <dgm:cxn modelId="{A6965901-7721-4FBA-85F1-8B02F36AA8A6}" type="presParOf" srcId="{A735E1E1-410D-4647-B211-C6DF88F11D45}" destId="{CCEBAFC3-F120-4672-8B54-90A9C18EC0AF}" srcOrd="1" destOrd="0" presId="urn:microsoft.com/office/officeart/2009/3/layout/PieProcess"/>
    <dgm:cxn modelId="{E4FF7B30-CBA6-4B10-8934-77DB65F6E864}" type="presParOf" srcId="{A735E1E1-410D-4647-B211-C6DF88F11D45}" destId="{91BC2F57-0735-4288-8EB8-B5FCBD3373E2}" srcOrd="2" destOrd="0" presId="urn:microsoft.com/office/officeart/2009/3/layout/PieProcess"/>
    <dgm:cxn modelId="{98CD5A73-6CE0-418F-9325-5A5B3BBF3224}" type="presParOf" srcId="{406BE744-506C-4334-B471-48DF82844C3D}" destId="{5F998E6F-C9EC-4764-B401-C6F47A7F9690}" srcOrd="9" destOrd="0" presId="urn:microsoft.com/office/officeart/2009/3/layout/PieProcess"/>
    <dgm:cxn modelId="{83239314-2D22-4837-A9F4-AFD3BC3424E5}" type="presParOf" srcId="{406BE744-506C-4334-B471-48DF82844C3D}" destId="{54631C94-5EAF-4787-90DB-5CA190907BF6}" srcOrd="10" destOrd="0" presId="urn:microsoft.com/office/officeart/2009/3/layout/PieProcess"/>
    <dgm:cxn modelId="{5E28B271-77F3-446E-AD18-E5D7CD616747}" type="presParOf" srcId="{54631C94-5EAF-4787-90DB-5CA190907BF6}" destId="{D346F14B-F20E-4D65-B9EB-93614036CCA9}" srcOrd="0" destOrd="0" presId="urn:microsoft.com/office/officeart/2009/3/layout/Pie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7328C0-2474-40F5-AECA-63766E1F01C9}"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s-ES"/>
        </a:p>
      </dgm:t>
    </dgm:pt>
    <dgm:pt modelId="{200899CB-3310-4865-9173-FE8CA824B111}">
      <dgm:prSet phldrT="[Texto]"/>
      <dgm:spPr/>
      <dgm:t>
        <a:bodyPr/>
        <a:lstStyle/>
        <a:p>
          <a:r>
            <a:rPr lang="es-ES" dirty="0"/>
            <a:t>Prevención </a:t>
          </a:r>
        </a:p>
      </dgm:t>
    </dgm:pt>
    <dgm:pt modelId="{A9A948F3-5C44-4869-998C-FE642B2A22FF}" type="parTrans" cxnId="{FC9E8151-F9FF-4B87-83F3-170C0186A34E}">
      <dgm:prSet/>
      <dgm:spPr/>
      <dgm:t>
        <a:bodyPr/>
        <a:lstStyle/>
        <a:p>
          <a:endParaRPr lang="es-ES">
            <a:solidFill>
              <a:schemeClr val="accent2"/>
            </a:solidFill>
          </a:endParaRPr>
        </a:p>
      </dgm:t>
    </dgm:pt>
    <dgm:pt modelId="{87E30B7A-2E7A-485B-A53D-F5DD1F2B45AB}" type="sibTrans" cxnId="{FC9E8151-F9FF-4B87-83F3-170C0186A34E}">
      <dgm:prSet/>
      <dgm:spPr/>
      <dgm:t>
        <a:bodyPr/>
        <a:lstStyle/>
        <a:p>
          <a:endParaRPr lang="es-ES">
            <a:solidFill>
              <a:schemeClr val="accent2"/>
            </a:solidFill>
          </a:endParaRPr>
        </a:p>
      </dgm:t>
    </dgm:pt>
    <dgm:pt modelId="{5E9CB498-8765-4F19-8B1D-75B04591EB81}">
      <dgm:prSet phldrT="[Texto]"/>
      <dgm:spPr/>
      <dgm:t>
        <a:bodyPr/>
        <a:lstStyle/>
        <a:p>
          <a:r>
            <a:rPr lang="es-CL" dirty="0">
              <a:latin typeface="Calibri" panose="020F0502020204030204" pitchFamily="34" charset="0"/>
              <a:cs typeface="Calibri" panose="020F0502020204030204" pitchFamily="34" charset="0"/>
            </a:rPr>
            <a:t>Actividades orientadas a fortalecer las competencias académicas: dominio del rol de estudiante;  autogestión; aprender a aprender, incorporar las emociones a los espacios de aprendizaje;  pedir ayuda;  trabajo y colaboración en grupo; tolerancia a la frustración, entre otros</a:t>
          </a:r>
          <a:endParaRPr lang="es-ES" dirty="0">
            <a:latin typeface="Calibri" panose="020F0502020204030204" pitchFamily="34" charset="0"/>
            <a:cs typeface="Calibri" panose="020F0502020204030204" pitchFamily="34" charset="0"/>
          </a:endParaRPr>
        </a:p>
      </dgm:t>
    </dgm:pt>
    <dgm:pt modelId="{25E7EB18-0BFA-461F-A1F8-4CFE3AB8291A}" type="parTrans" cxnId="{7454F096-D736-41BB-AC3B-30CB988B980B}">
      <dgm:prSet/>
      <dgm:spPr/>
      <dgm:t>
        <a:bodyPr/>
        <a:lstStyle/>
        <a:p>
          <a:endParaRPr lang="es-ES">
            <a:solidFill>
              <a:schemeClr val="accent2"/>
            </a:solidFill>
          </a:endParaRPr>
        </a:p>
      </dgm:t>
    </dgm:pt>
    <dgm:pt modelId="{C0F01BEA-6544-4B97-B29F-29CBF057637D}" type="sibTrans" cxnId="{7454F096-D736-41BB-AC3B-30CB988B980B}">
      <dgm:prSet/>
      <dgm:spPr/>
      <dgm:t>
        <a:bodyPr/>
        <a:lstStyle/>
        <a:p>
          <a:endParaRPr lang="es-ES">
            <a:solidFill>
              <a:schemeClr val="accent2"/>
            </a:solidFill>
          </a:endParaRPr>
        </a:p>
      </dgm:t>
    </dgm:pt>
    <dgm:pt modelId="{B9E2FB0E-1DF6-4B92-89AE-8C961095D321}">
      <dgm:prSet phldrT="[Texto]"/>
      <dgm:spPr/>
      <dgm:t>
        <a:bodyPr/>
        <a:lstStyle/>
        <a:p>
          <a:r>
            <a:rPr lang="es-ES" dirty="0"/>
            <a:t>Orientación </a:t>
          </a:r>
        </a:p>
      </dgm:t>
    </dgm:pt>
    <dgm:pt modelId="{F5AA6C5A-2EF7-446F-AF94-D8BD747623BF}" type="parTrans" cxnId="{4CF4B832-9421-4EAF-BD71-850B3779B426}">
      <dgm:prSet/>
      <dgm:spPr/>
      <dgm:t>
        <a:bodyPr/>
        <a:lstStyle/>
        <a:p>
          <a:endParaRPr lang="es-ES">
            <a:solidFill>
              <a:schemeClr val="accent2"/>
            </a:solidFill>
          </a:endParaRPr>
        </a:p>
      </dgm:t>
    </dgm:pt>
    <dgm:pt modelId="{76F81ECA-CBA1-44B1-98E9-2802B20130FF}" type="sibTrans" cxnId="{4CF4B832-9421-4EAF-BD71-850B3779B426}">
      <dgm:prSet/>
      <dgm:spPr/>
      <dgm:t>
        <a:bodyPr/>
        <a:lstStyle/>
        <a:p>
          <a:endParaRPr lang="es-ES">
            <a:solidFill>
              <a:schemeClr val="accent2"/>
            </a:solidFill>
          </a:endParaRPr>
        </a:p>
      </dgm:t>
    </dgm:pt>
    <dgm:pt modelId="{1AA63A51-A97E-433F-A353-AF0CF82B4069}">
      <dgm:prSet phldrT="[Texto]"/>
      <dgm:spPr/>
      <dgm:t>
        <a:bodyPr/>
        <a:lstStyle/>
        <a:p>
          <a:r>
            <a:rPr lang="es-ES" dirty="0"/>
            <a:t>Derivación </a:t>
          </a:r>
        </a:p>
      </dgm:t>
    </dgm:pt>
    <dgm:pt modelId="{4959EC2C-2400-4423-B084-943CB1ADF44B}" type="parTrans" cxnId="{4E3115A6-9BC5-4065-8D86-BD42AF8201C4}">
      <dgm:prSet/>
      <dgm:spPr/>
      <dgm:t>
        <a:bodyPr/>
        <a:lstStyle/>
        <a:p>
          <a:endParaRPr lang="es-ES">
            <a:solidFill>
              <a:schemeClr val="accent2"/>
            </a:solidFill>
          </a:endParaRPr>
        </a:p>
      </dgm:t>
    </dgm:pt>
    <dgm:pt modelId="{A68B76DD-1D35-456F-93AB-23CF277FA6F1}" type="sibTrans" cxnId="{4E3115A6-9BC5-4065-8D86-BD42AF8201C4}">
      <dgm:prSet/>
      <dgm:spPr/>
      <dgm:t>
        <a:bodyPr/>
        <a:lstStyle/>
        <a:p>
          <a:endParaRPr lang="es-ES">
            <a:solidFill>
              <a:schemeClr val="accent2"/>
            </a:solidFill>
          </a:endParaRPr>
        </a:p>
      </dgm:t>
    </dgm:pt>
    <dgm:pt modelId="{87E5DA8C-0D18-40AC-AF9A-5429EA5D8E93}">
      <dgm:prSet phldrT="[Texto]"/>
      <dgm:spPr/>
      <dgm:t>
        <a:bodyPr/>
        <a:lstStyle/>
        <a:p>
          <a:r>
            <a:rPr lang="es-CL" dirty="0">
              <a:latin typeface="Calibri" panose="020F0502020204030204" pitchFamily="34" charset="0"/>
              <a:cs typeface="Calibri" panose="020F0502020204030204" pitchFamily="34" charset="0"/>
            </a:rPr>
            <a:t>Atención profesional a unidades especializadas de la institución de bienestar psicosocial o bien a la red se servicios públicos y/o privados, cuando sea pertinente. </a:t>
          </a:r>
          <a:endParaRPr lang="es-ES" dirty="0">
            <a:latin typeface="Calibri" panose="020F0502020204030204" pitchFamily="34" charset="0"/>
            <a:cs typeface="Calibri" panose="020F0502020204030204" pitchFamily="34" charset="0"/>
          </a:endParaRPr>
        </a:p>
      </dgm:t>
    </dgm:pt>
    <dgm:pt modelId="{ABCD302A-2997-430D-8D60-F561206E74DA}" type="parTrans" cxnId="{4DCACE30-E6CA-4B48-AD92-259DBA2B1D7C}">
      <dgm:prSet/>
      <dgm:spPr/>
      <dgm:t>
        <a:bodyPr/>
        <a:lstStyle/>
        <a:p>
          <a:endParaRPr lang="es-ES">
            <a:solidFill>
              <a:schemeClr val="accent2"/>
            </a:solidFill>
          </a:endParaRPr>
        </a:p>
      </dgm:t>
    </dgm:pt>
    <dgm:pt modelId="{3F165115-96DA-4972-B6AD-F009D288E2B8}" type="sibTrans" cxnId="{4DCACE30-E6CA-4B48-AD92-259DBA2B1D7C}">
      <dgm:prSet/>
      <dgm:spPr/>
      <dgm:t>
        <a:bodyPr/>
        <a:lstStyle/>
        <a:p>
          <a:endParaRPr lang="es-ES">
            <a:solidFill>
              <a:schemeClr val="accent2"/>
            </a:solidFill>
          </a:endParaRPr>
        </a:p>
      </dgm:t>
    </dgm:pt>
    <dgm:pt modelId="{A01B67B9-A465-4429-9C61-296C0ED54BFA}">
      <dgm:prSet phldrT="[Texto]"/>
      <dgm:spPr/>
      <dgm:t>
        <a:bodyPr/>
        <a:lstStyle/>
        <a:p>
          <a:endParaRPr lang="es-ES" dirty="0">
            <a:solidFill>
              <a:schemeClr val="accent2"/>
            </a:solidFill>
          </a:endParaRPr>
        </a:p>
      </dgm:t>
    </dgm:pt>
    <dgm:pt modelId="{D94321F1-7CEE-4D99-8EEF-1A423F2BCD45}" type="parTrans" cxnId="{F2C65150-5816-4D17-B459-FD57449187C4}">
      <dgm:prSet/>
      <dgm:spPr/>
      <dgm:t>
        <a:bodyPr/>
        <a:lstStyle/>
        <a:p>
          <a:endParaRPr lang="es-ES">
            <a:solidFill>
              <a:schemeClr val="accent2"/>
            </a:solidFill>
          </a:endParaRPr>
        </a:p>
      </dgm:t>
    </dgm:pt>
    <dgm:pt modelId="{8EFEB996-3F13-4725-A3D4-8E1D56BC3212}" type="sibTrans" cxnId="{F2C65150-5816-4D17-B459-FD57449187C4}">
      <dgm:prSet/>
      <dgm:spPr/>
      <dgm:t>
        <a:bodyPr/>
        <a:lstStyle/>
        <a:p>
          <a:endParaRPr lang="es-ES">
            <a:solidFill>
              <a:schemeClr val="accent2"/>
            </a:solidFill>
          </a:endParaRPr>
        </a:p>
      </dgm:t>
    </dgm:pt>
    <dgm:pt modelId="{9E62C5AC-0C42-428C-BFEB-9CB033EBDD96}">
      <dgm:prSet phldrT="[Texto]"/>
      <dgm:spPr/>
      <dgm:t>
        <a:bodyPr/>
        <a:lstStyle/>
        <a:p>
          <a:endParaRPr lang="es-ES" dirty="0">
            <a:solidFill>
              <a:schemeClr val="accent2"/>
            </a:solidFill>
          </a:endParaRPr>
        </a:p>
      </dgm:t>
    </dgm:pt>
    <dgm:pt modelId="{2D48324F-1F86-473F-A22C-E8AA015D9E14}" type="parTrans" cxnId="{7D6754B2-274A-429B-BB02-1F8E19CA7115}">
      <dgm:prSet/>
      <dgm:spPr/>
      <dgm:t>
        <a:bodyPr/>
        <a:lstStyle/>
        <a:p>
          <a:endParaRPr lang="es-ES">
            <a:solidFill>
              <a:schemeClr val="accent2"/>
            </a:solidFill>
          </a:endParaRPr>
        </a:p>
      </dgm:t>
    </dgm:pt>
    <dgm:pt modelId="{683F094F-2CF9-48B0-96DE-23D079E94822}" type="sibTrans" cxnId="{7D6754B2-274A-429B-BB02-1F8E19CA7115}">
      <dgm:prSet/>
      <dgm:spPr/>
      <dgm:t>
        <a:bodyPr/>
        <a:lstStyle/>
        <a:p>
          <a:endParaRPr lang="es-ES">
            <a:solidFill>
              <a:schemeClr val="accent2"/>
            </a:solidFill>
          </a:endParaRPr>
        </a:p>
      </dgm:t>
    </dgm:pt>
    <dgm:pt modelId="{6590A158-EDFE-46D3-9BA2-F05F00E6803E}">
      <dgm:prSet phldrT="[Texto]"/>
      <dgm:spPr/>
      <dgm:t>
        <a:bodyPr/>
        <a:lstStyle/>
        <a:p>
          <a:endParaRPr lang="es-ES" dirty="0">
            <a:solidFill>
              <a:schemeClr val="accent2"/>
            </a:solidFill>
          </a:endParaRPr>
        </a:p>
      </dgm:t>
    </dgm:pt>
    <dgm:pt modelId="{297EEE1F-EB8C-4896-9027-2970D2943370}" type="parTrans" cxnId="{FE26CFA4-16E6-4B83-82AB-0CF4976FE91C}">
      <dgm:prSet/>
      <dgm:spPr/>
      <dgm:t>
        <a:bodyPr/>
        <a:lstStyle/>
        <a:p>
          <a:endParaRPr lang="es-ES">
            <a:solidFill>
              <a:schemeClr val="accent2"/>
            </a:solidFill>
          </a:endParaRPr>
        </a:p>
      </dgm:t>
    </dgm:pt>
    <dgm:pt modelId="{7F85A2C5-5353-46AA-BE24-BA7C8D8B4F04}" type="sibTrans" cxnId="{FE26CFA4-16E6-4B83-82AB-0CF4976FE91C}">
      <dgm:prSet/>
      <dgm:spPr/>
      <dgm:t>
        <a:bodyPr/>
        <a:lstStyle/>
        <a:p>
          <a:endParaRPr lang="es-ES">
            <a:solidFill>
              <a:schemeClr val="accent2"/>
            </a:solidFill>
          </a:endParaRPr>
        </a:p>
      </dgm:t>
    </dgm:pt>
    <dgm:pt modelId="{3FD3FECC-FCB4-4777-B626-D9D6A03DDA3D}">
      <dgm:prSet phldrT="[Texto]"/>
      <dgm:spPr/>
      <dgm:t>
        <a:bodyPr/>
        <a:lstStyle/>
        <a:p>
          <a:r>
            <a:rPr lang="es-ES" dirty="0">
              <a:latin typeface="Calibri" panose="020F0502020204030204" pitchFamily="34" charset="0"/>
              <a:cs typeface="Calibri" panose="020F0502020204030204" pitchFamily="34" charset="0"/>
            </a:rPr>
            <a:t>Atender en forma anticipada las vulnerabilidades psicosociales detectadas en los diagnósticos: alimentación, residencia, salud mental, entro otros. </a:t>
          </a:r>
        </a:p>
      </dgm:t>
    </dgm:pt>
    <dgm:pt modelId="{2D8CE93A-C33F-40BC-9006-B670BB6D9C5B}" type="parTrans" cxnId="{1B51766D-0502-4665-95E7-1D9B07A6BCB6}">
      <dgm:prSet/>
      <dgm:spPr/>
      <dgm:t>
        <a:bodyPr/>
        <a:lstStyle/>
        <a:p>
          <a:endParaRPr lang="es-ES"/>
        </a:p>
      </dgm:t>
    </dgm:pt>
    <dgm:pt modelId="{8F8985A4-492B-467A-990A-72E46C08A134}" type="sibTrans" cxnId="{1B51766D-0502-4665-95E7-1D9B07A6BCB6}">
      <dgm:prSet/>
      <dgm:spPr/>
      <dgm:t>
        <a:bodyPr/>
        <a:lstStyle/>
        <a:p>
          <a:endParaRPr lang="es-ES"/>
        </a:p>
      </dgm:t>
    </dgm:pt>
    <dgm:pt modelId="{E0DD9B73-9530-4253-A544-0234C63F2A0E}">
      <dgm:prSet phldrT="[Texto]"/>
      <dgm:spPr/>
      <dgm:t>
        <a:bodyPr/>
        <a:lstStyle/>
        <a:p>
          <a:r>
            <a:rPr lang="es-CL" dirty="0">
              <a:latin typeface="Calibri" panose="020F0502020204030204" pitchFamily="34" charset="0"/>
              <a:cs typeface="Calibri" panose="020F0502020204030204" pitchFamily="34" charset="0"/>
            </a:rPr>
            <a:t>Acciones de apoyo en la resolución de dificultades psicoeducativas como:  organización del tiempo, estrategias de estudio, ansiedad ante el rendimiento, toma de decisiones,  orientación vocacional</a:t>
          </a:r>
          <a:endParaRPr lang="es-ES" dirty="0">
            <a:latin typeface="Calibri" panose="020F0502020204030204" pitchFamily="34" charset="0"/>
            <a:cs typeface="Calibri" panose="020F0502020204030204" pitchFamily="34" charset="0"/>
          </a:endParaRPr>
        </a:p>
      </dgm:t>
    </dgm:pt>
    <dgm:pt modelId="{4842AE03-59AD-4851-A46E-932F964B6358}" type="parTrans" cxnId="{BED5550D-D915-4D3D-85D4-3F56949147D8}">
      <dgm:prSet/>
      <dgm:spPr/>
      <dgm:t>
        <a:bodyPr/>
        <a:lstStyle/>
        <a:p>
          <a:endParaRPr lang="es-ES"/>
        </a:p>
      </dgm:t>
    </dgm:pt>
    <dgm:pt modelId="{D8AC9276-F391-4BE7-A3D6-ACE27A2DE049}" type="sibTrans" cxnId="{BED5550D-D915-4D3D-85D4-3F56949147D8}">
      <dgm:prSet/>
      <dgm:spPr/>
      <dgm:t>
        <a:bodyPr/>
        <a:lstStyle/>
        <a:p>
          <a:endParaRPr lang="es-ES"/>
        </a:p>
      </dgm:t>
    </dgm:pt>
    <dgm:pt modelId="{816CDEDF-7D7C-4F03-A8C0-E2D9CE08A3F6}">
      <dgm:prSet phldrT="[Texto]"/>
      <dgm:spPr/>
      <dgm:t>
        <a:bodyPr/>
        <a:lstStyle/>
        <a:p>
          <a:r>
            <a:rPr lang="es-ES" b="1" dirty="0">
              <a:latin typeface="Calibri" panose="020F0502020204030204" pitchFamily="34" charset="0"/>
              <a:cs typeface="Calibri" panose="020F0502020204030204" pitchFamily="34" charset="0"/>
            </a:rPr>
            <a:t>Actividades</a:t>
          </a:r>
          <a:r>
            <a:rPr lang="es-ES" dirty="0">
              <a:latin typeface="Calibri" panose="020F0502020204030204" pitchFamily="34" charset="0"/>
              <a:cs typeface="Calibri" panose="020F0502020204030204" pitchFamily="34" charset="0"/>
            </a:rPr>
            <a:t>: atención individual profesional y talleres grupales focalizados </a:t>
          </a:r>
        </a:p>
      </dgm:t>
    </dgm:pt>
    <dgm:pt modelId="{02EDF6D9-5EA9-4B43-934C-11BE02064FF5}" type="parTrans" cxnId="{81891CF4-72E0-4761-BC95-AC5B7FD4C0CD}">
      <dgm:prSet/>
      <dgm:spPr/>
      <dgm:t>
        <a:bodyPr/>
        <a:lstStyle/>
        <a:p>
          <a:endParaRPr lang="es-ES"/>
        </a:p>
      </dgm:t>
    </dgm:pt>
    <dgm:pt modelId="{070EB52A-824C-4272-B547-1FD41CAEB1F2}" type="sibTrans" cxnId="{81891CF4-72E0-4761-BC95-AC5B7FD4C0CD}">
      <dgm:prSet/>
      <dgm:spPr/>
      <dgm:t>
        <a:bodyPr/>
        <a:lstStyle/>
        <a:p>
          <a:endParaRPr lang="es-ES"/>
        </a:p>
      </dgm:t>
    </dgm:pt>
    <dgm:pt modelId="{C85D40DC-728E-4BBD-A972-74BA3F138672}">
      <dgm:prSet phldrT="[Texto]"/>
      <dgm:spPr/>
      <dgm:t>
        <a:bodyPr/>
        <a:lstStyle/>
        <a:p>
          <a:r>
            <a:rPr lang="es-ES" b="1" dirty="0">
              <a:latin typeface="Calibri" panose="020F0502020204030204" pitchFamily="34" charset="0"/>
              <a:cs typeface="Calibri" panose="020F0502020204030204" pitchFamily="34" charset="0"/>
            </a:rPr>
            <a:t>Actividades</a:t>
          </a:r>
          <a:r>
            <a:rPr lang="es-ES" dirty="0">
              <a:latin typeface="Calibri" panose="020F0502020204030204" pitchFamily="34" charset="0"/>
              <a:cs typeface="Calibri" panose="020F0502020204030204" pitchFamily="34" charset="0"/>
            </a:rPr>
            <a:t>: Talleres grupales abiertos; actividades recreativas; bienestar estudiantil </a:t>
          </a:r>
        </a:p>
      </dgm:t>
    </dgm:pt>
    <dgm:pt modelId="{33985166-CCD6-40FF-91B7-305583B7D2BF}" type="parTrans" cxnId="{4B287F7A-CE01-47BE-9059-19FE990FCD7F}">
      <dgm:prSet/>
      <dgm:spPr/>
      <dgm:t>
        <a:bodyPr/>
        <a:lstStyle/>
        <a:p>
          <a:endParaRPr lang="es-ES"/>
        </a:p>
      </dgm:t>
    </dgm:pt>
    <dgm:pt modelId="{2EB97AD5-14C9-43D4-A34B-6A0E9A8CCF63}" type="sibTrans" cxnId="{4B287F7A-CE01-47BE-9059-19FE990FCD7F}">
      <dgm:prSet/>
      <dgm:spPr/>
      <dgm:t>
        <a:bodyPr/>
        <a:lstStyle/>
        <a:p>
          <a:endParaRPr lang="es-ES"/>
        </a:p>
      </dgm:t>
    </dgm:pt>
    <dgm:pt modelId="{57DE884F-2C69-4536-AD61-26C633115AF4}">
      <dgm:prSet phldrT="[Texto]"/>
      <dgm:spPr/>
      <dgm:t>
        <a:bodyPr/>
        <a:lstStyle/>
        <a:p>
          <a:endParaRPr lang="es-ES" dirty="0">
            <a:latin typeface="Calibri" panose="020F0502020204030204" pitchFamily="34" charset="0"/>
            <a:cs typeface="Calibri" panose="020F0502020204030204" pitchFamily="34" charset="0"/>
          </a:endParaRPr>
        </a:p>
      </dgm:t>
    </dgm:pt>
    <dgm:pt modelId="{6311DC3B-E891-4F51-A68A-6FD8E6A9152F}" type="parTrans" cxnId="{6A4C250B-1664-4647-81A3-D3A75F3B3F81}">
      <dgm:prSet/>
      <dgm:spPr/>
      <dgm:t>
        <a:bodyPr/>
        <a:lstStyle/>
        <a:p>
          <a:endParaRPr lang="es-ES"/>
        </a:p>
      </dgm:t>
    </dgm:pt>
    <dgm:pt modelId="{C5128C33-D3EE-4F2D-8F40-A0769793939C}" type="sibTrans" cxnId="{6A4C250B-1664-4647-81A3-D3A75F3B3F81}">
      <dgm:prSet/>
      <dgm:spPr/>
      <dgm:t>
        <a:bodyPr/>
        <a:lstStyle/>
        <a:p>
          <a:endParaRPr lang="es-ES"/>
        </a:p>
      </dgm:t>
    </dgm:pt>
    <dgm:pt modelId="{51512C64-B45A-428A-AB44-11300B1B5ECC}">
      <dgm:prSet phldrT="[Texto]"/>
      <dgm:spPr/>
      <dgm:t>
        <a:bodyPr/>
        <a:lstStyle/>
        <a:p>
          <a:r>
            <a:rPr lang="es-ES" b="1" dirty="0">
              <a:latin typeface="Calibri" panose="020F0502020204030204" pitchFamily="34" charset="0"/>
              <a:cs typeface="Calibri" panose="020F0502020204030204" pitchFamily="34" charset="0"/>
            </a:rPr>
            <a:t>Actividades</a:t>
          </a:r>
          <a:r>
            <a:rPr lang="es-ES" dirty="0">
              <a:latin typeface="Calibri" panose="020F0502020204030204" pitchFamily="34" charset="0"/>
              <a:cs typeface="Calibri" panose="020F0502020204030204" pitchFamily="34" charset="0"/>
            </a:rPr>
            <a:t>: atención individual profesional:asistente social, psicólogo/a; médicos/as</a:t>
          </a:r>
        </a:p>
      </dgm:t>
    </dgm:pt>
    <dgm:pt modelId="{8B80715D-8FA3-49BA-A452-A1B45CD37925}" type="parTrans" cxnId="{3421905F-EA70-47CC-925E-96573216969C}">
      <dgm:prSet/>
      <dgm:spPr/>
      <dgm:t>
        <a:bodyPr/>
        <a:lstStyle/>
        <a:p>
          <a:endParaRPr lang="es-ES"/>
        </a:p>
      </dgm:t>
    </dgm:pt>
    <dgm:pt modelId="{48F55728-E49F-4086-87F0-F9CED4B30AB6}" type="sibTrans" cxnId="{3421905F-EA70-47CC-925E-96573216969C}">
      <dgm:prSet/>
      <dgm:spPr/>
      <dgm:t>
        <a:bodyPr/>
        <a:lstStyle/>
        <a:p>
          <a:endParaRPr lang="es-ES"/>
        </a:p>
      </dgm:t>
    </dgm:pt>
    <dgm:pt modelId="{65718A50-8085-40B1-8BEC-914A5874A9D0}">
      <dgm:prSet phldrT="[Texto]"/>
      <dgm:spPr/>
      <dgm:t>
        <a:bodyPr/>
        <a:lstStyle/>
        <a:p>
          <a:endParaRPr lang="es-ES" dirty="0">
            <a:latin typeface="Calibri" panose="020F0502020204030204" pitchFamily="34" charset="0"/>
            <a:cs typeface="Calibri" panose="020F0502020204030204" pitchFamily="34" charset="0"/>
          </a:endParaRPr>
        </a:p>
      </dgm:t>
    </dgm:pt>
    <dgm:pt modelId="{B6E44274-1B1A-4283-9446-B10D663F27C0}" type="parTrans" cxnId="{02C58F53-EBF0-47F6-9661-5E33B59DDC29}">
      <dgm:prSet/>
      <dgm:spPr/>
      <dgm:t>
        <a:bodyPr/>
        <a:lstStyle/>
        <a:p>
          <a:endParaRPr lang="es-ES"/>
        </a:p>
      </dgm:t>
    </dgm:pt>
    <dgm:pt modelId="{5D6337F4-9322-4952-89C1-64E2F07BF527}" type="sibTrans" cxnId="{02C58F53-EBF0-47F6-9661-5E33B59DDC29}">
      <dgm:prSet/>
      <dgm:spPr/>
      <dgm:t>
        <a:bodyPr/>
        <a:lstStyle/>
        <a:p>
          <a:endParaRPr lang="es-ES"/>
        </a:p>
      </dgm:t>
    </dgm:pt>
    <dgm:pt modelId="{71C8E36E-24FC-43B7-ADA4-FA76E57B9A3F}" type="pres">
      <dgm:prSet presAssocID="{6B7328C0-2474-40F5-AECA-63766E1F01C9}" presName="Name0" presStyleCnt="0">
        <dgm:presLayoutVars>
          <dgm:dir/>
          <dgm:animLvl val="lvl"/>
          <dgm:resizeHandles val="exact"/>
        </dgm:presLayoutVars>
      </dgm:prSet>
      <dgm:spPr/>
    </dgm:pt>
    <dgm:pt modelId="{2FBB469A-CBC3-4F20-8ED9-0583B6286329}" type="pres">
      <dgm:prSet presAssocID="{6B7328C0-2474-40F5-AECA-63766E1F01C9}" presName="tSp" presStyleCnt="0"/>
      <dgm:spPr/>
    </dgm:pt>
    <dgm:pt modelId="{DE0D5000-FE59-4AB6-A97B-7ABC5CFF815A}" type="pres">
      <dgm:prSet presAssocID="{6B7328C0-2474-40F5-AECA-63766E1F01C9}" presName="bSp" presStyleCnt="0"/>
      <dgm:spPr/>
    </dgm:pt>
    <dgm:pt modelId="{C3AC37DC-1CCB-4F6D-AEDA-F31100FA3238}" type="pres">
      <dgm:prSet presAssocID="{6B7328C0-2474-40F5-AECA-63766E1F01C9}" presName="process" presStyleCnt="0"/>
      <dgm:spPr/>
    </dgm:pt>
    <dgm:pt modelId="{29DB5DE2-B975-4B53-BD1A-096054F65465}" type="pres">
      <dgm:prSet presAssocID="{200899CB-3310-4865-9173-FE8CA824B111}" presName="composite1" presStyleCnt="0"/>
      <dgm:spPr/>
    </dgm:pt>
    <dgm:pt modelId="{278DA3C6-18AE-4833-B8A9-0606E4BD1BCE}" type="pres">
      <dgm:prSet presAssocID="{200899CB-3310-4865-9173-FE8CA824B111}" presName="dummyNode1" presStyleLbl="node1" presStyleIdx="0" presStyleCnt="3"/>
      <dgm:spPr/>
    </dgm:pt>
    <dgm:pt modelId="{2DB0C2C2-D4EA-441E-B2D6-48CC961CFC25}" type="pres">
      <dgm:prSet presAssocID="{200899CB-3310-4865-9173-FE8CA824B111}" presName="childNode1" presStyleLbl="bgAcc1" presStyleIdx="0" presStyleCnt="3">
        <dgm:presLayoutVars>
          <dgm:bulletEnabled val="1"/>
        </dgm:presLayoutVars>
      </dgm:prSet>
      <dgm:spPr/>
    </dgm:pt>
    <dgm:pt modelId="{F624D417-26FE-4B82-BB3C-5FE48108171F}" type="pres">
      <dgm:prSet presAssocID="{200899CB-3310-4865-9173-FE8CA824B111}" presName="childNode1tx" presStyleLbl="bgAcc1" presStyleIdx="0" presStyleCnt="3">
        <dgm:presLayoutVars>
          <dgm:bulletEnabled val="1"/>
        </dgm:presLayoutVars>
      </dgm:prSet>
      <dgm:spPr/>
    </dgm:pt>
    <dgm:pt modelId="{E6912BE5-DA9D-4A3F-9610-BF4FF5F3A30B}" type="pres">
      <dgm:prSet presAssocID="{200899CB-3310-4865-9173-FE8CA824B111}" presName="parentNode1" presStyleLbl="node1" presStyleIdx="0" presStyleCnt="3">
        <dgm:presLayoutVars>
          <dgm:chMax val="1"/>
          <dgm:bulletEnabled val="1"/>
        </dgm:presLayoutVars>
      </dgm:prSet>
      <dgm:spPr/>
    </dgm:pt>
    <dgm:pt modelId="{BE2AA0DF-92F8-4B7E-BBF0-D5AB108A5058}" type="pres">
      <dgm:prSet presAssocID="{200899CB-3310-4865-9173-FE8CA824B111}" presName="connSite1" presStyleCnt="0"/>
      <dgm:spPr/>
    </dgm:pt>
    <dgm:pt modelId="{EC3357ED-6F8B-4109-9D3B-E80B304FE00C}" type="pres">
      <dgm:prSet presAssocID="{87E30B7A-2E7A-485B-A53D-F5DD1F2B45AB}" presName="Name9" presStyleLbl="sibTrans2D1" presStyleIdx="0" presStyleCnt="2"/>
      <dgm:spPr/>
    </dgm:pt>
    <dgm:pt modelId="{106755E9-DE64-4E9E-9FE0-0773C0D1EF20}" type="pres">
      <dgm:prSet presAssocID="{B9E2FB0E-1DF6-4B92-89AE-8C961095D321}" presName="composite2" presStyleCnt="0"/>
      <dgm:spPr/>
    </dgm:pt>
    <dgm:pt modelId="{506EDB42-6C29-4982-A8CE-58ACFF99F9BC}" type="pres">
      <dgm:prSet presAssocID="{B9E2FB0E-1DF6-4B92-89AE-8C961095D321}" presName="dummyNode2" presStyleLbl="node1" presStyleIdx="0" presStyleCnt="3"/>
      <dgm:spPr/>
    </dgm:pt>
    <dgm:pt modelId="{25964299-0EA6-487D-82E4-524F16718063}" type="pres">
      <dgm:prSet presAssocID="{B9E2FB0E-1DF6-4B92-89AE-8C961095D321}" presName="childNode2" presStyleLbl="bgAcc1" presStyleIdx="1" presStyleCnt="3">
        <dgm:presLayoutVars>
          <dgm:bulletEnabled val="1"/>
        </dgm:presLayoutVars>
      </dgm:prSet>
      <dgm:spPr/>
    </dgm:pt>
    <dgm:pt modelId="{9E804229-03DA-4AC6-BA56-882AAF1CE77B}" type="pres">
      <dgm:prSet presAssocID="{B9E2FB0E-1DF6-4B92-89AE-8C961095D321}" presName="childNode2tx" presStyleLbl="bgAcc1" presStyleIdx="1" presStyleCnt="3">
        <dgm:presLayoutVars>
          <dgm:bulletEnabled val="1"/>
        </dgm:presLayoutVars>
      </dgm:prSet>
      <dgm:spPr/>
    </dgm:pt>
    <dgm:pt modelId="{69181652-069E-4AF8-9038-75D2E581D9E8}" type="pres">
      <dgm:prSet presAssocID="{B9E2FB0E-1DF6-4B92-89AE-8C961095D321}" presName="parentNode2" presStyleLbl="node1" presStyleIdx="1" presStyleCnt="3">
        <dgm:presLayoutVars>
          <dgm:chMax val="0"/>
          <dgm:bulletEnabled val="1"/>
        </dgm:presLayoutVars>
      </dgm:prSet>
      <dgm:spPr/>
    </dgm:pt>
    <dgm:pt modelId="{4A786A2F-7105-4D9A-BB8C-EEECD13E757E}" type="pres">
      <dgm:prSet presAssocID="{B9E2FB0E-1DF6-4B92-89AE-8C961095D321}" presName="connSite2" presStyleCnt="0"/>
      <dgm:spPr/>
    </dgm:pt>
    <dgm:pt modelId="{A437C1CC-9B5F-44E4-8414-711E53FF309E}" type="pres">
      <dgm:prSet presAssocID="{76F81ECA-CBA1-44B1-98E9-2802B20130FF}" presName="Name18" presStyleLbl="sibTrans2D1" presStyleIdx="1" presStyleCnt="2"/>
      <dgm:spPr/>
    </dgm:pt>
    <dgm:pt modelId="{7F20AECB-7658-429E-800C-1AF5616D2243}" type="pres">
      <dgm:prSet presAssocID="{1AA63A51-A97E-433F-A353-AF0CF82B4069}" presName="composite1" presStyleCnt="0"/>
      <dgm:spPr/>
    </dgm:pt>
    <dgm:pt modelId="{29F26EBF-AA6C-483D-9668-91433F8211B5}" type="pres">
      <dgm:prSet presAssocID="{1AA63A51-A97E-433F-A353-AF0CF82B4069}" presName="dummyNode1" presStyleLbl="node1" presStyleIdx="1" presStyleCnt="3"/>
      <dgm:spPr/>
    </dgm:pt>
    <dgm:pt modelId="{674E7F01-BDDC-4491-BE67-646A3A7ACA36}" type="pres">
      <dgm:prSet presAssocID="{1AA63A51-A97E-433F-A353-AF0CF82B4069}" presName="childNode1" presStyleLbl="bgAcc1" presStyleIdx="2" presStyleCnt="3">
        <dgm:presLayoutVars>
          <dgm:bulletEnabled val="1"/>
        </dgm:presLayoutVars>
      </dgm:prSet>
      <dgm:spPr/>
    </dgm:pt>
    <dgm:pt modelId="{5AD7C6B1-5571-4F0B-A880-C63D9FB281AA}" type="pres">
      <dgm:prSet presAssocID="{1AA63A51-A97E-433F-A353-AF0CF82B4069}" presName="childNode1tx" presStyleLbl="bgAcc1" presStyleIdx="2" presStyleCnt="3">
        <dgm:presLayoutVars>
          <dgm:bulletEnabled val="1"/>
        </dgm:presLayoutVars>
      </dgm:prSet>
      <dgm:spPr/>
    </dgm:pt>
    <dgm:pt modelId="{8DC81FC9-BE79-4ED2-999A-C9220308442A}" type="pres">
      <dgm:prSet presAssocID="{1AA63A51-A97E-433F-A353-AF0CF82B4069}" presName="parentNode1" presStyleLbl="node1" presStyleIdx="2" presStyleCnt="3">
        <dgm:presLayoutVars>
          <dgm:chMax val="1"/>
          <dgm:bulletEnabled val="1"/>
        </dgm:presLayoutVars>
      </dgm:prSet>
      <dgm:spPr/>
    </dgm:pt>
    <dgm:pt modelId="{EBDAB500-5395-4547-B253-814E6A26ED55}" type="pres">
      <dgm:prSet presAssocID="{1AA63A51-A97E-433F-A353-AF0CF82B4069}" presName="connSite1" presStyleCnt="0"/>
      <dgm:spPr/>
    </dgm:pt>
  </dgm:ptLst>
  <dgm:cxnLst>
    <dgm:cxn modelId="{75158809-773B-4E48-BF49-DFDAC09006D5}" type="presOf" srcId="{E0DD9B73-9530-4253-A544-0234C63F2A0E}" destId="{25964299-0EA6-487D-82E4-524F16718063}" srcOrd="0" destOrd="0" presId="urn:microsoft.com/office/officeart/2005/8/layout/hProcess4"/>
    <dgm:cxn modelId="{6A4C250B-1664-4647-81A3-D3A75F3B3F81}" srcId="{B9E2FB0E-1DF6-4B92-89AE-8C961095D321}" destId="{57DE884F-2C69-4536-AD61-26C633115AF4}" srcOrd="1" destOrd="0" parTransId="{6311DC3B-E891-4F51-A68A-6FD8E6A9152F}" sibTransId="{C5128C33-D3EE-4F2D-8F40-A0769793939C}"/>
    <dgm:cxn modelId="{14FC1E0D-92A4-43CE-AE16-ED7EA160EBFF}" type="presOf" srcId="{87E5DA8C-0D18-40AC-AF9A-5429EA5D8E93}" destId="{5AD7C6B1-5571-4F0B-A880-C63D9FB281AA}" srcOrd="1" destOrd="2" presId="urn:microsoft.com/office/officeart/2005/8/layout/hProcess4"/>
    <dgm:cxn modelId="{BED5550D-D915-4D3D-85D4-3F56949147D8}" srcId="{B9E2FB0E-1DF6-4B92-89AE-8C961095D321}" destId="{E0DD9B73-9530-4253-A544-0234C63F2A0E}" srcOrd="0" destOrd="0" parTransId="{4842AE03-59AD-4851-A46E-932F964B6358}" sibTransId="{D8AC9276-F391-4BE7-A3D6-ACE27A2DE049}"/>
    <dgm:cxn modelId="{DE057412-68F7-44EB-A663-028C74EB3B5A}" type="presOf" srcId="{57DE884F-2C69-4536-AD61-26C633115AF4}" destId="{25964299-0EA6-487D-82E4-524F16718063}" srcOrd="0" destOrd="1" presId="urn:microsoft.com/office/officeart/2005/8/layout/hProcess4"/>
    <dgm:cxn modelId="{89D15618-7D8D-4BC8-88E9-6C3FBD6046DB}" type="presOf" srcId="{5E9CB498-8765-4F19-8B1D-75B04591EB81}" destId="{F624D417-26FE-4B82-BB3C-5FE48108171F}" srcOrd="1" destOrd="2" presId="urn:microsoft.com/office/officeart/2005/8/layout/hProcess4"/>
    <dgm:cxn modelId="{D830001D-F863-428B-9C46-4CB1CC93B61D}" type="presOf" srcId="{87E30B7A-2E7A-485B-A53D-F5DD1F2B45AB}" destId="{EC3357ED-6F8B-4109-9D3B-E80B304FE00C}" srcOrd="0" destOrd="0" presId="urn:microsoft.com/office/officeart/2005/8/layout/hProcess4"/>
    <dgm:cxn modelId="{4DCACE30-E6CA-4B48-AD92-259DBA2B1D7C}" srcId="{1AA63A51-A97E-433F-A353-AF0CF82B4069}" destId="{87E5DA8C-0D18-40AC-AF9A-5429EA5D8E93}" srcOrd="2" destOrd="0" parTransId="{ABCD302A-2997-430D-8D60-F561206E74DA}" sibTransId="{3F165115-96DA-4972-B6AD-F009D288E2B8}"/>
    <dgm:cxn modelId="{4CF4B832-9421-4EAF-BD71-850B3779B426}" srcId="{6B7328C0-2474-40F5-AECA-63766E1F01C9}" destId="{B9E2FB0E-1DF6-4B92-89AE-8C961095D321}" srcOrd="1" destOrd="0" parTransId="{F5AA6C5A-2EF7-446F-AF94-D8BD747623BF}" sibTransId="{76F81ECA-CBA1-44B1-98E9-2802B20130FF}"/>
    <dgm:cxn modelId="{6237E133-564F-4D77-9A42-3425506CFB32}" type="presOf" srcId="{C85D40DC-728E-4BBD-A972-74BA3F138672}" destId="{2DB0C2C2-D4EA-441E-B2D6-48CC961CFC25}" srcOrd="0" destOrd="3" presId="urn:microsoft.com/office/officeart/2005/8/layout/hProcess4"/>
    <dgm:cxn modelId="{3421905F-EA70-47CC-925E-96573216969C}" srcId="{1AA63A51-A97E-433F-A353-AF0CF82B4069}" destId="{51512C64-B45A-428A-AB44-11300B1B5ECC}" srcOrd="4" destOrd="0" parTransId="{8B80715D-8FA3-49BA-A452-A1B45CD37925}" sibTransId="{48F55728-E49F-4086-87F0-F9CED4B30AB6}"/>
    <dgm:cxn modelId="{E3036D65-2029-4C36-892F-51BBD93549C6}" type="presOf" srcId="{76F81ECA-CBA1-44B1-98E9-2802B20130FF}" destId="{A437C1CC-9B5F-44E4-8414-711E53FF309E}" srcOrd="0" destOrd="0" presId="urn:microsoft.com/office/officeart/2005/8/layout/hProcess4"/>
    <dgm:cxn modelId="{26E90346-30EE-421D-8FB4-66E89C12AF2C}" type="presOf" srcId="{9E62C5AC-0C42-428C-BFEB-9CB033EBDD96}" destId="{674E7F01-BDDC-4491-BE67-646A3A7ACA36}" srcOrd="0" destOrd="1" presId="urn:microsoft.com/office/officeart/2005/8/layout/hProcess4"/>
    <dgm:cxn modelId="{CD3DBE46-302F-40DB-A54D-D53A56F82F3A}" type="presOf" srcId="{65718A50-8085-40B1-8BEC-914A5874A9D0}" destId="{674E7F01-BDDC-4491-BE67-646A3A7ACA36}" srcOrd="0" destOrd="3" presId="urn:microsoft.com/office/officeart/2005/8/layout/hProcess4"/>
    <dgm:cxn modelId="{E68C6B6B-8F71-4C5A-84DE-D027C17235E9}" type="presOf" srcId="{B9E2FB0E-1DF6-4B92-89AE-8C961095D321}" destId="{69181652-069E-4AF8-9038-75D2E581D9E8}" srcOrd="0" destOrd="0" presId="urn:microsoft.com/office/officeart/2005/8/layout/hProcess4"/>
    <dgm:cxn modelId="{DA45AD6B-2C95-492A-B86A-F91D84F56577}" type="presOf" srcId="{E0DD9B73-9530-4253-A544-0234C63F2A0E}" destId="{9E804229-03DA-4AC6-BA56-882AAF1CE77B}" srcOrd="1" destOrd="0" presId="urn:microsoft.com/office/officeart/2005/8/layout/hProcess4"/>
    <dgm:cxn modelId="{1B51766D-0502-4665-95E7-1D9B07A6BCB6}" srcId="{200899CB-3310-4865-9173-FE8CA824B111}" destId="{3FD3FECC-FCB4-4777-B626-D9D6A03DDA3D}" srcOrd="1" destOrd="0" parTransId="{2D8CE93A-C33F-40BC-9006-B670BB6D9C5B}" sibTransId="{8F8985A4-492B-467A-990A-72E46C08A134}"/>
    <dgm:cxn modelId="{22BBF84E-35C3-4DC3-9243-A5FEE1CD9A0A}" type="presOf" srcId="{6B7328C0-2474-40F5-AECA-63766E1F01C9}" destId="{71C8E36E-24FC-43B7-ADA4-FA76E57B9A3F}" srcOrd="0" destOrd="0" presId="urn:microsoft.com/office/officeart/2005/8/layout/hProcess4"/>
    <dgm:cxn modelId="{F2C65150-5816-4D17-B459-FD57449187C4}" srcId="{1AA63A51-A97E-433F-A353-AF0CF82B4069}" destId="{A01B67B9-A465-4429-9C61-296C0ED54BFA}" srcOrd="0" destOrd="0" parTransId="{D94321F1-7CEE-4D99-8EEF-1A423F2BCD45}" sibTransId="{8EFEB996-3F13-4725-A3D4-8E1D56BC3212}"/>
    <dgm:cxn modelId="{FC9E8151-F9FF-4B87-83F3-170C0186A34E}" srcId="{6B7328C0-2474-40F5-AECA-63766E1F01C9}" destId="{200899CB-3310-4865-9173-FE8CA824B111}" srcOrd="0" destOrd="0" parTransId="{A9A948F3-5C44-4869-998C-FE642B2A22FF}" sibTransId="{87E30B7A-2E7A-485B-A53D-F5DD1F2B45AB}"/>
    <dgm:cxn modelId="{02C58F53-EBF0-47F6-9661-5E33B59DDC29}" srcId="{1AA63A51-A97E-433F-A353-AF0CF82B4069}" destId="{65718A50-8085-40B1-8BEC-914A5874A9D0}" srcOrd="3" destOrd="0" parTransId="{B6E44274-1B1A-4283-9446-B10D663F27C0}" sibTransId="{5D6337F4-9322-4952-89C1-64E2F07BF527}"/>
    <dgm:cxn modelId="{5DEA7E56-D903-4FB9-BCBF-A789A8CE8B59}" type="presOf" srcId="{87E5DA8C-0D18-40AC-AF9A-5429EA5D8E93}" destId="{674E7F01-BDDC-4491-BE67-646A3A7ACA36}" srcOrd="0" destOrd="2" presId="urn:microsoft.com/office/officeart/2005/8/layout/hProcess4"/>
    <dgm:cxn modelId="{F3E26B57-20DD-44DF-B0FC-D7768DC15ABD}" type="presOf" srcId="{6590A158-EDFE-46D3-9BA2-F05F00E6803E}" destId="{F624D417-26FE-4B82-BB3C-5FE48108171F}" srcOrd="1" destOrd="0" presId="urn:microsoft.com/office/officeart/2005/8/layout/hProcess4"/>
    <dgm:cxn modelId="{4B287F7A-CE01-47BE-9059-19FE990FCD7F}" srcId="{200899CB-3310-4865-9173-FE8CA824B111}" destId="{C85D40DC-728E-4BBD-A972-74BA3F138672}" srcOrd="3" destOrd="0" parTransId="{33985166-CCD6-40FF-91B7-305583B7D2BF}" sibTransId="{2EB97AD5-14C9-43D4-A34B-6A0E9A8CCF63}"/>
    <dgm:cxn modelId="{6315157E-32EE-44D3-84AA-29F76E470717}" type="presOf" srcId="{1AA63A51-A97E-433F-A353-AF0CF82B4069}" destId="{8DC81FC9-BE79-4ED2-999A-C9220308442A}" srcOrd="0" destOrd="0" presId="urn:microsoft.com/office/officeart/2005/8/layout/hProcess4"/>
    <dgm:cxn modelId="{EFE22282-8268-428A-9390-5BB4FB29D036}" type="presOf" srcId="{C85D40DC-728E-4BBD-A972-74BA3F138672}" destId="{F624D417-26FE-4B82-BB3C-5FE48108171F}" srcOrd="1" destOrd="3" presId="urn:microsoft.com/office/officeart/2005/8/layout/hProcess4"/>
    <dgm:cxn modelId="{4FF01883-AD2E-46D7-96CF-8553750FFC5D}" type="presOf" srcId="{3FD3FECC-FCB4-4777-B626-D9D6A03DDA3D}" destId="{2DB0C2C2-D4EA-441E-B2D6-48CC961CFC25}" srcOrd="0" destOrd="1" presId="urn:microsoft.com/office/officeart/2005/8/layout/hProcess4"/>
    <dgm:cxn modelId="{246D1390-88FA-459A-BF88-8E802B9B9C43}" type="presOf" srcId="{6590A158-EDFE-46D3-9BA2-F05F00E6803E}" destId="{2DB0C2C2-D4EA-441E-B2D6-48CC961CFC25}" srcOrd="0" destOrd="0" presId="urn:microsoft.com/office/officeart/2005/8/layout/hProcess4"/>
    <dgm:cxn modelId="{3E5D7392-5BCD-44DD-A1CA-49FA93469B56}" type="presOf" srcId="{A01B67B9-A465-4429-9C61-296C0ED54BFA}" destId="{674E7F01-BDDC-4491-BE67-646A3A7ACA36}" srcOrd="0" destOrd="0" presId="urn:microsoft.com/office/officeart/2005/8/layout/hProcess4"/>
    <dgm:cxn modelId="{7454F096-D736-41BB-AC3B-30CB988B980B}" srcId="{200899CB-3310-4865-9173-FE8CA824B111}" destId="{5E9CB498-8765-4F19-8B1D-75B04591EB81}" srcOrd="2" destOrd="0" parTransId="{25E7EB18-0BFA-461F-A1F8-4CFE3AB8291A}" sibTransId="{C0F01BEA-6544-4B97-B29F-29CBF057637D}"/>
    <dgm:cxn modelId="{48FE4A9B-805A-4986-8ED4-5782E76D80D7}" type="presOf" srcId="{3FD3FECC-FCB4-4777-B626-D9D6A03DDA3D}" destId="{F624D417-26FE-4B82-BB3C-5FE48108171F}" srcOrd="1" destOrd="1" presId="urn:microsoft.com/office/officeart/2005/8/layout/hProcess4"/>
    <dgm:cxn modelId="{9C40C69E-B879-4E16-8B89-C6326D47A61A}" type="presOf" srcId="{57DE884F-2C69-4536-AD61-26C633115AF4}" destId="{9E804229-03DA-4AC6-BA56-882AAF1CE77B}" srcOrd="1" destOrd="1" presId="urn:microsoft.com/office/officeart/2005/8/layout/hProcess4"/>
    <dgm:cxn modelId="{C7B14AA4-3A55-49E8-ACD9-24FC03C1EB1D}" type="presOf" srcId="{816CDEDF-7D7C-4F03-A8C0-E2D9CE08A3F6}" destId="{25964299-0EA6-487D-82E4-524F16718063}" srcOrd="0" destOrd="2" presId="urn:microsoft.com/office/officeart/2005/8/layout/hProcess4"/>
    <dgm:cxn modelId="{FE26CFA4-16E6-4B83-82AB-0CF4976FE91C}" srcId="{200899CB-3310-4865-9173-FE8CA824B111}" destId="{6590A158-EDFE-46D3-9BA2-F05F00E6803E}" srcOrd="0" destOrd="0" parTransId="{297EEE1F-EB8C-4896-9027-2970D2943370}" sibTransId="{7F85A2C5-5353-46AA-BE24-BA7C8D8B4F04}"/>
    <dgm:cxn modelId="{4E3115A6-9BC5-4065-8D86-BD42AF8201C4}" srcId="{6B7328C0-2474-40F5-AECA-63766E1F01C9}" destId="{1AA63A51-A97E-433F-A353-AF0CF82B4069}" srcOrd="2" destOrd="0" parTransId="{4959EC2C-2400-4423-B084-943CB1ADF44B}" sibTransId="{A68B76DD-1D35-456F-93AB-23CF277FA6F1}"/>
    <dgm:cxn modelId="{FF690DAD-850D-44D7-A714-96ADD25A0720}" type="presOf" srcId="{9E62C5AC-0C42-428C-BFEB-9CB033EBDD96}" destId="{5AD7C6B1-5571-4F0B-A880-C63D9FB281AA}" srcOrd="1" destOrd="1" presId="urn:microsoft.com/office/officeart/2005/8/layout/hProcess4"/>
    <dgm:cxn modelId="{7D6754B2-274A-429B-BB02-1F8E19CA7115}" srcId="{1AA63A51-A97E-433F-A353-AF0CF82B4069}" destId="{9E62C5AC-0C42-428C-BFEB-9CB033EBDD96}" srcOrd="1" destOrd="0" parTransId="{2D48324F-1F86-473F-A22C-E8AA015D9E14}" sibTransId="{683F094F-2CF9-48B0-96DE-23D079E94822}"/>
    <dgm:cxn modelId="{13447FB7-2B45-4C57-842B-951793330011}" type="presOf" srcId="{51512C64-B45A-428A-AB44-11300B1B5ECC}" destId="{674E7F01-BDDC-4491-BE67-646A3A7ACA36}" srcOrd="0" destOrd="4" presId="urn:microsoft.com/office/officeart/2005/8/layout/hProcess4"/>
    <dgm:cxn modelId="{AA59D5C5-C33B-4832-A4EC-CD19827179CC}" type="presOf" srcId="{200899CB-3310-4865-9173-FE8CA824B111}" destId="{E6912BE5-DA9D-4A3F-9610-BF4FF5F3A30B}" srcOrd="0" destOrd="0" presId="urn:microsoft.com/office/officeart/2005/8/layout/hProcess4"/>
    <dgm:cxn modelId="{671A94D6-DD6C-4A5E-9AA0-E6BA524C12F7}" type="presOf" srcId="{5E9CB498-8765-4F19-8B1D-75B04591EB81}" destId="{2DB0C2C2-D4EA-441E-B2D6-48CC961CFC25}" srcOrd="0" destOrd="2" presId="urn:microsoft.com/office/officeart/2005/8/layout/hProcess4"/>
    <dgm:cxn modelId="{A3EDDBEA-2392-48C2-97E0-FD49D4F5AF0C}" type="presOf" srcId="{51512C64-B45A-428A-AB44-11300B1B5ECC}" destId="{5AD7C6B1-5571-4F0B-A880-C63D9FB281AA}" srcOrd="1" destOrd="4" presId="urn:microsoft.com/office/officeart/2005/8/layout/hProcess4"/>
    <dgm:cxn modelId="{CA1C03ED-6D23-479B-9D7E-D423DBBF7CCE}" type="presOf" srcId="{816CDEDF-7D7C-4F03-A8C0-E2D9CE08A3F6}" destId="{9E804229-03DA-4AC6-BA56-882AAF1CE77B}" srcOrd="1" destOrd="2" presId="urn:microsoft.com/office/officeart/2005/8/layout/hProcess4"/>
    <dgm:cxn modelId="{81891CF4-72E0-4761-BC95-AC5B7FD4C0CD}" srcId="{B9E2FB0E-1DF6-4B92-89AE-8C961095D321}" destId="{816CDEDF-7D7C-4F03-A8C0-E2D9CE08A3F6}" srcOrd="2" destOrd="0" parTransId="{02EDF6D9-5EA9-4B43-934C-11BE02064FF5}" sibTransId="{070EB52A-824C-4272-B547-1FD41CAEB1F2}"/>
    <dgm:cxn modelId="{958A6CF7-532B-4ECB-9165-C5BAC9411C1B}" type="presOf" srcId="{A01B67B9-A465-4429-9C61-296C0ED54BFA}" destId="{5AD7C6B1-5571-4F0B-A880-C63D9FB281AA}" srcOrd="1" destOrd="0" presId="urn:microsoft.com/office/officeart/2005/8/layout/hProcess4"/>
    <dgm:cxn modelId="{096F92F7-14E6-4AF3-9B5D-020F9B776A93}" type="presOf" srcId="{65718A50-8085-40B1-8BEC-914A5874A9D0}" destId="{5AD7C6B1-5571-4F0B-A880-C63D9FB281AA}" srcOrd="1" destOrd="3" presId="urn:microsoft.com/office/officeart/2005/8/layout/hProcess4"/>
    <dgm:cxn modelId="{A52C8287-B87B-4682-958F-01BC00E4F393}" type="presParOf" srcId="{71C8E36E-24FC-43B7-ADA4-FA76E57B9A3F}" destId="{2FBB469A-CBC3-4F20-8ED9-0583B6286329}" srcOrd="0" destOrd="0" presId="urn:microsoft.com/office/officeart/2005/8/layout/hProcess4"/>
    <dgm:cxn modelId="{7313D4F9-BEF8-44CE-979E-F44F2943D06B}" type="presParOf" srcId="{71C8E36E-24FC-43B7-ADA4-FA76E57B9A3F}" destId="{DE0D5000-FE59-4AB6-A97B-7ABC5CFF815A}" srcOrd="1" destOrd="0" presId="urn:microsoft.com/office/officeart/2005/8/layout/hProcess4"/>
    <dgm:cxn modelId="{51F4EAF8-3117-4BB9-995B-CB86F044CC96}" type="presParOf" srcId="{71C8E36E-24FC-43B7-ADA4-FA76E57B9A3F}" destId="{C3AC37DC-1CCB-4F6D-AEDA-F31100FA3238}" srcOrd="2" destOrd="0" presId="urn:microsoft.com/office/officeart/2005/8/layout/hProcess4"/>
    <dgm:cxn modelId="{FE2CEBD1-7CEB-4BEA-A6DB-AC9F14FF2410}" type="presParOf" srcId="{C3AC37DC-1CCB-4F6D-AEDA-F31100FA3238}" destId="{29DB5DE2-B975-4B53-BD1A-096054F65465}" srcOrd="0" destOrd="0" presId="urn:microsoft.com/office/officeart/2005/8/layout/hProcess4"/>
    <dgm:cxn modelId="{684C2B62-0780-4C20-9D4A-C19E0AB2F7F6}" type="presParOf" srcId="{29DB5DE2-B975-4B53-BD1A-096054F65465}" destId="{278DA3C6-18AE-4833-B8A9-0606E4BD1BCE}" srcOrd="0" destOrd="0" presId="urn:microsoft.com/office/officeart/2005/8/layout/hProcess4"/>
    <dgm:cxn modelId="{89E3A1C9-2775-4D05-A415-865DD0B3E12E}" type="presParOf" srcId="{29DB5DE2-B975-4B53-BD1A-096054F65465}" destId="{2DB0C2C2-D4EA-441E-B2D6-48CC961CFC25}" srcOrd="1" destOrd="0" presId="urn:microsoft.com/office/officeart/2005/8/layout/hProcess4"/>
    <dgm:cxn modelId="{2D2614D4-C54D-4367-A286-63FAC89730DB}" type="presParOf" srcId="{29DB5DE2-B975-4B53-BD1A-096054F65465}" destId="{F624D417-26FE-4B82-BB3C-5FE48108171F}" srcOrd="2" destOrd="0" presId="urn:microsoft.com/office/officeart/2005/8/layout/hProcess4"/>
    <dgm:cxn modelId="{EB57AD8D-C3F0-44A0-AA74-8FB8AE101CA6}" type="presParOf" srcId="{29DB5DE2-B975-4B53-BD1A-096054F65465}" destId="{E6912BE5-DA9D-4A3F-9610-BF4FF5F3A30B}" srcOrd="3" destOrd="0" presId="urn:microsoft.com/office/officeart/2005/8/layout/hProcess4"/>
    <dgm:cxn modelId="{8BEB2D8D-6368-45F2-9FE5-5D2919A14CB1}" type="presParOf" srcId="{29DB5DE2-B975-4B53-BD1A-096054F65465}" destId="{BE2AA0DF-92F8-4B7E-BBF0-D5AB108A5058}" srcOrd="4" destOrd="0" presId="urn:microsoft.com/office/officeart/2005/8/layout/hProcess4"/>
    <dgm:cxn modelId="{F646E3C5-999B-49AE-89A5-013642D431B5}" type="presParOf" srcId="{C3AC37DC-1CCB-4F6D-AEDA-F31100FA3238}" destId="{EC3357ED-6F8B-4109-9D3B-E80B304FE00C}" srcOrd="1" destOrd="0" presId="urn:microsoft.com/office/officeart/2005/8/layout/hProcess4"/>
    <dgm:cxn modelId="{D85CCCEB-7909-48AA-B701-DB4BE6BE7828}" type="presParOf" srcId="{C3AC37DC-1CCB-4F6D-AEDA-F31100FA3238}" destId="{106755E9-DE64-4E9E-9FE0-0773C0D1EF20}" srcOrd="2" destOrd="0" presId="urn:microsoft.com/office/officeart/2005/8/layout/hProcess4"/>
    <dgm:cxn modelId="{F6F76669-8841-4B66-9C04-71E0E0AA2E70}" type="presParOf" srcId="{106755E9-DE64-4E9E-9FE0-0773C0D1EF20}" destId="{506EDB42-6C29-4982-A8CE-58ACFF99F9BC}" srcOrd="0" destOrd="0" presId="urn:microsoft.com/office/officeart/2005/8/layout/hProcess4"/>
    <dgm:cxn modelId="{3B133B13-14D9-4353-AAF2-48712EBEC032}" type="presParOf" srcId="{106755E9-DE64-4E9E-9FE0-0773C0D1EF20}" destId="{25964299-0EA6-487D-82E4-524F16718063}" srcOrd="1" destOrd="0" presId="urn:microsoft.com/office/officeart/2005/8/layout/hProcess4"/>
    <dgm:cxn modelId="{69F56A4A-E81F-44F6-A7E5-04FBBAA0E3E6}" type="presParOf" srcId="{106755E9-DE64-4E9E-9FE0-0773C0D1EF20}" destId="{9E804229-03DA-4AC6-BA56-882AAF1CE77B}" srcOrd="2" destOrd="0" presId="urn:microsoft.com/office/officeart/2005/8/layout/hProcess4"/>
    <dgm:cxn modelId="{6125C58C-97ED-44AE-AE8F-5099E00C06AD}" type="presParOf" srcId="{106755E9-DE64-4E9E-9FE0-0773C0D1EF20}" destId="{69181652-069E-4AF8-9038-75D2E581D9E8}" srcOrd="3" destOrd="0" presId="urn:microsoft.com/office/officeart/2005/8/layout/hProcess4"/>
    <dgm:cxn modelId="{788C852F-6253-4A51-AE2C-4D06E60804D0}" type="presParOf" srcId="{106755E9-DE64-4E9E-9FE0-0773C0D1EF20}" destId="{4A786A2F-7105-4D9A-BB8C-EEECD13E757E}" srcOrd="4" destOrd="0" presId="urn:microsoft.com/office/officeart/2005/8/layout/hProcess4"/>
    <dgm:cxn modelId="{47670F9E-4424-4034-A508-1F545738D733}" type="presParOf" srcId="{C3AC37DC-1CCB-4F6D-AEDA-F31100FA3238}" destId="{A437C1CC-9B5F-44E4-8414-711E53FF309E}" srcOrd="3" destOrd="0" presId="urn:microsoft.com/office/officeart/2005/8/layout/hProcess4"/>
    <dgm:cxn modelId="{B1C69934-D4B4-4F58-9667-CD1E954203A8}" type="presParOf" srcId="{C3AC37DC-1CCB-4F6D-AEDA-F31100FA3238}" destId="{7F20AECB-7658-429E-800C-1AF5616D2243}" srcOrd="4" destOrd="0" presId="urn:microsoft.com/office/officeart/2005/8/layout/hProcess4"/>
    <dgm:cxn modelId="{F1A9D66A-F880-4301-A7A6-B4E1F0A17159}" type="presParOf" srcId="{7F20AECB-7658-429E-800C-1AF5616D2243}" destId="{29F26EBF-AA6C-483D-9668-91433F8211B5}" srcOrd="0" destOrd="0" presId="urn:microsoft.com/office/officeart/2005/8/layout/hProcess4"/>
    <dgm:cxn modelId="{7E612E1A-33BB-4A2F-A776-8F28EC891858}" type="presParOf" srcId="{7F20AECB-7658-429E-800C-1AF5616D2243}" destId="{674E7F01-BDDC-4491-BE67-646A3A7ACA36}" srcOrd="1" destOrd="0" presId="urn:microsoft.com/office/officeart/2005/8/layout/hProcess4"/>
    <dgm:cxn modelId="{C7DC24B0-D0AB-4DE2-B0FE-9238F3A60654}" type="presParOf" srcId="{7F20AECB-7658-429E-800C-1AF5616D2243}" destId="{5AD7C6B1-5571-4F0B-A880-C63D9FB281AA}" srcOrd="2" destOrd="0" presId="urn:microsoft.com/office/officeart/2005/8/layout/hProcess4"/>
    <dgm:cxn modelId="{CBB4AE04-DE70-4D67-A80A-00D495EB9AAF}" type="presParOf" srcId="{7F20AECB-7658-429E-800C-1AF5616D2243}" destId="{8DC81FC9-BE79-4ED2-999A-C9220308442A}" srcOrd="3" destOrd="0" presId="urn:microsoft.com/office/officeart/2005/8/layout/hProcess4"/>
    <dgm:cxn modelId="{C552BA72-7384-4DC8-8772-15A1EE02BEE7}" type="presParOf" srcId="{7F20AECB-7658-429E-800C-1AF5616D2243}" destId="{EBDAB500-5395-4547-B253-814E6A26ED55}" srcOrd="4" destOrd="0" presId="urn:microsoft.com/office/officeart/2005/8/layout/h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93D20-5F06-4D9B-AB4D-F9080452F7D4}">
      <dsp:nvSpPr>
        <dsp:cNvPr id="0" name=""/>
        <dsp:cNvSpPr/>
      </dsp:nvSpPr>
      <dsp:spPr>
        <a:xfrm>
          <a:off x="746" y="79708"/>
          <a:ext cx="519197" cy="519197"/>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523E037-9B61-4D33-BC66-3B2FE39844D9}">
      <dsp:nvSpPr>
        <dsp:cNvPr id="0" name=""/>
        <dsp:cNvSpPr/>
      </dsp:nvSpPr>
      <dsp:spPr>
        <a:xfrm>
          <a:off x="52666" y="131628"/>
          <a:ext cx="415357" cy="415357"/>
        </a:xfrm>
        <a:prstGeom prst="pie">
          <a:avLst>
            <a:gd name="adj1" fmla="val 126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334BBF-2114-441A-A91E-9747ED055997}">
      <dsp:nvSpPr>
        <dsp:cNvPr id="0" name=""/>
        <dsp:cNvSpPr/>
      </dsp:nvSpPr>
      <dsp:spPr>
        <a:xfrm rot="16200000">
          <a:off x="-596330" y="1247902"/>
          <a:ext cx="1505672" cy="3115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1° y 2° año</a:t>
          </a:r>
        </a:p>
      </dsp:txBody>
      <dsp:txXfrm>
        <a:off x="-596330" y="1247902"/>
        <a:ext cx="1505672" cy="311518"/>
      </dsp:txXfrm>
    </dsp:sp>
    <dsp:sp modelId="{16E1BE8E-E214-4CED-9C32-F19B290658C3}">
      <dsp:nvSpPr>
        <dsp:cNvPr id="0" name=""/>
        <dsp:cNvSpPr/>
      </dsp:nvSpPr>
      <dsp:spPr>
        <a:xfrm>
          <a:off x="364184" y="79708"/>
          <a:ext cx="1038394" cy="20767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Adaptabilidad e identidad institucional </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Conformacion de grupo de pares </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Adaptabilidad académica</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Reconocimiento de necesidades y solicitud de apoyo</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Nivelación no desarrollada</a:t>
          </a:r>
        </a:p>
        <a:p>
          <a:pPr marL="0" lvl="0" indent="0" algn="l" defTabSz="400050">
            <a:lnSpc>
              <a:spcPct val="90000"/>
            </a:lnSpc>
            <a:spcBef>
              <a:spcPct val="0"/>
            </a:spcBef>
            <a:spcAft>
              <a:spcPct val="35000"/>
            </a:spcAft>
            <a:buNone/>
          </a:pPr>
          <a:endParaRPr lang="es-ES" sz="900" kern="1200">
            <a:latin typeface="Times New Roman" panose="02020603050405020304" pitchFamily="18" charset="0"/>
            <a:cs typeface="Times New Roman" panose="02020603050405020304" pitchFamily="18" charset="0"/>
          </a:endParaRPr>
        </a:p>
        <a:p>
          <a:pPr marL="0" lvl="0" indent="0" algn="l" defTabSz="400050">
            <a:lnSpc>
              <a:spcPct val="90000"/>
            </a:lnSpc>
            <a:spcBef>
              <a:spcPct val="0"/>
            </a:spcBef>
            <a:spcAft>
              <a:spcPct val="35000"/>
            </a:spcAft>
            <a:buNone/>
          </a:pPr>
          <a:endParaRPr lang="es-ES" sz="900" kern="1200">
            <a:latin typeface="Times New Roman" panose="02020603050405020304" pitchFamily="18" charset="0"/>
            <a:cs typeface="Times New Roman" panose="02020603050405020304" pitchFamily="18" charset="0"/>
          </a:endParaRPr>
        </a:p>
      </dsp:txBody>
      <dsp:txXfrm>
        <a:off x="364184" y="79708"/>
        <a:ext cx="1038394" cy="2076788"/>
      </dsp:txXfrm>
    </dsp:sp>
    <dsp:sp modelId="{93ACD7A5-79BF-4272-98BB-0033E46DF7EC}">
      <dsp:nvSpPr>
        <dsp:cNvPr id="0" name=""/>
        <dsp:cNvSpPr/>
      </dsp:nvSpPr>
      <dsp:spPr>
        <a:xfrm>
          <a:off x="1582861" y="79708"/>
          <a:ext cx="519197" cy="519197"/>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1A6A62F-C3E7-4BBF-B044-E9FEACD0BBA2}">
      <dsp:nvSpPr>
        <dsp:cNvPr id="0" name=""/>
        <dsp:cNvSpPr/>
      </dsp:nvSpPr>
      <dsp:spPr>
        <a:xfrm>
          <a:off x="1634780" y="131628"/>
          <a:ext cx="415357" cy="415357"/>
        </a:xfrm>
        <a:prstGeom prst="pie">
          <a:avLst>
            <a:gd name="adj1" fmla="val 90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697738-BD79-40F3-821E-A542CB377116}">
      <dsp:nvSpPr>
        <dsp:cNvPr id="0" name=""/>
        <dsp:cNvSpPr/>
      </dsp:nvSpPr>
      <dsp:spPr>
        <a:xfrm rot="16200000">
          <a:off x="985784" y="1247902"/>
          <a:ext cx="1505672" cy="3115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3° y 4° año </a:t>
          </a:r>
        </a:p>
      </dsp:txBody>
      <dsp:txXfrm>
        <a:off x="985784" y="1247902"/>
        <a:ext cx="1505672" cy="311518"/>
      </dsp:txXfrm>
    </dsp:sp>
    <dsp:sp modelId="{28864DDA-B64B-402F-B4A8-00402506BF3E}">
      <dsp:nvSpPr>
        <dsp:cNvPr id="0" name=""/>
        <dsp:cNvSpPr/>
      </dsp:nvSpPr>
      <dsp:spPr>
        <a:xfrm>
          <a:off x="1946299" y="79708"/>
          <a:ext cx="1038394" cy="20767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Seguridad para la continuación de estudio</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Incomodidad y/o dudas vocacionales </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Prácticas o pre-prácticas insatisfactorias</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Atraso y acumulación de créditos por rendir</a:t>
          </a:r>
        </a:p>
      </dsp:txBody>
      <dsp:txXfrm>
        <a:off x="1946299" y="79708"/>
        <a:ext cx="1038394" cy="2076788"/>
      </dsp:txXfrm>
    </dsp:sp>
    <dsp:sp modelId="{28A1E85D-0EFE-4EE4-9C55-C5C1940FB154}">
      <dsp:nvSpPr>
        <dsp:cNvPr id="0" name=""/>
        <dsp:cNvSpPr/>
      </dsp:nvSpPr>
      <dsp:spPr>
        <a:xfrm>
          <a:off x="3164976" y="79708"/>
          <a:ext cx="519197" cy="519197"/>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CEBAFC3-F120-4672-8B54-90A9C18EC0AF}">
      <dsp:nvSpPr>
        <dsp:cNvPr id="0" name=""/>
        <dsp:cNvSpPr/>
      </dsp:nvSpPr>
      <dsp:spPr>
        <a:xfrm>
          <a:off x="3216895" y="131628"/>
          <a:ext cx="415357" cy="415357"/>
        </a:xfrm>
        <a:prstGeom prst="pie">
          <a:avLst>
            <a:gd name="adj1" fmla="val 54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BC2F57-0735-4288-8EB8-B5FCBD3373E2}">
      <dsp:nvSpPr>
        <dsp:cNvPr id="0" name=""/>
        <dsp:cNvSpPr/>
      </dsp:nvSpPr>
      <dsp:spPr>
        <a:xfrm rot="16200000">
          <a:off x="2567899" y="1247902"/>
          <a:ext cx="1505672" cy="3115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r" defTabSz="533400">
            <a:lnSpc>
              <a:spcPct val="90000"/>
            </a:lnSpc>
            <a:spcBef>
              <a:spcPct val="0"/>
            </a:spcBef>
            <a:spcAft>
              <a:spcPct val="35000"/>
            </a:spcAft>
            <a:buNone/>
          </a:pPr>
          <a:r>
            <a:rPr lang="es-ES" sz="1200" kern="1200">
              <a:latin typeface="Times New Roman" panose="02020603050405020304" pitchFamily="18" charset="0"/>
              <a:cs typeface="Times New Roman" panose="02020603050405020304" pitchFamily="18" charset="0"/>
            </a:rPr>
            <a:t>Finalización de carrera </a:t>
          </a:r>
        </a:p>
      </dsp:txBody>
      <dsp:txXfrm>
        <a:off x="2567899" y="1247902"/>
        <a:ext cx="1505672" cy="311518"/>
      </dsp:txXfrm>
    </dsp:sp>
    <dsp:sp modelId="{D346F14B-F20E-4D65-B9EB-93614036CCA9}">
      <dsp:nvSpPr>
        <dsp:cNvPr id="0" name=""/>
        <dsp:cNvSpPr/>
      </dsp:nvSpPr>
      <dsp:spPr>
        <a:xfrm>
          <a:off x="3528414" y="79708"/>
          <a:ext cx="1038394" cy="20767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Procesos de tesis</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Prácticas profesionales</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Ingreso al mundo laboral antes de la finalización</a:t>
          </a:r>
        </a:p>
        <a:p>
          <a:pPr marL="0" lvl="0" indent="0" algn="l"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 </a:t>
          </a:r>
        </a:p>
        <a:p>
          <a:pPr marL="0" lvl="0" indent="0" algn="l" defTabSz="400050">
            <a:lnSpc>
              <a:spcPct val="90000"/>
            </a:lnSpc>
            <a:spcBef>
              <a:spcPct val="0"/>
            </a:spcBef>
            <a:spcAft>
              <a:spcPct val="35000"/>
            </a:spcAft>
            <a:buNone/>
          </a:pPr>
          <a:endParaRPr lang="es-ES" sz="900" kern="1200">
            <a:latin typeface="Times New Roman" panose="02020603050405020304" pitchFamily="18" charset="0"/>
            <a:cs typeface="Times New Roman" panose="02020603050405020304" pitchFamily="18" charset="0"/>
          </a:endParaRPr>
        </a:p>
      </dsp:txBody>
      <dsp:txXfrm>
        <a:off x="3528414" y="79708"/>
        <a:ext cx="1038394" cy="20767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B0C2C2-D4EA-441E-B2D6-48CC961CFC25}">
      <dsp:nvSpPr>
        <dsp:cNvPr id="0" name=""/>
        <dsp:cNvSpPr/>
      </dsp:nvSpPr>
      <dsp:spPr>
        <a:xfrm>
          <a:off x="2424" y="1185784"/>
          <a:ext cx="1504966" cy="1241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es-ES" sz="500" kern="1200" dirty="0">
            <a:solidFill>
              <a:schemeClr val="accent2"/>
            </a:solidFill>
          </a:endParaRPr>
        </a:p>
        <a:p>
          <a:pPr marL="57150" lvl="1" indent="-57150" algn="l" defTabSz="222250">
            <a:lnSpc>
              <a:spcPct val="90000"/>
            </a:lnSpc>
            <a:spcBef>
              <a:spcPct val="0"/>
            </a:spcBef>
            <a:spcAft>
              <a:spcPct val="15000"/>
            </a:spcAft>
            <a:buChar char="•"/>
          </a:pPr>
          <a:r>
            <a:rPr lang="es-ES" sz="500" kern="1200" dirty="0">
              <a:latin typeface="Calibri" panose="020F0502020204030204" pitchFamily="34" charset="0"/>
              <a:cs typeface="Calibri" panose="020F0502020204030204" pitchFamily="34" charset="0"/>
            </a:rPr>
            <a:t>Atender en forma anticipada las vulnerabilidades psicosociales detectadas en los diagnósticos: alimentación, residencia, salud mental, entro otros. </a:t>
          </a:r>
        </a:p>
        <a:p>
          <a:pPr marL="57150" lvl="1" indent="-57150" algn="l" defTabSz="222250">
            <a:lnSpc>
              <a:spcPct val="90000"/>
            </a:lnSpc>
            <a:spcBef>
              <a:spcPct val="0"/>
            </a:spcBef>
            <a:spcAft>
              <a:spcPct val="15000"/>
            </a:spcAft>
            <a:buChar char="•"/>
          </a:pPr>
          <a:r>
            <a:rPr lang="es-CL" sz="500" kern="1200" dirty="0">
              <a:latin typeface="Calibri" panose="020F0502020204030204" pitchFamily="34" charset="0"/>
              <a:cs typeface="Calibri" panose="020F0502020204030204" pitchFamily="34" charset="0"/>
            </a:rPr>
            <a:t>Actividades orientadas a fortalecer las competencias académicas: dominio del rol de estudiante;  autogestión; aprender a aprender, incorporar las emociones a los espacios de aprendizaje;  pedir ayuda;  trabajo y colaboración en grupo; tolerancia a la frustración, entre otros</a:t>
          </a:r>
          <a:endParaRPr lang="es-ES" sz="500" kern="1200" dirty="0">
            <a:latin typeface="Calibri" panose="020F0502020204030204" pitchFamily="34" charset="0"/>
            <a:cs typeface="Calibri" panose="020F0502020204030204" pitchFamily="34" charset="0"/>
          </a:endParaRPr>
        </a:p>
        <a:p>
          <a:pPr marL="57150" lvl="1" indent="-57150" algn="l" defTabSz="222250">
            <a:lnSpc>
              <a:spcPct val="90000"/>
            </a:lnSpc>
            <a:spcBef>
              <a:spcPct val="0"/>
            </a:spcBef>
            <a:spcAft>
              <a:spcPct val="15000"/>
            </a:spcAft>
            <a:buChar char="•"/>
          </a:pPr>
          <a:r>
            <a:rPr lang="es-ES" sz="500" b="1" kern="1200" dirty="0">
              <a:latin typeface="Calibri" panose="020F0502020204030204" pitchFamily="34" charset="0"/>
              <a:cs typeface="Calibri" panose="020F0502020204030204" pitchFamily="34" charset="0"/>
            </a:rPr>
            <a:t>Actividades</a:t>
          </a:r>
          <a:r>
            <a:rPr lang="es-ES" sz="500" kern="1200" dirty="0">
              <a:latin typeface="Calibri" panose="020F0502020204030204" pitchFamily="34" charset="0"/>
              <a:cs typeface="Calibri" panose="020F0502020204030204" pitchFamily="34" charset="0"/>
            </a:rPr>
            <a:t>: Talleres grupales abiertos; actividades recreativas; bienestar estudiantil </a:t>
          </a:r>
        </a:p>
      </dsp:txBody>
      <dsp:txXfrm>
        <a:off x="30989" y="1214349"/>
        <a:ext cx="1447836" cy="918163"/>
      </dsp:txXfrm>
    </dsp:sp>
    <dsp:sp modelId="{EC3357ED-6F8B-4109-9D3B-E80B304FE00C}">
      <dsp:nvSpPr>
        <dsp:cNvPr id="0" name=""/>
        <dsp:cNvSpPr/>
      </dsp:nvSpPr>
      <dsp:spPr>
        <a:xfrm>
          <a:off x="866321" y="1546585"/>
          <a:ext cx="1563428" cy="1563428"/>
        </a:xfrm>
        <a:prstGeom prst="leftCircularArrow">
          <a:avLst>
            <a:gd name="adj1" fmla="val 2543"/>
            <a:gd name="adj2" fmla="val 308492"/>
            <a:gd name="adj3" fmla="val 2084003"/>
            <a:gd name="adj4" fmla="val 9024489"/>
            <a:gd name="adj5" fmla="val 296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912BE5-DA9D-4A3F-9610-BF4FF5F3A30B}">
      <dsp:nvSpPr>
        <dsp:cNvPr id="0" name=""/>
        <dsp:cNvSpPr/>
      </dsp:nvSpPr>
      <dsp:spPr>
        <a:xfrm>
          <a:off x="336861" y="2161077"/>
          <a:ext cx="1337747" cy="5319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marL="0" lvl="0" indent="0" algn="ctr" defTabSz="889000">
            <a:lnSpc>
              <a:spcPct val="90000"/>
            </a:lnSpc>
            <a:spcBef>
              <a:spcPct val="0"/>
            </a:spcBef>
            <a:spcAft>
              <a:spcPct val="35000"/>
            </a:spcAft>
            <a:buNone/>
          </a:pPr>
          <a:r>
            <a:rPr lang="es-ES" sz="2000" kern="1200" dirty="0"/>
            <a:t>Prevención </a:t>
          </a:r>
        </a:p>
      </dsp:txBody>
      <dsp:txXfrm>
        <a:off x="352442" y="2176658"/>
        <a:ext cx="1306585" cy="500816"/>
      </dsp:txXfrm>
    </dsp:sp>
    <dsp:sp modelId="{25964299-0EA6-487D-82E4-524F16718063}">
      <dsp:nvSpPr>
        <dsp:cNvPr id="0" name=""/>
        <dsp:cNvSpPr/>
      </dsp:nvSpPr>
      <dsp:spPr>
        <a:xfrm>
          <a:off x="1863927" y="1185784"/>
          <a:ext cx="1504966" cy="1241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s-CL" sz="500" kern="1200" dirty="0">
              <a:latin typeface="Calibri" panose="020F0502020204030204" pitchFamily="34" charset="0"/>
              <a:cs typeface="Calibri" panose="020F0502020204030204" pitchFamily="34" charset="0"/>
            </a:rPr>
            <a:t>Acciones de apoyo en la resolución de dificultades psicoeducativas como:  organización del tiempo, estrategias de estudio, ansiedad ante el rendimiento, toma de decisiones,  orientación vocacional</a:t>
          </a:r>
          <a:endParaRPr lang="es-ES" sz="500" kern="1200" dirty="0">
            <a:latin typeface="Calibri" panose="020F0502020204030204" pitchFamily="34" charset="0"/>
            <a:cs typeface="Calibri" panose="020F0502020204030204" pitchFamily="34" charset="0"/>
          </a:endParaRPr>
        </a:p>
        <a:p>
          <a:pPr marL="57150" lvl="1" indent="-57150" algn="l" defTabSz="222250">
            <a:lnSpc>
              <a:spcPct val="90000"/>
            </a:lnSpc>
            <a:spcBef>
              <a:spcPct val="0"/>
            </a:spcBef>
            <a:spcAft>
              <a:spcPct val="15000"/>
            </a:spcAft>
            <a:buChar char="•"/>
          </a:pPr>
          <a:endParaRPr lang="es-ES" sz="500" kern="1200" dirty="0">
            <a:latin typeface="Calibri" panose="020F0502020204030204" pitchFamily="34" charset="0"/>
            <a:cs typeface="Calibri" panose="020F0502020204030204" pitchFamily="34" charset="0"/>
          </a:endParaRPr>
        </a:p>
        <a:p>
          <a:pPr marL="57150" lvl="1" indent="-57150" algn="l" defTabSz="222250">
            <a:lnSpc>
              <a:spcPct val="90000"/>
            </a:lnSpc>
            <a:spcBef>
              <a:spcPct val="0"/>
            </a:spcBef>
            <a:spcAft>
              <a:spcPct val="15000"/>
            </a:spcAft>
            <a:buChar char="•"/>
          </a:pPr>
          <a:r>
            <a:rPr lang="es-ES" sz="500" b="1" kern="1200" dirty="0">
              <a:latin typeface="Calibri" panose="020F0502020204030204" pitchFamily="34" charset="0"/>
              <a:cs typeface="Calibri" panose="020F0502020204030204" pitchFamily="34" charset="0"/>
            </a:rPr>
            <a:t>Actividades</a:t>
          </a:r>
          <a:r>
            <a:rPr lang="es-ES" sz="500" kern="1200" dirty="0">
              <a:latin typeface="Calibri" panose="020F0502020204030204" pitchFamily="34" charset="0"/>
              <a:cs typeface="Calibri" panose="020F0502020204030204" pitchFamily="34" charset="0"/>
            </a:rPr>
            <a:t>: atención individual profesional y talleres grupales focalizados </a:t>
          </a:r>
        </a:p>
      </dsp:txBody>
      <dsp:txXfrm>
        <a:off x="1892492" y="1480338"/>
        <a:ext cx="1447836" cy="918163"/>
      </dsp:txXfrm>
    </dsp:sp>
    <dsp:sp modelId="{A437C1CC-9B5F-44E4-8414-711E53FF309E}">
      <dsp:nvSpPr>
        <dsp:cNvPr id="0" name=""/>
        <dsp:cNvSpPr/>
      </dsp:nvSpPr>
      <dsp:spPr>
        <a:xfrm>
          <a:off x="2715282" y="454167"/>
          <a:ext cx="1755729" cy="1755729"/>
        </a:xfrm>
        <a:prstGeom prst="circularArrow">
          <a:avLst>
            <a:gd name="adj1" fmla="val 2264"/>
            <a:gd name="adj2" fmla="val 272940"/>
            <a:gd name="adj3" fmla="val 19551549"/>
            <a:gd name="adj4" fmla="val 12575511"/>
            <a:gd name="adj5" fmla="val 2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181652-069E-4AF8-9038-75D2E581D9E8}">
      <dsp:nvSpPr>
        <dsp:cNvPr id="0" name=""/>
        <dsp:cNvSpPr/>
      </dsp:nvSpPr>
      <dsp:spPr>
        <a:xfrm>
          <a:off x="2198364" y="919795"/>
          <a:ext cx="1337747" cy="5319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marL="0" lvl="0" indent="0" algn="ctr" defTabSz="889000">
            <a:lnSpc>
              <a:spcPct val="90000"/>
            </a:lnSpc>
            <a:spcBef>
              <a:spcPct val="0"/>
            </a:spcBef>
            <a:spcAft>
              <a:spcPct val="35000"/>
            </a:spcAft>
            <a:buNone/>
          </a:pPr>
          <a:r>
            <a:rPr lang="es-ES" sz="2000" kern="1200" dirty="0"/>
            <a:t>Orientación </a:t>
          </a:r>
        </a:p>
      </dsp:txBody>
      <dsp:txXfrm>
        <a:off x="2213945" y="935376"/>
        <a:ext cx="1306585" cy="500816"/>
      </dsp:txXfrm>
    </dsp:sp>
    <dsp:sp modelId="{674E7F01-BDDC-4491-BE67-646A3A7ACA36}">
      <dsp:nvSpPr>
        <dsp:cNvPr id="0" name=""/>
        <dsp:cNvSpPr/>
      </dsp:nvSpPr>
      <dsp:spPr>
        <a:xfrm>
          <a:off x="3725430" y="1185784"/>
          <a:ext cx="1504966" cy="1241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es-ES" sz="500" kern="1200" dirty="0">
            <a:solidFill>
              <a:schemeClr val="accent2"/>
            </a:solidFill>
          </a:endParaRPr>
        </a:p>
        <a:p>
          <a:pPr marL="57150" lvl="1" indent="-57150" algn="l" defTabSz="222250">
            <a:lnSpc>
              <a:spcPct val="90000"/>
            </a:lnSpc>
            <a:spcBef>
              <a:spcPct val="0"/>
            </a:spcBef>
            <a:spcAft>
              <a:spcPct val="15000"/>
            </a:spcAft>
            <a:buChar char="•"/>
          </a:pPr>
          <a:endParaRPr lang="es-ES" sz="500" kern="1200" dirty="0">
            <a:solidFill>
              <a:schemeClr val="accent2"/>
            </a:solidFill>
          </a:endParaRPr>
        </a:p>
        <a:p>
          <a:pPr marL="57150" lvl="1" indent="-57150" algn="l" defTabSz="222250">
            <a:lnSpc>
              <a:spcPct val="90000"/>
            </a:lnSpc>
            <a:spcBef>
              <a:spcPct val="0"/>
            </a:spcBef>
            <a:spcAft>
              <a:spcPct val="15000"/>
            </a:spcAft>
            <a:buChar char="•"/>
          </a:pPr>
          <a:r>
            <a:rPr lang="es-CL" sz="500" kern="1200" dirty="0">
              <a:latin typeface="Calibri" panose="020F0502020204030204" pitchFamily="34" charset="0"/>
              <a:cs typeface="Calibri" panose="020F0502020204030204" pitchFamily="34" charset="0"/>
            </a:rPr>
            <a:t>Atención profesional a unidades especializadas de la institución de bienestar psicosocial o bien a la red se servicios públicos y/o privados, cuando sea pertinente. </a:t>
          </a:r>
          <a:endParaRPr lang="es-ES" sz="500" kern="1200" dirty="0">
            <a:latin typeface="Calibri" panose="020F0502020204030204" pitchFamily="34" charset="0"/>
            <a:cs typeface="Calibri" panose="020F0502020204030204" pitchFamily="34" charset="0"/>
          </a:endParaRPr>
        </a:p>
        <a:p>
          <a:pPr marL="57150" lvl="1" indent="-57150" algn="l" defTabSz="222250">
            <a:lnSpc>
              <a:spcPct val="90000"/>
            </a:lnSpc>
            <a:spcBef>
              <a:spcPct val="0"/>
            </a:spcBef>
            <a:spcAft>
              <a:spcPct val="15000"/>
            </a:spcAft>
            <a:buChar char="•"/>
          </a:pPr>
          <a:endParaRPr lang="es-ES" sz="500" kern="1200" dirty="0">
            <a:latin typeface="Calibri" panose="020F0502020204030204" pitchFamily="34" charset="0"/>
            <a:cs typeface="Calibri" panose="020F0502020204030204" pitchFamily="34" charset="0"/>
          </a:endParaRPr>
        </a:p>
        <a:p>
          <a:pPr marL="57150" lvl="1" indent="-57150" algn="l" defTabSz="222250">
            <a:lnSpc>
              <a:spcPct val="90000"/>
            </a:lnSpc>
            <a:spcBef>
              <a:spcPct val="0"/>
            </a:spcBef>
            <a:spcAft>
              <a:spcPct val="15000"/>
            </a:spcAft>
            <a:buChar char="•"/>
          </a:pPr>
          <a:r>
            <a:rPr lang="es-ES" sz="500" b="1" kern="1200" dirty="0">
              <a:latin typeface="Calibri" panose="020F0502020204030204" pitchFamily="34" charset="0"/>
              <a:cs typeface="Calibri" panose="020F0502020204030204" pitchFamily="34" charset="0"/>
            </a:rPr>
            <a:t>Actividades</a:t>
          </a:r>
          <a:r>
            <a:rPr lang="es-ES" sz="500" kern="1200" dirty="0">
              <a:latin typeface="Calibri" panose="020F0502020204030204" pitchFamily="34" charset="0"/>
              <a:cs typeface="Calibri" panose="020F0502020204030204" pitchFamily="34" charset="0"/>
            </a:rPr>
            <a:t>: atención individual profesional:asistente social, psicólogo/a; médicos/as</a:t>
          </a:r>
        </a:p>
      </dsp:txBody>
      <dsp:txXfrm>
        <a:off x="3753995" y="1214349"/>
        <a:ext cx="1447836" cy="918163"/>
      </dsp:txXfrm>
    </dsp:sp>
    <dsp:sp modelId="{8DC81FC9-BE79-4ED2-999A-C9220308442A}">
      <dsp:nvSpPr>
        <dsp:cNvPr id="0" name=""/>
        <dsp:cNvSpPr/>
      </dsp:nvSpPr>
      <dsp:spPr>
        <a:xfrm>
          <a:off x="4059867" y="2161077"/>
          <a:ext cx="1337747" cy="5319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marL="0" lvl="0" indent="0" algn="ctr" defTabSz="889000">
            <a:lnSpc>
              <a:spcPct val="90000"/>
            </a:lnSpc>
            <a:spcBef>
              <a:spcPct val="0"/>
            </a:spcBef>
            <a:spcAft>
              <a:spcPct val="35000"/>
            </a:spcAft>
            <a:buNone/>
          </a:pPr>
          <a:r>
            <a:rPr lang="es-ES" sz="2000" kern="1200" dirty="0"/>
            <a:t>Derivación </a:t>
          </a:r>
        </a:p>
      </dsp:txBody>
      <dsp:txXfrm>
        <a:off x="4075448" y="2176658"/>
        <a:ext cx="1306585" cy="500816"/>
      </dsp:txXfrm>
    </dsp:sp>
  </dsp:spTree>
</dsp:drawing>
</file>

<file path=word/diagrams/layout1.xml><?xml version="1.0" encoding="utf-8"?>
<dgm:layoutDef xmlns:dgm="http://schemas.openxmlformats.org/drawingml/2006/diagram" xmlns:a="http://schemas.openxmlformats.org/drawingml/2006/main" uniqueId="urn:microsoft.com/office/officeart/2009/3/layout/PieProcess">
  <dgm:title val=""/>
  <dgm:desc val=""/>
  <dgm:catLst>
    <dgm:cat type="list" pri="8600"/>
    <dgm:cat type="process" pri="4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constrLst>
      <dgm:constr type="primFontSz" for="des" forName="Parent" val="65"/>
      <dgm:constr type="primFontSz" for="des" forName="Child" refType="primFontSz" refFor="des" refForName="Parent" op="lte"/>
      <dgm:constr type="w" for="ch" forName="composite" refType="w"/>
      <dgm:constr type="h" for="ch" forName="composite" refType="h"/>
      <dgm:constr type="w" for="ch" forName="ParentComposite" refType="w" fact="0.5"/>
      <dgm:constr type="h" for="ch" forName="ParentComposite" refType="h"/>
      <dgm:constr type="w" for="ch" forName="negSibTrans" refType="h" refFor="ch" refForName="composite" fact="-0.075"/>
      <dgm:constr type="w" for="ch" forName="sibTrans" refType="w" refFor="ch" refForName="composite" fact="0.0425"/>
    </dgm:constrLst>
    <dgm:forEach name="nodesForEach" axis="ch" ptType="node" cnt="7">
      <dgm:layoutNode name="ParentComposite">
        <dgm:alg type="composite">
          <dgm:param type="ar" val="0.25"/>
        </dgm:alg>
        <dgm:shape xmlns:r="http://schemas.openxmlformats.org/officeDocument/2006/relationships" r:blip="">
          <dgm:adjLst/>
        </dgm:shape>
        <dgm:choose name="Name4">
          <dgm:if name="Name5" func="var" arg="dir" op="equ" val="norm">
            <dgm:constrLst>
              <dgm:constr type="l" for="ch" forName="Parent" refType="w" fact="0"/>
              <dgm:constr type="t" for="ch" forName="Parent" refType="h" fact="0.275"/>
              <dgm:constr type="w" for="ch" forName="Parent" refType="w" fact="0.6"/>
              <dgm:constr type="h" for="ch" forName="Parent" refType="h" fact="0.725"/>
              <dgm:constr type="l" for="ch" forName="Chord" refType="w" fact="0"/>
              <dgm:constr type="t" for="ch" forName="Chord" refType="h" fact="0"/>
              <dgm:constr type="w" for="ch" forName="Chord" refType="w"/>
              <dgm:constr type="h" for="ch" forName="Chord" refType="h" fact="0.25"/>
              <dgm:constr type="l" for="ch" forName="Pie" refType="w" fact="0.1"/>
              <dgm:constr type="t" for="ch" forName="Pie" refType="h" fact="0.025"/>
              <dgm:constr type="w" for="ch" forName="Pie" refType="w" fact="0.8"/>
              <dgm:constr type="h" for="ch" forName="Pie" refType="h" fact="0.2"/>
            </dgm:constrLst>
          </dgm:if>
          <dgm:else name="Name6">
            <dgm:constrLst>
              <dgm:constr type="r" for="ch" forName="Parent" refType="w"/>
              <dgm:constr type="t" for="ch" forName="Parent" refType="h" fact="0.275"/>
              <dgm:constr type="w" for="ch" forName="Parent" refType="w" fact="0.6"/>
              <dgm:constr type="h" for="ch" forName="Parent" refType="h" fact="0.725"/>
              <dgm:constr type="r" for="ch" forName="Chord" refType="w"/>
              <dgm:constr type="t" for="ch" forName="Chord" refType="h" fact="0"/>
              <dgm:constr type="w" for="ch" forName="Chord" refType="w"/>
              <dgm:constr type="h" for="ch" forName="Chord" refType="h" fact="0.25"/>
              <dgm:constr type="r" for="ch" forName="Pie" refType="w" fact="0.9"/>
              <dgm:constr type="t" for="ch" forName="Pie" refType="h" fact="0.025"/>
              <dgm:constr type="w" for="ch" forName="Pie" refType="w" fact="0.8"/>
              <dgm:constr type="h" for="ch" forName="Pie" refType="h" fact="0.2"/>
            </dgm:constrLst>
          </dgm:else>
        </dgm:choose>
        <dgm:layoutNode name="Chord" styleLbl="bgShp">
          <dgm:alg type="sp"/>
          <dgm:choose name="Name7">
            <dgm:if name="Name8" func="var" arg="dir" op="equ" val="norm">
              <dgm:shape xmlns:r="http://schemas.openxmlformats.org/officeDocument/2006/relationships" type="chord" r:blip="">
                <dgm:adjLst>
                  <dgm:adj idx="1" val="80"/>
                  <dgm:adj idx="2" val="-80"/>
                </dgm:adjLst>
              </dgm:shape>
            </dgm:if>
            <dgm:else name="Name9">
              <dgm:shape xmlns:r="http://schemas.openxmlformats.org/officeDocument/2006/relationships" rot="180" type="chord" r:blip="">
                <dgm:adjLst>
                  <dgm:adj idx="1" val="80"/>
                  <dgm:adj idx="2" val="-80"/>
                </dgm:adjLst>
              </dgm:shape>
            </dgm:else>
          </dgm:choose>
          <dgm:presOf/>
        </dgm:layoutNode>
        <dgm:layoutNode name="Pie" styleLbl="alignNode1">
          <dgm:alg type="sp"/>
          <dgm:choose name="Name10">
            <dgm:if name="Name11" func="var" arg="dir" op="equ" val="norm">
              <dgm:choose name="Name12">
                <dgm:if name="Name13" axis="precedSib" ptType="node" func="cnt" op="equ" val="0">
                  <dgm:choose name="Name14">
                    <dgm:if name="Name15" axis="followSib" ptType="node" func="cnt" op="equ" val="0">
                      <dgm:shape xmlns:r="http://schemas.openxmlformats.org/officeDocument/2006/relationships" type="pie" r:blip="">
                        <dgm:adjLst>
                          <dgm:adj idx="1" val="90"/>
                          <dgm:adj idx="2" val="-90"/>
                        </dgm:adjLst>
                      </dgm:shape>
                    </dgm:if>
                    <dgm:if name="Name16" axis="followSib" ptType="node" func="cnt" op="equ" val="1">
                      <dgm:shape xmlns:r="http://schemas.openxmlformats.org/officeDocument/2006/relationships" type="pie" r:blip="">
                        <dgm:adjLst>
                          <dgm:adj idx="1" val="180"/>
                          <dgm:adj idx="2" val="-90"/>
                        </dgm:adjLst>
                      </dgm:shape>
                    </dgm:if>
                    <dgm:if name="Name17" axis="followSib" ptType="node" func="cnt" op="equ" val="2">
                      <dgm:shape xmlns:r="http://schemas.openxmlformats.org/officeDocument/2006/relationships" type="pie" r:blip="">
                        <dgm:adjLst>
                          <dgm:adj idx="1" val="-150"/>
                          <dgm:adj idx="2" val="-90"/>
                        </dgm:adjLst>
                      </dgm:shape>
                    </dgm:if>
                    <dgm:if name="Name18" axis="followSib" ptType="node" func="cnt" op="equ" val="3">
                      <dgm:shape xmlns:r="http://schemas.openxmlformats.org/officeDocument/2006/relationships" type="pie" r:blip="">
                        <dgm:adjLst>
                          <dgm:adj idx="1" val="-135"/>
                          <dgm:adj idx="2" val="-90"/>
                        </dgm:adjLst>
                      </dgm:shape>
                    </dgm:if>
                    <dgm:if name="Name19" axis="followSib" ptType="node" func="cnt" op="equ" val="4">
                      <dgm:shape xmlns:r="http://schemas.openxmlformats.org/officeDocument/2006/relationships" type="pie" r:blip="">
                        <dgm:adjLst>
                          <dgm:adj idx="1" val="-126"/>
                          <dgm:adj idx="2" val="-90"/>
                        </dgm:adjLst>
                      </dgm:shape>
                    </dgm:if>
                    <dgm:if name="Name20" axis="followSib" ptType="node" func="cnt" op="equ" val="5">
                      <dgm:shape xmlns:r="http://schemas.openxmlformats.org/officeDocument/2006/relationships" type="pie" r:blip="">
                        <dgm:adjLst>
                          <dgm:adj idx="1" val="-120"/>
                          <dgm:adj idx="2" val="-90"/>
                        </dgm:adjLst>
                      </dgm:shape>
                    </dgm:if>
                    <dgm:else name="Name21">
                      <dgm:shape xmlns:r="http://schemas.openxmlformats.org/officeDocument/2006/relationships" type="pie" r:blip="">
                        <dgm:adjLst>
                          <dgm:adj idx="1" val="-115.7143"/>
                          <dgm:adj idx="2" val="-90"/>
                        </dgm:adjLst>
                      </dgm:shape>
                    </dgm:else>
                  </dgm:choose>
                </dgm:if>
                <dgm:if name="Name22" axis="precedSib" ptType="node" func="cnt" op="equ" val="1">
                  <dgm:choose name="Name23">
                    <dgm:if name="Name24" axis="followSib" ptType="node" func="cnt" op="equ" val="0">
                      <dgm:shape xmlns:r="http://schemas.openxmlformats.org/officeDocument/2006/relationships" type="pie" r:blip="">
                        <dgm:adjLst>
                          <dgm:adj idx="1" val="90"/>
                          <dgm:adj idx="2" val="-90"/>
                        </dgm:adjLst>
                      </dgm:shape>
                    </dgm:if>
                    <dgm:if name="Name25" axis="followSib" ptType="node" func="cnt" op="equ" val="1">
                      <dgm:shape xmlns:r="http://schemas.openxmlformats.org/officeDocument/2006/relationships" type="pie" r:blip="">
                        <dgm:adjLst>
                          <dgm:adj idx="1" val="150"/>
                          <dgm:adj idx="2" val="-90"/>
                        </dgm:adjLst>
                      </dgm:shape>
                    </dgm:if>
                    <dgm:if name="Name26" axis="followSib" ptType="node" func="cnt" op="equ" val="2">
                      <dgm:shape xmlns:r="http://schemas.openxmlformats.org/officeDocument/2006/relationships" type="pie" r:blip="">
                        <dgm:adjLst>
                          <dgm:adj idx="1" val="180"/>
                          <dgm:adj idx="2" val="-90"/>
                        </dgm:adjLst>
                      </dgm:shape>
                    </dgm:if>
                    <dgm:if name="Name27" axis="followSib" ptType="node" func="cnt" op="equ" val="3">
                      <dgm:shape xmlns:r="http://schemas.openxmlformats.org/officeDocument/2006/relationships" type="pie" r:blip="">
                        <dgm:adjLst>
                          <dgm:adj idx="1" val="-162"/>
                          <dgm:adj idx="2" val="-90"/>
                        </dgm:adjLst>
                      </dgm:shape>
                    </dgm:if>
                    <dgm:if name="Name28" axis="followSib" ptType="node" func="cnt" op="equ" val="4">
                      <dgm:shape xmlns:r="http://schemas.openxmlformats.org/officeDocument/2006/relationships" type="pie" r:blip="">
                        <dgm:adjLst>
                          <dgm:adj idx="1" val="-150"/>
                          <dgm:adj idx="2" val="-90"/>
                        </dgm:adjLst>
                      </dgm:shape>
                    </dgm:if>
                    <dgm:else name="Name29">
                      <dgm:shape xmlns:r="http://schemas.openxmlformats.org/officeDocument/2006/relationships" type="pie" r:blip="">
                        <dgm:adjLst>
                          <dgm:adj idx="1" val="-141.4286"/>
                          <dgm:adj idx="2" val="-90"/>
                        </dgm:adjLst>
                      </dgm:shape>
                    </dgm:else>
                  </dgm:choose>
                </dgm:if>
                <dgm:if name="Name30" axis="precedSib" ptType="node" func="cnt" op="equ" val="2">
                  <dgm:choose name="Name31">
                    <dgm:if name="Name32" axis="followSib" ptType="node" func="cnt" op="equ" val="0">
                      <dgm:shape xmlns:r="http://schemas.openxmlformats.org/officeDocument/2006/relationships" type="pie" r:blip="">
                        <dgm:adjLst>
                          <dgm:adj idx="1" val="90"/>
                          <dgm:adj idx="2" val="-90"/>
                        </dgm:adjLst>
                      </dgm:shape>
                    </dgm:if>
                    <dgm:if name="Name33" axis="followSib" ptType="node" func="cnt" op="equ" val="1">
                      <dgm:shape xmlns:r="http://schemas.openxmlformats.org/officeDocument/2006/relationships" type="pie" r:blip="">
                        <dgm:adjLst>
                          <dgm:adj idx="1" val="135"/>
                          <dgm:adj idx="2" val="-90"/>
                        </dgm:adjLst>
                      </dgm:shape>
                    </dgm:if>
                    <dgm:if name="Name34" axis="followSib" ptType="node" func="cnt" op="equ" val="2">
                      <dgm:shape xmlns:r="http://schemas.openxmlformats.org/officeDocument/2006/relationships" type="pie" r:blip="">
                        <dgm:adjLst>
                          <dgm:adj idx="1" val="162"/>
                          <dgm:adj idx="2" val="-90"/>
                        </dgm:adjLst>
                      </dgm:shape>
                    </dgm:if>
                    <dgm:if name="Name35" axis="followSib" ptType="node" func="cnt" op="equ" val="3">
                      <dgm:shape xmlns:r="http://schemas.openxmlformats.org/officeDocument/2006/relationships" type="pie" r:blip="">
                        <dgm:adjLst>
                          <dgm:adj idx="1" val="180"/>
                          <dgm:adj idx="2" val="-90"/>
                        </dgm:adjLst>
                      </dgm:shape>
                    </dgm:if>
                    <dgm:else name="Name36">
                      <dgm:shape xmlns:r="http://schemas.openxmlformats.org/officeDocument/2006/relationships" type="pie" r:blip="">
                        <dgm:adjLst>
                          <dgm:adj idx="1" val="-167.1429"/>
                          <dgm:adj idx="2" val="-90"/>
                        </dgm:adjLst>
                      </dgm:shape>
                    </dgm:else>
                  </dgm:choose>
                </dgm:if>
                <dgm:if name="Name37" axis="precedSib" ptType="node" func="cnt" op="equ" val="3">
                  <dgm:choose name="Name38">
                    <dgm:if name="Name39" axis="followSib" ptType="node" func="cnt" op="equ" val="0">
                      <dgm:shape xmlns:r="http://schemas.openxmlformats.org/officeDocument/2006/relationships" type="pie" r:blip="">
                        <dgm:adjLst>
                          <dgm:adj idx="1" val="90"/>
                          <dgm:adj idx="2" val="-90"/>
                        </dgm:adjLst>
                      </dgm:shape>
                    </dgm:if>
                    <dgm:if name="Name40" axis="followSib" ptType="node" func="cnt" op="equ" val="1">
                      <dgm:shape xmlns:r="http://schemas.openxmlformats.org/officeDocument/2006/relationships" type="pie" r:blip="">
                        <dgm:adjLst>
                          <dgm:adj idx="1" val="126"/>
                          <dgm:adj idx="2" val="-90"/>
                        </dgm:adjLst>
                      </dgm:shape>
                    </dgm:if>
                    <dgm:if name="Name41" axis="followSib" ptType="node" func="cnt" op="equ" val="2">
                      <dgm:shape xmlns:r="http://schemas.openxmlformats.org/officeDocument/2006/relationships" type="pie" r:blip="">
                        <dgm:adjLst>
                          <dgm:adj idx="1" val="150"/>
                          <dgm:adj idx="2" val="-90"/>
                        </dgm:adjLst>
                      </dgm:shape>
                    </dgm:if>
                    <dgm:else name="Name42">
                      <dgm:shape xmlns:r="http://schemas.openxmlformats.org/officeDocument/2006/relationships" type="pie" r:blip="">
                        <dgm:adjLst>
                          <dgm:adj idx="1" val="167.1429"/>
                          <dgm:adj idx="2" val="-90"/>
                        </dgm:adjLst>
                      </dgm:shape>
                    </dgm:else>
                  </dgm:choose>
                </dgm:if>
                <dgm:if name="Name43" axis="precedSib" ptType="node" func="cnt" op="equ" val="4">
                  <dgm:choose name="Name44">
                    <dgm:if name="Name45" axis="followSib" ptType="node" func="cnt" op="equ" val="0">
                      <dgm:shape xmlns:r="http://schemas.openxmlformats.org/officeDocument/2006/relationships" type="pie" r:blip="">
                        <dgm:adjLst>
                          <dgm:adj idx="1" val="90"/>
                          <dgm:adj idx="2" val="-90"/>
                        </dgm:adjLst>
                      </dgm:shape>
                    </dgm:if>
                    <dgm:if name="Name46" axis="followSib" ptType="node" func="cnt" op="equ" val="1">
                      <dgm:shape xmlns:r="http://schemas.openxmlformats.org/officeDocument/2006/relationships" type="pie" r:blip="">
                        <dgm:adjLst>
                          <dgm:adj idx="1" val="120"/>
                          <dgm:adj idx="2" val="-90"/>
                        </dgm:adjLst>
                      </dgm:shape>
                    </dgm:if>
                    <dgm:else name="Name47">
                      <dgm:shape xmlns:r="http://schemas.openxmlformats.org/officeDocument/2006/relationships" type="pie" r:blip="">
                        <dgm:adjLst>
                          <dgm:adj idx="1" val="141.4286"/>
                          <dgm:adj idx="2" val="-90"/>
                        </dgm:adjLst>
                      </dgm:shape>
                    </dgm:else>
                  </dgm:choose>
                </dgm:if>
                <dgm:if name="Name48" axis="precedSib" ptType="node" func="cnt" op="equ" val="5">
                  <dgm:choose name="Name49">
                    <dgm:if name="Name50" axis="followSib" ptType="node" func="cnt" op="equ" val="0">
                      <dgm:shape xmlns:r="http://schemas.openxmlformats.org/officeDocument/2006/relationships" type="pie" r:blip="">
                        <dgm:adjLst>
                          <dgm:adj idx="1" val="90"/>
                          <dgm:adj idx="2" val="-90"/>
                        </dgm:adjLst>
                      </dgm:shape>
                    </dgm:if>
                    <dgm:else name="Name51">
                      <dgm:shape xmlns:r="http://schemas.openxmlformats.org/officeDocument/2006/relationships" type="pie" r:blip="">
                        <dgm:adjLst>
                          <dgm:adj idx="1" val="115.7143"/>
                          <dgm:adj idx="2" val="-90"/>
                        </dgm:adjLst>
                      </dgm:shape>
                    </dgm:else>
                  </dgm:choose>
                </dgm:if>
                <dgm:else name="Name52">
                  <dgm:shape xmlns:r="http://schemas.openxmlformats.org/officeDocument/2006/relationships" type="pie" r:blip="">
                    <dgm:adjLst>
                      <dgm:adj idx="1" val="90"/>
                      <dgm:adj idx="2" val="-90"/>
                    </dgm:adjLst>
                  </dgm:shape>
                </dgm:else>
              </dgm:choose>
            </dgm:if>
            <dgm:else name="Name53">
              <dgm:choose name="Name54">
                <dgm:if name="Name55" axis="precedSib" ptType="node" func="cnt" op="equ" val="0">
                  <dgm:choose name="Name56">
                    <dgm:if name="Name57" axis="followSib" ptType="node" func="cnt" op="equ" val="0">
                      <dgm:shape xmlns:r="http://schemas.openxmlformats.org/officeDocument/2006/relationships" rot="180" type="pie" r:blip="">
                        <dgm:adjLst>
                          <dgm:adj idx="1" val="90"/>
                          <dgm:adj idx="2" val="-90"/>
                        </dgm:adjLst>
                      </dgm:shape>
                    </dgm:if>
                    <dgm:if name="Name58" axis="followSib" ptType="node" func="cnt" op="equ" val="1">
                      <dgm:shape xmlns:r="http://schemas.openxmlformats.org/officeDocument/2006/relationships" rot="180" type="pie" r:blip="">
                        <dgm:adjLst>
                          <dgm:adj idx="1" val="90"/>
                          <dgm:adj idx="2" val="180"/>
                        </dgm:adjLst>
                      </dgm:shape>
                    </dgm:if>
                    <dgm:if name="Name59" axis="followSib" ptType="node" func="cnt" op="equ" val="2">
                      <dgm:shape xmlns:r="http://schemas.openxmlformats.org/officeDocument/2006/relationships" rot="180" type="pie" r:blip="">
                        <dgm:adjLst>
                          <dgm:adj idx="1" val="90"/>
                          <dgm:adj idx="2" val="150"/>
                        </dgm:adjLst>
                      </dgm:shape>
                    </dgm:if>
                    <dgm:if name="Name60" axis="followSib" ptType="node" func="cnt" op="equ" val="3">
                      <dgm:shape xmlns:r="http://schemas.openxmlformats.org/officeDocument/2006/relationships" rot="180" type="pie" r:blip="">
                        <dgm:adjLst>
                          <dgm:adj idx="1" val="90"/>
                          <dgm:adj idx="2" val="135"/>
                        </dgm:adjLst>
                      </dgm:shape>
                    </dgm:if>
                    <dgm:if name="Name61" axis="followSib" ptType="node" func="cnt" op="equ" val="4">
                      <dgm:shape xmlns:r="http://schemas.openxmlformats.org/officeDocument/2006/relationships" rot="180" type="pie" r:blip="">
                        <dgm:adjLst>
                          <dgm:adj idx="1" val="90"/>
                          <dgm:adj idx="2" val="126"/>
                        </dgm:adjLst>
                      </dgm:shape>
                    </dgm:if>
                    <dgm:if name="Name62" axis="followSib" ptType="node" func="cnt" op="equ" val="5">
                      <dgm:shape xmlns:r="http://schemas.openxmlformats.org/officeDocument/2006/relationships" rot="180" type="pie" r:blip="">
                        <dgm:adjLst>
                          <dgm:adj idx="1" val="90"/>
                          <dgm:adj idx="2" val="120"/>
                        </dgm:adjLst>
                      </dgm:shape>
                    </dgm:if>
                    <dgm:else name="Name63">
                      <dgm:shape xmlns:r="http://schemas.openxmlformats.org/officeDocument/2006/relationships" rot="180" type="pie" r:blip="">
                        <dgm:adjLst>
                          <dgm:adj idx="1" val="90"/>
                          <dgm:adj idx="2" val="115.7143"/>
                        </dgm:adjLst>
                      </dgm:shape>
                    </dgm:else>
                  </dgm:choose>
                </dgm:if>
                <dgm:if name="Name64" axis="precedSib" ptType="node" func="cnt" op="equ" val="1">
                  <dgm:choose name="Name65">
                    <dgm:if name="Name66" axis="followSib" ptType="node" func="cnt" op="equ" val="0">
                      <dgm:shape xmlns:r="http://schemas.openxmlformats.org/officeDocument/2006/relationships" rot="180" type="pie" r:blip="">
                        <dgm:adjLst>
                          <dgm:adj idx="1" val="90"/>
                          <dgm:adj idx="2" val="-90"/>
                        </dgm:adjLst>
                      </dgm:shape>
                    </dgm:if>
                    <dgm:if name="Name67" axis="followSib" ptType="node" func="cnt" op="equ" val="1">
                      <dgm:shape xmlns:r="http://schemas.openxmlformats.org/officeDocument/2006/relationships" rot="180" type="pie" r:blip="">
                        <dgm:adjLst>
                          <dgm:adj idx="1" val="90"/>
                          <dgm:adj idx="2" val="-150"/>
                        </dgm:adjLst>
                      </dgm:shape>
                    </dgm:if>
                    <dgm:if name="Name68" axis="followSib" ptType="node" func="cnt" op="equ" val="2">
                      <dgm:shape xmlns:r="http://schemas.openxmlformats.org/officeDocument/2006/relationships" rot="180" type="pie" r:blip="">
                        <dgm:adjLst>
                          <dgm:adj idx="1" val="90"/>
                          <dgm:adj idx="2" val="180"/>
                        </dgm:adjLst>
                      </dgm:shape>
                    </dgm:if>
                    <dgm:if name="Name69" axis="followSib" ptType="node" func="cnt" op="equ" val="3">
                      <dgm:shape xmlns:r="http://schemas.openxmlformats.org/officeDocument/2006/relationships" rot="180" type="pie" r:blip="">
                        <dgm:adjLst>
                          <dgm:adj idx="1" val="90"/>
                          <dgm:adj idx="2" val="162"/>
                        </dgm:adjLst>
                      </dgm:shape>
                    </dgm:if>
                    <dgm:if name="Name70" axis="followSib" ptType="node" func="cnt" op="equ" val="4">
                      <dgm:shape xmlns:r="http://schemas.openxmlformats.org/officeDocument/2006/relationships" rot="180" type="pie" r:blip="">
                        <dgm:adjLst>
                          <dgm:adj idx="1" val="90"/>
                          <dgm:adj idx="2" val="150"/>
                        </dgm:adjLst>
                      </dgm:shape>
                    </dgm:if>
                    <dgm:else name="Name71">
                      <dgm:shape xmlns:r="http://schemas.openxmlformats.org/officeDocument/2006/relationships" rot="180" type="pie" r:blip="">
                        <dgm:adjLst>
                          <dgm:adj idx="1" val="90"/>
                          <dgm:adj idx="2" val="141.4286"/>
                        </dgm:adjLst>
                      </dgm:shape>
                    </dgm:else>
                  </dgm:choose>
                </dgm:if>
                <dgm:if name="Name72" axis="precedSib" ptType="node" func="cnt" op="equ" val="2">
                  <dgm:choose name="Name73">
                    <dgm:if name="Name74" axis="followSib" ptType="node" func="cnt" op="equ" val="0">
                      <dgm:shape xmlns:r="http://schemas.openxmlformats.org/officeDocument/2006/relationships" rot="180" type="pie" r:blip="">
                        <dgm:adjLst>
                          <dgm:adj idx="1" val="90"/>
                          <dgm:adj idx="2" val="-90"/>
                        </dgm:adjLst>
                      </dgm:shape>
                    </dgm:if>
                    <dgm:if name="Name75" axis="followSib" ptType="node" func="cnt" op="equ" val="1">
                      <dgm:shape xmlns:r="http://schemas.openxmlformats.org/officeDocument/2006/relationships" rot="180" type="pie" r:blip="">
                        <dgm:adjLst>
                          <dgm:adj idx="1" val="90"/>
                          <dgm:adj idx="2" val="-135"/>
                        </dgm:adjLst>
                      </dgm:shape>
                    </dgm:if>
                    <dgm:if name="Name76" axis="followSib" ptType="node" func="cnt" op="equ" val="2">
                      <dgm:shape xmlns:r="http://schemas.openxmlformats.org/officeDocument/2006/relationships" rot="180" type="pie" r:blip="">
                        <dgm:adjLst>
                          <dgm:adj idx="1" val="90"/>
                          <dgm:adj idx="2" val="-162"/>
                        </dgm:adjLst>
                      </dgm:shape>
                    </dgm:if>
                    <dgm:if name="Name77" axis="followSib" ptType="node" func="cnt" op="equ" val="3">
                      <dgm:shape xmlns:r="http://schemas.openxmlformats.org/officeDocument/2006/relationships" rot="180" type="pie" r:blip="">
                        <dgm:adjLst>
                          <dgm:adj idx="1" val="90"/>
                          <dgm:adj idx="2" val="180"/>
                        </dgm:adjLst>
                      </dgm:shape>
                    </dgm:if>
                    <dgm:else name="Name78">
                      <dgm:shape xmlns:r="http://schemas.openxmlformats.org/officeDocument/2006/relationships" rot="180" type="pie" r:blip="">
                        <dgm:adjLst>
                          <dgm:adj idx="1" val="90"/>
                          <dgm:adj idx="2" val="167.1429"/>
                        </dgm:adjLst>
                      </dgm:shape>
                    </dgm:else>
                  </dgm:choose>
                </dgm:if>
                <dgm:if name="Name79" axis="precedSib" ptType="node" func="cnt" op="equ" val="3">
                  <dgm:choose name="Name80">
                    <dgm:if name="Name81" axis="followSib" ptType="node" func="cnt" op="equ" val="0">
                      <dgm:shape xmlns:r="http://schemas.openxmlformats.org/officeDocument/2006/relationships" rot="180" type="pie" r:blip="">
                        <dgm:adjLst>
                          <dgm:adj idx="1" val="90"/>
                          <dgm:adj idx="2" val="-90"/>
                        </dgm:adjLst>
                      </dgm:shape>
                    </dgm:if>
                    <dgm:if name="Name82" axis="followSib" ptType="node" func="cnt" op="equ" val="1">
                      <dgm:shape xmlns:r="http://schemas.openxmlformats.org/officeDocument/2006/relationships" rot="180" type="pie" r:blip="">
                        <dgm:adjLst>
                          <dgm:adj idx="1" val="90"/>
                          <dgm:adj idx="2" val="-126"/>
                        </dgm:adjLst>
                      </dgm:shape>
                    </dgm:if>
                    <dgm:if name="Name83" axis="followSib" ptType="node" func="cnt" op="equ" val="2">
                      <dgm:shape xmlns:r="http://schemas.openxmlformats.org/officeDocument/2006/relationships" rot="180" type="pie" r:blip="">
                        <dgm:adjLst>
                          <dgm:adj idx="1" val="90"/>
                          <dgm:adj idx="2" val="-150"/>
                        </dgm:adjLst>
                      </dgm:shape>
                    </dgm:if>
                    <dgm:else name="Name84">
                      <dgm:shape xmlns:r="http://schemas.openxmlformats.org/officeDocument/2006/relationships" rot="180" type="pie" r:blip="">
                        <dgm:adjLst>
                          <dgm:adj idx="1" val="90"/>
                          <dgm:adj idx="2" val="-167.1429"/>
                        </dgm:adjLst>
                      </dgm:shape>
                    </dgm:else>
                  </dgm:choose>
                </dgm:if>
                <dgm:if name="Name85" axis="precedSib" ptType="node" func="cnt" op="equ" val="4">
                  <dgm:choose name="Name86">
                    <dgm:if name="Name87" axis="followSib" ptType="node" func="cnt" op="equ" val="0">
                      <dgm:shape xmlns:r="http://schemas.openxmlformats.org/officeDocument/2006/relationships" rot="180" type="pie" r:blip="">
                        <dgm:adjLst>
                          <dgm:adj idx="1" val="90"/>
                          <dgm:adj idx="2" val="-90"/>
                        </dgm:adjLst>
                      </dgm:shape>
                    </dgm:if>
                    <dgm:if name="Name88" axis="followSib" ptType="node" func="cnt" op="equ" val="1">
                      <dgm:shape xmlns:r="http://schemas.openxmlformats.org/officeDocument/2006/relationships" rot="180" type="pie" r:blip="">
                        <dgm:adjLst>
                          <dgm:adj idx="1" val="90"/>
                          <dgm:adj idx="2" val="-120"/>
                        </dgm:adjLst>
                      </dgm:shape>
                    </dgm:if>
                    <dgm:else name="Name89">
                      <dgm:shape xmlns:r="http://schemas.openxmlformats.org/officeDocument/2006/relationships" rot="180" type="pie" r:blip="">
                        <dgm:adjLst>
                          <dgm:adj idx="1" val="90"/>
                          <dgm:adj idx="2" val="-141.4286"/>
                        </dgm:adjLst>
                      </dgm:shape>
                    </dgm:else>
                  </dgm:choose>
                </dgm:if>
                <dgm:if name="Name90" axis="precedSib" ptType="node" func="cnt" op="equ" val="5">
                  <dgm:choose name="Name91">
                    <dgm:if name="Name92" axis="followSib" ptType="node" func="cnt" op="equ" val="0">
                      <dgm:shape xmlns:r="http://schemas.openxmlformats.org/officeDocument/2006/relationships" rot="180" type="pie" r:blip="">
                        <dgm:adjLst>
                          <dgm:adj idx="1" val="90"/>
                          <dgm:adj idx="2" val="-90"/>
                        </dgm:adjLst>
                      </dgm:shape>
                    </dgm:if>
                    <dgm:else name="Name93">
                      <dgm:shape xmlns:r="http://schemas.openxmlformats.org/officeDocument/2006/relationships" rot="180" type="pie" r:blip="">
                        <dgm:adjLst>
                          <dgm:adj idx="1" val="90"/>
                          <dgm:adj idx="2" val="-115.7143"/>
                        </dgm:adjLst>
                      </dgm:shape>
                    </dgm:else>
                  </dgm:choose>
                </dgm:if>
                <dgm:else name="Name94">
                  <dgm:shape xmlns:r="http://schemas.openxmlformats.org/officeDocument/2006/relationships" rot="180" type="pie" r:blip="">
                    <dgm:adjLst>
                      <dgm:adj idx="1" val="90"/>
                      <dgm:adj idx="2" val="-90"/>
                    </dgm:adjLst>
                  </dgm:shape>
                </dgm:else>
              </dgm:choose>
            </dgm:else>
          </dgm:choose>
          <dgm:presOf/>
        </dgm:layoutNode>
        <dgm:layoutNode name="Parent" styleLbl="revTx">
          <dgm:varLst>
            <dgm:chMax val="1"/>
            <dgm:chPref val="1"/>
            <dgm:bulletEnabled val="1"/>
          </dgm:varLst>
          <dgm:choose name="Name95">
            <dgm:if name="Name96" func="var" arg="dir" op="equ" val="norm">
              <dgm:alg type="tx">
                <dgm:param type="parTxLTRAlign" val="r"/>
                <dgm:param type="parTxRTLAlign" val="r"/>
                <dgm:param type="shpTxLTRAlignCh" val="r"/>
                <dgm:param type="shpTxRTLAlignCh" val="r"/>
                <dgm:param type="txAnchorVert" val="b"/>
                <dgm:param type="autoTxRot" val="grav"/>
              </dgm:alg>
            </dgm:if>
            <dgm:else name="Name97">
              <dgm:alg type="tx">
                <dgm:param type="parTxLTRAlign" val="l"/>
                <dgm:param type="parTxRTLAlign" val="l"/>
                <dgm:param type="shpTxLTRAlignCh" val="l"/>
                <dgm:param type="shpTxRTLAlignCh" val="l"/>
                <dgm:param type="txAnchorVert" val="b"/>
                <dgm:param type="autoTxRot" val="grav"/>
              </dgm:alg>
            </dgm:else>
          </dgm:choose>
          <dgm:choose name="Name98">
            <dgm:if name="Name99" func="var" arg="dir" op="equ" val="norm">
              <dgm:shape xmlns:r="http://schemas.openxmlformats.org/officeDocument/2006/relationships" rot="-90" type="rect" r:blip="">
                <dgm:adjLst/>
              </dgm:shape>
            </dgm:if>
            <dgm:else name="Name100">
              <dgm:shape xmlns:r="http://schemas.openxmlformats.org/officeDocument/2006/relationships" rot="90" type="rect" r:blip="">
                <dgm:adjLst/>
              </dgm:shape>
            </dgm:else>
          </dgm:choose>
          <dgm:presOf axis="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choose name="Name101">
        <dgm:if name="Name102" axis="ch" ptType="node" func="cnt" op="gte" val="1">
          <dgm:forEach name="negSibTransForEach" axis="ch" ptType="sibTrans" hideLastTrans="0" cnt="1">
            <dgm:layoutNode name="negSibTrans">
              <dgm:alg type="sp"/>
              <dgm:shape xmlns:r="http://schemas.openxmlformats.org/officeDocument/2006/relationships" r:blip="">
                <dgm:adjLst/>
              </dgm:shape>
            </dgm:layoutNode>
          </dgm:forEach>
          <dgm:layoutNode name="composite">
            <dgm:alg type="composite">
              <dgm:param type="ar" val="0.5"/>
            </dgm:alg>
            <dgm:shape xmlns:r="http://schemas.openxmlformats.org/officeDocument/2006/relationships" r:blip="">
              <dgm:adjLst/>
            </dgm:shape>
            <dgm:choose name="Name103">
              <dgm:if name="Name104" func="var" arg="dir" op="equ" val="norm">
                <dgm:constrLst>
                  <dgm:constr type="l" for="ch" forName="Child" refType="w" fact="0"/>
                  <dgm:constr type="t" for="ch" forName="Child" refType="h" fact="0"/>
                  <dgm:constr type="w" for="ch" forName="Child" refType="w"/>
                  <dgm:constr type="h" for="ch" forName="Child" refType="h"/>
                </dgm:constrLst>
              </dgm:if>
              <dgm:else name="Name105">
                <dgm:constrLst>
                  <dgm:constr type="r" for="ch" forName="Child" refType="w"/>
                  <dgm:constr type="t" for="ch" forName="Child" refType="h" fact="0"/>
                  <dgm:constr type="w" for="ch" forName="Child" refType="w"/>
                  <dgm:constr type="h" for="ch" forName="Child" refType="h"/>
                </dgm:constrLst>
              </dgm:else>
            </dgm:choose>
            <dgm:ruleLst/>
            <dgm:layoutNode name="Child" styleLbl="revTx">
              <dgm:varLst>
                <dgm:chMax val="0"/>
                <dgm:chPref val="0"/>
                <dgm:bulletEnabled val="1"/>
              </dgm:varLst>
              <dgm:choose name="Name106">
                <dgm:if name="Name107" func="var" arg="dir" op="equ" val="norm">
                  <dgm:alg type="tx">
                    <dgm:param type="parTxLTRAlign" val="l"/>
                    <dgm:param type="parTxRTLAlign" val="r"/>
                    <dgm:param type="txAnchorVert" val="t"/>
                  </dgm:alg>
                </dgm:if>
                <dgm:else name="Name108">
                  <dgm:alg type="tx">
                    <dgm:param type="parTxLTRAlign" val="r"/>
                    <dgm:param type="parTxRTLAlign" val="l"/>
                    <dgm:param type="txAnchorVert" val="t"/>
                  </dgm:alg>
                </dgm:else>
              </dgm:choose>
              <dgm:shape xmlns:r="http://schemas.openxmlformats.org/officeDocument/2006/relationships" type="rect" r:blip="">
                <dgm:adjLst/>
              </dgm:shape>
              <dgm:presOf axis="des"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if>
        <dgm:else name="Name10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20</Pages>
  <Words>8580</Words>
  <Characters>47193</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Beatriz del Pilar Rahmer Pavez (beatriz.rahmer)</cp:lastModifiedBy>
  <cp:revision>20</cp:revision>
  <dcterms:created xsi:type="dcterms:W3CDTF">2026-03-14T03:50:00Z</dcterms:created>
  <dcterms:modified xsi:type="dcterms:W3CDTF">2026-07-11T22:39:00Z</dcterms:modified>
</cp:coreProperties>
</file>