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F65CA" w14:textId="77777777" w:rsidR="00F91DFD" w:rsidRDefault="00F91DFD">
      <w:pPr>
        <w:jc w:val="center"/>
        <w:rPr>
          <w:rFonts w:ascii="Times New Roman" w:eastAsia="Times New Roman" w:hAnsi="Times New Roman" w:cs="Times New Roman"/>
        </w:rPr>
      </w:pPr>
    </w:p>
    <w:p w14:paraId="5180AF67" w14:textId="77777777" w:rsidR="00F91DFD" w:rsidRDefault="0029211B">
      <w:pPr>
        <w:jc w:val="center"/>
        <w:rPr>
          <w:rFonts w:ascii="Times New Roman" w:eastAsia="Times New Roman" w:hAnsi="Times New Roman" w:cs="Times New Roman"/>
          <w:b/>
          <w:bCs/>
        </w:rPr>
      </w:pPr>
      <w:r>
        <w:rPr>
          <w:rFonts w:ascii="Times New Roman" w:eastAsia="Times New Roman" w:hAnsi="Times New Roman" w:cs="Times New Roman"/>
          <w:b/>
          <w:bCs/>
        </w:rPr>
        <w:t>Cuando la intervención se vuelve formación: la economía social y solidaria en el posgrado universitario</w:t>
      </w:r>
    </w:p>
    <w:p w14:paraId="50D5E506" w14:textId="77777777" w:rsidR="00F91DFD" w:rsidRDefault="0029211B">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Flury</w:t>
      </w:r>
      <w:proofErr w:type="spellEnd"/>
      <w:r>
        <w:rPr>
          <w:rFonts w:ascii="Times New Roman" w:eastAsia="Times New Roman" w:hAnsi="Times New Roman" w:cs="Times New Roman"/>
        </w:rPr>
        <w:t>, Jorgelina</w:t>
      </w:r>
    </w:p>
    <w:p w14:paraId="38BFF285" w14:textId="77777777" w:rsidR="00F91DFD" w:rsidRDefault="0029211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Centro de Estudios de la Economía Social, Universidad Nacional de Tres de Febrero.</w:t>
      </w:r>
    </w:p>
    <w:p w14:paraId="36C79BE7" w14:textId="77777777" w:rsidR="00F91DFD" w:rsidRDefault="0029211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jflury@untref.edu.ar</w:t>
      </w:r>
    </w:p>
    <w:p w14:paraId="22B4C09D" w14:textId="77777777" w:rsidR="00F91DFD" w:rsidRDefault="00F91DFD">
      <w:pPr>
        <w:rPr>
          <w:rFonts w:ascii="Times New Roman" w:eastAsia="Times New Roman" w:hAnsi="Times New Roman" w:cs="Times New Roman"/>
        </w:rPr>
      </w:pPr>
    </w:p>
    <w:p w14:paraId="0B4E1CC2" w14:textId="77777777" w:rsidR="00F91DFD" w:rsidRDefault="0029211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Laborda, Valeria</w:t>
      </w:r>
    </w:p>
    <w:p w14:paraId="4EB1EA29" w14:textId="77777777" w:rsidR="00F91DFD" w:rsidRDefault="0029211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Centro de Estudios de la Economía Social, Universidad Nacional de Tres de Febrero.</w:t>
      </w:r>
    </w:p>
    <w:p w14:paraId="1A70FCC4" w14:textId="77777777" w:rsidR="00F91DFD" w:rsidRDefault="0029211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vlaborda@untref.edu.ar</w:t>
      </w:r>
    </w:p>
    <w:p w14:paraId="7B9DA4D2" w14:textId="77777777" w:rsidR="00F91DFD" w:rsidRDefault="00F91DFD">
      <w:pPr>
        <w:spacing w:after="0" w:line="240" w:lineRule="auto"/>
        <w:jc w:val="right"/>
        <w:rPr>
          <w:rFonts w:ascii="Times New Roman" w:eastAsia="Times New Roman" w:hAnsi="Times New Roman" w:cs="Times New Roman"/>
        </w:rPr>
      </w:pPr>
    </w:p>
    <w:p w14:paraId="69C90047" w14:textId="77777777" w:rsidR="00F91DFD" w:rsidRDefault="00F91DFD">
      <w:pPr>
        <w:spacing w:after="0" w:line="240" w:lineRule="auto"/>
        <w:jc w:val="right"/>
        <w:rPr>
          <w:rFonts w:ascii="Times New Roman" w:eastAsia="Times New Roman" w:hAnsi="Times New Roman" w:cs="Times New Roman"/>
        </w:rPr>
      </w:pPr>
    </w:p>
    <w:p w14:paraId="5F1C8486" w14:textId="77777777" w:rsidR="00F91DFD" w:rsidRDefault="0029211B">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r>
        <w:rPr>
          <w:rFonts w:ascii="Times New Roman" w:eastAsia="Times New Roman" w:hAnsi="Times New Roman" w:cs="Times New Roman"/>
        </w:rPr>
        <w:t>La creciente pres</w:t>
      </w:r>
      <w:r>
        <w:rPr>
          <w:rFonts w:ascii="Times New Roman" w:eastAsia="Times New Roman" w:hAnsi="Times New Roman" w:cs="Times New Roman"/>
        </w:rPr>
        <w:t xml:space="preserve">encia de la economía social y solidaria (ESS) en el ámbito universitario argentino plantea interrogantes acerca de los modos en que este campo se institucionaliza y se </w:t>
      </w:r>
      <w:proofErr w:type="spellStart"/>
      <w:r>
        <w:rPr>
          <w:rFonts w:ascii="Times New Roman" w:eastAsia="Times New Roman" w:hAnsi="Times New Roman" w:cs="Times New Roman"/>
        </w:rPr>
        <w:t>curriculariza</w:t>
      </w:r>
      <w:proofErr w:type="spellEnd"/>
      <w:r>
        <w:rPr>
          <w:rFonts w:ascii="Times New Roman" w:eastAsia="Times New Roman" w:hAnsi="Times New Roman" w:cs="Times New Roman"/>
        </w:rPr>
        <w:t>, redefiniendo las misiones tradicionales de la universidad pública. Esta p</w:t>
      </w:r>
      <w:r>
        <w:rPr>
          <w:rFonts w:ascii="Times New Roman" w:eastAsia="Times New Roman" w:hAnsi="Times New Roman" w:cs="Times New Roman"/>
        </w:rPr>
        <w:t xml:space="preserve">onencia analiza dicho proceso a partir del caso del Programa de Economía Social y Solidaria (ESS) de la Universidad Nacional de Tres de Febrero (UNTREF), con especial atención a su desarrollo en el área de posgrados. En primer lugar, a través de un relato </w:t>
      </w:r>
      <w:r>
        <w:rPr>
          <w:rFonts w:ascii="Times New Roman" w:eastAsia="Times New Roman" w:hAnsi="Times New Roman" w:cs="Times New Roman"/>
        </w:rPr>
        <w:t>de experiencia elaborado por dos de sus integrantes, se reconstruye la trayectoria de la ESS en el ámbito disciplinar: desde las primeras iniciativas de extensión hasta su consolidación como un espacio de formación, investigación e intervención con enfoque</w:t>
      </w:r>
      <w:r>
        <w:rPr>
          <w:rFonts w:ascii="Times New Roman" w:eastAsia="Times New Roman" w:hAnsi="Times New Roman" w:cs="Times New Roman"/>
        </w:rPr>
        <w:t>s y dispositivos propios. Uno de los dispositivos sobre los que se detiene la ponencia es el Trabajo final de intervención (TFI), modalidad del trabajo de graduación de la Maestría en economía social, comunitaria y solidaria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orientado a transform</w:t>
      </w:r>
      <w:r>
        <w:rPr>
          <w:rFonts w:ascii="Times New Roman" w:eastAsia="Times New Roman" w:hAnsi="Times New Roman" w:cs="Times New Roman"/>
        </w:rPr>
        <w:t>ar situaciones problemáticas en territorio o aprovechar oportunidades de mejora. El mismo se analiza a través de una sistematización sobre 50 proyectos de TFI aceptados por el comité académico, particularizando los ámbitos de intervención, los tipos de pro</w:t>
      </w:r>
      <w:r>
        <w:rPr>
          <w:rFonts w:ascii="Times New Roman" w:eastAsia="Times New Roman" w:hAnsi="Times New Roman" w:cs="Times New Roman"/>
        </w:rPr>
        <w:t xml:space="preserve">blemáticas abordadas y su relación con la </w:t>
      </w:r>
      <w:proofErr w:type="spellStart"/>
      <w:r>
        <w:rPr>
          <w:rFonts w:ascii="Times New Roman" w:eastAsia="Times New Roman" w:hAnsi="Times New Roman" w:cs="Times New Roman"/>
        </w:rPr>
        <w:t>currícula</w:t>
      </w:r>
      <w:proofErr w:type="spellEnd"/>
      <w:r>
        <w:rPr>
          <w:rFonts w:ascii="Times New Roman" w:eastAsia="Times New Roman" w:hAnsi="Times New Roman" w:cs="Times New Roman"/>
        </w:rPr>
        <w:t xml:space="preserve"> y con los proyectos de investigación vinculados al programa. En segundo lugar, la ponencia problematiza algunos de los supuestos epistemológicos que atraviesan el proceso de institucionalización y </w:t>
      </w:r>
      <w:proofErr w:type="spellStart"/>
      <w:r>
        <w:rPr>
          <w:rFonts w:ascii="Times New Roman" w:eastAsia="Times New Roman" w:hAnsi="Times New Roman" w:cs="Times New Roman"/>
        </w:rPr>
        <w:t>curricu</w:t>
      </w:r>
      <w:r>
        <w:rPr>
          <w:rFonts w:ascii="Times New Roman" w:eastAsia="Times New Roman" w:hAnsi="Times New Roman" w:cs="Times New Roman"/>
        </w:rPr>
        <w:t>larización</w:t>
      </w:r>
      <w:proofErr w:type="spellEnd"/>
      <w:r>
        <w:rPr>
          <w:rFonts w:ascii="Times New Roman" w:eastAsia="Times New Roman" w:hAnsi="Times New Roman" w:cs="Times New Roman"/>
        </w:rPr>
        <w:t>, como el diálogo de saberes, la perspectiva decolonial y la aspiración a construir relaciones horizontales entre universidad y territorio. Recuperando aportes de las epistemologías del Sur, se indaga en qué medida estas categorías permiten pensa</w:t>
      </w:r>
      <w:r>
        <w:rPr>
          <w:rFonts w:ascii="Times New Roman" w:eastAsia="Times New Roman" w:hAnsi="Times New Roman" w:cs="Times New Roman"/>
        </w:rPr>
        <w:t>r formas alternativas de producción de conocimiento en el ámbito universitario y cuáles son las tensiones que emergen cuando tales principios se articulan con las lógicas institucionales de la educación superior. En este marco, se reflexiona sobre el senti</w:t>
      </w:r>
      <w:r>
        <w:rPr>
          <w:rFonts w:ascii="Times New Roman" w:eastAsia="Times New Roman" w:hAnsi="Times New Roman" w:cs="Times New Roman"/>
        </w:rPr>
        <w:t>do de la ESS dentro de la universidad y sobre su potencial para construir saberes legitimados por las voces de actores sociales y comunitarios y para llevar a ámbitos del saber académico las problemáticas dinámicas del territorio.</w:t>
      </w:r>
    </w:p>
    <w:p w14:paraId="6414F5A0" w14:textId="2460DAAF"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Palabras clave: </w:t>
      </w:r>
      <w:r>
        <w:rPr>
          <w:rFonts w:ascii="Times New Roman" w:eastAsia="Times New Roman" w:hAnsi="Times New Roman" w:cs="Times New Roman"/>
        </w:rPr>
        <w:t xml:space="preserve">Economía </w:t>
      </w:r>
      <w:r>
        <w:rPr>
          <w:rFonts w:ascii="Times New Roman" w:eastAsia="Times New Roman" w:hAnsi="Times New Roman" w:cs="Times New Roman"/>
        </w:rPr>
        <w:t xml:space="preserve">Social y Solidaria, Universidad, Institucionalización, Intervención </w:t>
      </w:r>
    </w:p>
    <w:p w14:paraId="32B240EB" w14:textId="77777777" w:rsidR="00DC5560" w:rsidRDefault="00DC5560">
      <w:pPr>
        <w:spacing w:line="240" w:lineRule="auto"/>
        <w:jc w:val="both"/>
        <w:rPr>
          <w:rFonts w:ascii="Times New Roman" w:eastAsia="Times New Roman" w:hAnsi="Times New Roman" w:cs="Times New Roman"/>
          <w:b/>
          <w:bCs/>
        </w:rPr>
      </w:pPr>
    </w:p>
    <w:p w14:paraId="131FD903" w14:textId="77777777" w:rsidR="00F91DFD" w:rsidRDefault="0029211B">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Introducción</w:t>
      </w:r>
    </w:p>
    <w:p w14:paraId="47D5126B"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La incorporación de la Economía Social y Solidaria (ESS) al sistema universitario argentino constituye un proceso relativamente reciente que se desarrolla con mayor intensida</w:t>
      </w:r>
      <w:r>
        <w:rPr>
          <w:rFonts w:ascii="Times New Roman" w:eastAsia="Times New Roman" w:hAnsi="Times New Roman" w:cs="Times New Roman"/>
        </w:rPr>
        <w:t>d a partir de la primera década del siglo XXI. Si bien existen antecedentes vinculados a la enseñanza del cooperativismo y el mutualismo en distintas instituciones de educación superior, la expansión de experiencias asociadas a la ESS se encuentra estrecha</w:t>
      </w:r>
      <w:r>
        <w:rPr>
          <w:rFonts w:ascii="Times New Roman" w:eastAsia="Times New Roman" w:hAnsi="Times New Roman" w:cs="Times New Roman"/>
        </w:rPr>
        <w:t>mente vinculada a las transformaciones económicas y sociales posteriores a la crisis de 2001, que impulsaron nuevas formas de organización económica, trabajo asociativo y gestión colectiva de recursos. Esta profusión y confluencia de experiencias orientada</w:t>
      </w:r>
      <w:r>
        <w:rPr>
          <w:rFonts w:ascii="Times New Roman" w:eastAsia="Times New Roman" w:hAnsi="Times New Roman" w:cs="Times New Roman"/>
        </w:rPr>
        <w:t>s por una racionalidad integral de respeto al circuito natural de la vida humana (</w:t>
      </w:r>
      <w:proofErr w:type="spellStart"/>
      <w:r>
        <w:rPr>
          <w:rFonts w:ascii="Times New Roman" w:eastAsia="Times New Roman" w:hAnsi="Times New Roman" w:cs="Times New Roman"/>
        </w:rPr>
        <w:t>Hinkelammert</w:t>
      </w:r>
      <w:proofErr w:type="spellEnd"/>
      <w:r>
        <w:rPr>
          <w:rFonts w:ascii="Times New Roman" w:eastAsia="Times New Roman" w:hAnsi="Times New Roman" w:cs="Times New Roman"/>
        </w:rPr>
        <w:t xml:space="preserve"> &amp; Mora Jiménez, 2009) fue acompañada por la ampliación de su abordaje como campo de estudio en el ámbito universitario. Para ello fue preciso adjetivar la econom</w:t>
      </w:r>
      <w:r>
        <w:rPr>
          <w:rFonts w:ascii="Times New Roman" w:eastAsia="Times New Roman" w:hAnsi="Times New Roman" w:cs="Times New Roman"/>
        </w:rPr>
        <w:t>ía con diversos calificativos: social, solidaria, comunitaria, para reconocer la pluralidad de su objeto de estudio y promover otros abordajes metodológicos, debido a que la perspectiva hegemónica de la economía se ha centrado en el estudio de los mercados</w:t>
      </w:r>
      <w:r>
        <w:rPr>
          <w:rFonts w:ascii="Times New Roman" w:eastAsia="Times New Roman" w:hAnsi="Times New Roman" w:cs="Times New Roman"/>
        </w:rPr>
        <w:t xml:space="preserve"> y ha ido cristalizando en las modelizaciones desarrolladas por el pensamiento neoclásico, invisibilizando así otras formas de producción, distribución y consumo vigentes en las economías contemporáneas.</w:t>
      </w:r>
    </w:p>
    <w:p w14:paraId="543073E7"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En el contexto mencionado, diversas universidades na</w:t>
      </w:r>
      <w:r>
        <w:rPr>
          <w:rFonts w:ascii="Times New Roman" w:eastAsia="Times New Roman" w:hAnsi="Times New Roman" w:cs="Times New Roman"/>
        </w:rPr>
        <w:t>cionales comenzaron a desarrollar actividades de docencia, investigación, extensión y vinculación territorial orientadas al fortalecimiento de cooperativas, mutuales, empresas recuperadas, organizaciones comunitarias y emprendimientos asociativos. Según se</w:t>
      </w:r>
      <w:r>
        <w:rPr>
          <w:rFonts w:ascii="Times New Roman" w:eastAsia="Times New Roman" w:hAnsi="Times New Roman" w:cs="Times New Roman"/>
        </w:rPr>
        <w:t>ñala Pastore (2015), durante las últimas décadas se produjo un crecimiento significativo de iniciativas universitarias vinculadas a la ESS, expresadas en proyectos de extensión, programas institucionales, líneas de investigación, diplomaturas, tecnicaturas</w:t>
      </w:r>
      <w:r>
        <w:rPr>
          <w:rFonts w:ascii="Times New Roman" w:eastAsia="Times New Roman" w:hAnsi="Times New Roman" w:cs="Times New Roman"/>
        </w:rPr>
        <w:t>, especializaciones y maestrías, configurando un campo académico específico dentro de la educación superior argentina. Este campo puede ser significado como inter y transdisciplinario, debido a que en él no sólo confluyen trayectorias profesionales y saber</w:t>
      </w:r>
      <w:r>
        <w:rPr>
          <w:rFonts w:ascii="Times New Roman" w:eastAsia="Times New Roman" w:hAnsi="Times New Roman" w:cs="Times New Roman"/>
        </w:rPr>
        <w:t>es de diversas disciplinas de origen, sino porque se está consolidando con una identidad superadora, que es más que la suma de sus partes y que involucra tanto a la academia como a los actores del campo de la ESS.</w:t>
      </w:r>
    </w:p>
    <w:p w14:paraId="61DB475F"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Este crecimiento en tan poco tiempo en par</w:t>
      </w:r>
      <w:r>
        <w:rPr>
          <w:rFonts w:ascii="Times New Roman" w:eastAsia="Times New Roman" w:hAnsi="Times New Roman" w:cs="Times New Roman"/>
        </w:rPr>
        <w:t>te fue posible gracias a un marco institucional favorable y el trabajo en red, donde se destacan dos estructuras de cooperación a nivel nacional. En primer lugar, la Red Universitaria de Economía Social y Solidaria (RUESS), que ha funcionado desde el año 2</w:t>
      </w:r>
      <w:r>
        <w:rPr>
          <w:rFonts w:ascii="Times New Roman" w:eastAsia="Times New Roman" w:hAnsi="Times New Roman" w:cs="Times New Roman"/>
        </w:rPr>
        <w:t>014 como un espacio de convergencia para equipos de numerosas universidades. Hoy en día, forman parte de la RUESS al menos 45 equipos universitarios. En segunda instancia, el Programa de Cooperativismo y ESS en la Universidad, impulsado por la Secretaría d</w:t>
      </w:r>
      <w:r>
        <w:rPr>
          <w:rFonts w:ascii="Times New Roman" w:eastAsia="Times New Roman" w:hAnsi="Times New Roman" w:cs="Times New Roman"/>
        </w:rPr>
        <w:t>e Políticas Universitarias (SPU), que entre los años 2014 y 2017 logró fortalecer el vínculo entre las universidades y las entidades del sector, promoviendo la innovación y la integración de políticas públicas.</w:t>
      </w:r>
    </w:p>
    <w:p w14:paraId="344DFB47"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su vez, este proceso fue acompañado por la </w:t>
      </w:r>
      <w:r>
        <w:rPr>
          <w:rFonts w:ascii="Times New Roman" w:eastAsia="Times New Roman" w:hAnsi="Times New Roman" w:cs="Times New Roman"/>
        </w:rPr>
        <w:t>creación y expansión de ofertas formativas específicas, de diferentes niveles. Natalia Stein (2020) cita un relevamiento realizado por la RUESS que identificaba ya en 2017 una amplia diversidad de propuestas de pregrado, grado y posgrado en universidades n</w:t>
      </w:r>
      <w:r>
        <w:rPr>
          <w:rFonts w:ascii="Times New Roman" w:eastAsia="Times New Roman" w:hAnsi="Times New Roman" w:cs="Times New Roman"/>
        </w:rPr>
        <w:t xml:space="preserve">acionales, orientadas a la formación de profesionales </w:t>
      </w:r>
      <w:r>
        <w:rPr>
          <w:rFonts w:ascii="Times New Roman" w:eastAsia="Times New Roman" w:hAnsi="Times New Roman" w:cs="Times New Roman"/>
        </w:rPr>
        <w:lastRenderedPageBreak/>
        <w:t>y actores sociales vinculados al sector. Entre ellas se encontraban experiencias desarrolladas por las universidades nacionales de Quilmes, General Sarmiento, Rosario, Córdoba, Misiones, La Plata, San M</w:t>
      </w:r>
      <w:r>
        <w:rPr>
          <w:rFonts w:ascii="Times New Roman" w:eastAsia="Times New Roman" w:hAnsi="Times New Roman" w:cs="Times New Roman"/>
        </w:rPr>
        <w:t>artín y Tres de Febrero, entre otras. En la actualidad, según la misma fuente, es posible identificar más de 35 propuestas de formación.</w:t>
      </w:r>
    </w:p>
    <w:p w14:paraId="2EAD9E9F"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la evolución de la oferta académica y la </w:t>
      </w:r>
      <w:proofErr w:type="spellStart"/>
      <w:r>
        <w:rPr>
          <w:rFonts w:ascii="Times New Roman" w:eastAsia="Times New Roman" w:hAnsi="Times New Roman" w:cs="Times New Roman"/>
        </w:rPr>
        <w:t>curricularización</w:t>
      </w:r>
      <w:proofErr w:type="spellEnd"/>
      <w:r>
        <w:rPr>
          <w:rFonts w:ascii="Times New Roman" w:eastAsia="Times New Roman" w:hAnsi="Times New Roman" w:cs="Times New Roman"/>
        </w:rPr>
        <w:t xml:space="preserve"> de la ESS ha seguido un camino de creciente</w:t>
      </w:r>
      <w:r>
        <w:rPr>
          <w:rFonts w:ascii="Times New Roman" w:eastAsia="Times New Roman" w:hAnsi="Times New Roman" w:cs="Times New Roman"/>
        </w:rPr>
        <w:t xml:space="preserve"> formalización, pasando de actividades de extensión a carreras de grado y posgrado. Inicialmente, la formación surgió como respuestas territoriales mediante cursos de posgrado (como el de la UNTREF) y diplomas de extensión, que no requerían estudios secund</w:t>
      </w:r>
      <w:r>
        <w:rPr>
          <w:rFonts w:ascii="Times New Roman" w:eastAsia="Times New Roman" w:hAnsi="Times New Roman" w:cs="Times New Roman"/>
        </w:rPr>
        <w:t>arios previos y trabajaban para poner en valor los saberes de las organizaciones sociales. Muchos de ellos, incluso, fueron apalancados en convenios con organismos estatales, movimientos sociales o entidades de segundo o tercer grado de los ámbitos coopera</w:t>
      </w:r>
      <w:r>
        <w:rPr>
          <w:rFonts w:ascii="Times New Roman" w:eastAsia="Times New Roman" w:hAnsi="Times New Roman" w:cs="Times New Roman"/>
        </w:rPr>
        <w:t>tivo o mutual. Posteriormente, se fueron incorporando las tecnicaturas universitarias, que llegaban para consolidar la oferta de pregrado, formalizando campos de formación general, de fundamentos y prácticas profesionalizantes con un enfoque de educación p</w:t>
      </w:r>
      <w:r>
        <w:rPr>
          <w:rFonts w:ascii="Times New Roman" w:eastAsia="Times New Roman" w:hAnsi="Times New Roman" w:cs="Times New Roman"/>
        </w:rPr>
        <w:t>opular.</w:t>
      </w:r>
    </w:p>
    <w:p w14:paraId="55AB0CB5"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A las tecnicaturas le siguieron los ciclos de complementación y las primeras carreras de grado (licenciaturas), diseñadas para articular las tecnicaturas previas en un ciclo de grado superior, profesionalizando la gestión y promoción del desarrollo</w:t>
      </w:r>
      <w:r>
        <w:rPr>
          <w:rFonts w:ascii="Times New Roman" w:eastAsia="Times New Roman" w:hAnsi="Times New Roman" w:cs="Times New Roman"/>
        </w:rPr>
        <w:t xml:space="preserve"> </w:t>
      </w:r>
      <w:proofErr w:type="spellStart"/>
      <w:r>
        <w:rPr>
          <w:rFonts w:ascii="Times New Roman" w:eastAsia="Times New Roman" w:hAnsi="Times New Roman" w:cs="Times New Roman"/>
        </w:rPr>
        <w:t>socioterritorial</w:t>
      </w:r>
      <w:proofErr w:type="spellEnd"/>
      <w:r>
        <w:rPr>
          <w:rFonts w:ascii="Times New Roman" w:eastAsia="Times New Roman" w:hAnsi="Times New Roman" w:cs="Times New Roman"/>
        </w:rPr>
        <w:t xml:space="preserve">. A la par que se fueron proponiendo programas específicos para capacitar a docentes y dirigentes. Y finalmente, hace alrededor de diez años aparecieron en escena los primeros posgrados con reconocimiento de la CONEAU: especializaciones y </w:t>
      </w:r>
      <w:r>
        <w:rPr>
          <w:rFonts w:ascii="Times New Roman" w:eastAsia="Times New Roman" w:hAnsi="Times New Roman" w:cs="Times New Roman"/>
        </w:rPr>
        <w:t>maestrías. El último hito en este camino es el Doctorado de UNTREF, de 2025, como se relatará más adelante.</w:t>
      </w:r>
    </w:p>
    <w:p w14:paraId="1E135884"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Sin extenderse demasiado en el detalle de cada una de ellas, se resalta que la consolidación de estas iniciativas dio lugar también a la conformació</w:t>
      </w:r>
      <w:r>
        <w:rPr>
          <w:rFonts w:ascii="Times New Roman" w:eastAsia="Times New Roman" w:hAnsi="Times New Roman" w:cs="Times New Roman"/>
        </w:rPr>
        <w:t>n de espacios de articulación interuniversitaria. En este marco surge la ya mencionada Red Universitaria de Economía Social y Solidaria (RUESS), que, al estar integrada por equipos universitarios comprometidos con la promoción de la ESS, se termina constit</w:t>
      </w:r>
      <w:r>
        <w:rPr>
          <w:rFonts w:ascii="Times New Roman" w:eastAsia="Times New Roman" w:hAnsi="Times New Roman" w:cs="Times New Roman"/>
        </w:rPr>
        <w:t xml:space="preserve">uyendo como una expresión institucional de un proceso más amplio de reconocimiento de la ESS como campo de formación, producción de conocimiento e intervención social dentro de las universidades públicas argentinas. </w:t>
      </w:r>
    </w:p>
    <w:p w14:paraId="673794D8"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De hecho, en el ámbito de la RUESS es d</w:t>
      </w:r>
      <w:r>
        <w:rPr>
          <w:rFonts w:ascii="Times New Roman" w:eastAsia="Times New Roman" w:hAnsi="Times New Roman" w:cs="Times New Roman"/>
        </w:rPr>
        <w:t xml:space="preserve">onde se alimenta la discusión sobre la </w:t>
      </w:r>
      <w:proofErr w:type="spellStart"/>
      <w:r>
        <w:rPr>
          <w:rFonts w:ascii="Times New Roman" w:eastAsia="Times New Roman" w:hAnsi="Times New Roman" w:cs="Times New Roman"/>
        </w:rPr>
        <w:t>curricularización</w:t>
      </w:r>
      <w:proofErr w:type="spellEnd"/>
      <w:r>
        <w:rPr>
          <w:rFonts w:ascii="Times New Roman" w:eastAsia="Times New Roman" w:hAnsi="Times New Roman" w:cs="Times New Roman"/>
        </w:rPr>
        <w:t xml:space="preserve"> de la ESS en vinculación con los debates en torno a la </w:t>
      </w:r>
      <w:proofErr w:type="spellStart"/>
      <w:r>
        <w:rPr>
          <w:rFonts w:ascii="Times New Roman" w:eastAsia="Times New Roman" w:hAnsi="Times New Roman" w:cs="Times New Roman"/>
        </w:rPr>
        <w:t>curricularización</w:t>
      </w:r>
      <w:proofErr w:type="spellEnd"/>
      <w:r>
        <w:rPr>
          <w:rFonts w:ascii="Times New Roman" w:eastAsia="Times New Roman" w:hAnsi="Times New Roman" w:cs="Times New Roman"/>
        </w:rPr>
        <w:t xml:space="preserve"> de la extensión universitaria y a la integralidad de las funciones sustantivas de la universidad. Y justamente son estos espac</w:t>
      </w:r>
      <w:r>
        <w:rPr>
          <w:rFonts w:ascii="Times New Roman" w:eastAsia="Times New Roman" w:hAnsi="Times New Roman" w:cs="Times New Roman"/>
        </w:rPr>
        <w:t>ios los que promueven la reflexión sobre el sentido de las prácticas formativas orientadas a la intervención territorial y desde donde se cuestiona si efectivamente permiten superar la tradicional separación entre enseñanza, investigación y extensión, prom</w:t>
      </w:r>
      <w:r>
        <w:rPr>
          <w:rFonts w:ascii="Times New Roman" w:eastAsia="Times New Roman" w:hAnsi="Times New Roman" w:cs="Times New Roman"/>
        </w:rPr>
        <w:t xml:space="preserve">oviendo experiencias pedagógicas centradas en problemáticas sociales concretas y en la construcción colectiva de conocimientos. </w:t>
      </w:r>
    </w:p>
    <w:p w14:paraId="5A561AF4"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marco de estas discusiones, aparece la pregunta por el modelo de integración académico-territorial, como una universidad </w:t>
      </w:r>
      <w:r>
        <w:rPr>
          <w:rFonts w:ascii="Times New Roman" w:eastAsia="Times New Roman" w:hAnsi="Times New Roman" w:cs="Times New Roman"/>
        </w:rPr>
        <w:t xml:space="preserve">que propone una relación dialógica entre el saber académico y el saber popular. En esta línea </w:t>
      </w:r>
      <w:proofErr w:type="spellStart"/>
      <w:r>
        <w:rPr>
          <w:rFonts w:ascii="Times New Roman" w:eastAsia="Times New Roman" w:hAnsi="Times New Roman" w:cs="Times New Roman"/>
        </w:rPr>
        <w:t>Kaltmeier</w:t>
      </w:r>
      <w:proofErr w:type="spellEnd"/>
      <w:r>
        <w:rPr>
          <w:rFonts w:ascii="Times New Roman" w:eastAsia="Times New Roman" w:hAnsi="Times New Roman" w:cs="Times New Roman"/>
        </w:rPr>
        <w:t xml:space="preserve"> (2020) pondera las metodologías horizontales que se han desarrollado en América Latina y que implican una </w:t>
      </w:r>
      <w:r>
        <w:rPr>
          <w:rFonts w:ascii="Times New Roman" w:eastAsia="Times New Roman" w:hAnsi="Times New Roman" w:cs="Times New Roman"/>
        </w:rPr>
        <w:lastRenderedPageBreak/>
        <w:t>transformación profunda en un sentido decoloni</w:t>
      </w:r>
      <w:r>
        <w:rPr>
          <w:rFonts w:ascii="Times New Roman" w:eastAsia="Times New Roman" w:hAnsi="Times New Roman" w:cs="Times New Roman"/>
        </w:rPr>
        <w:t>al de la academia. Para ello afirma la necesidad de trabajar en un corredor de articulación entre campo académico y espacios de vida cotidiana de los sectores subalternos, y enfatiza que los resultados académicos consiguen de esta forma una profundidad rar</w:t>
      </w:r>
      <w:r>
        <w:rPr>
          <w:rFonts w:ascii="Times New Roman" w:eastAsia="Times New Roman" w:hAnsi="Times New Roman" w:cs="Times New Roman"/>
        </w:rPr>
        <w:t>as veces alcanzadas por metodologías tradicionales. Desde esta perspectiva, las orientaciones prácticas de la oferta educativa en el ámbito de la ESS cumplen un rol central. La mayoría de ellas incorporan distintos niveles de prácticas donde las y los estu</w:t>
      </w:r>
      <w:r>
        <w:rPr>
          <w:rFonts w:ascii="Times New Roman" w:eastAsia="Times New Roman" w:hAnsi="Times New Roman" w:cs="Times New Roman"/>
        </w:rPr>
        <w:t>diantes intervienen directamente en el territorio, realizando diagnósticos, sistematizando experiencias y apoyando la gestión de emprendimientos asociados. Esto hace lugar a otro paradigma que abraza y resignifica la ESS en la universidad que es la Investi</w:t>
      </w:r>
      <w:r>
        <w:rPr>
          <w:rFonts w:ascii="Times New Roman" w:eastAsia="Times New Roman" w:hAnsi="Times New Roman" w:cs="Times New Roman"/>
        </w:rPr>
        <w:t>gación-Acción, donde la investigación se orienta a reflexionar sobre las propias prácticas de extensión y formación para mejorarlas, enfocándose en áreas como mercados solidarios, salud comunitaria y tecnologías para la inclusión social.</w:t>
      </w:r>
    </w:p>
    <w:p w14:paraId="3454DF7A"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Finalmente, un fen</w:t>
      </w:r>
      <w:r>
        <w:rPr>
          <w:rFonts w:ascii="Times New Roman" w:eastAsia="Times New Roman" w:hAnsi="Times New Roman" w:cs="Times New Roman"/>
        </w:rPr>
        <w:t>ómeno más reciente fue la incorporación de unidades de innovación e incubación social, con sus propios dispositivos que recuperan las singularidades de los procesos productivos de la ESS para apoyar desde emprendimientos individuales hasta circuitos de val</w:t>
      </w:r>
      <w:r>
        <w:rPr>
          <w:rFonts w:ascii="Times New Roman" w:eastAsia="Times New Roman" w:hAnsi="Times New Roman" w:cs="Times New Roman"/>
        </w:rPr>
        <w:t>or en sectores como el turismo social, la agricultura familiar y las finanzas solidarias.</w:t>
      </w:r>
    </w:p>
    <w:p w14:paraId="370E272F"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Desde esta perspectiva, la </w:t>
      </w:r>
      <w:proofErr w:type="spellStart"/>
      <w:r>
        <w:rPr>
          <w:rFonts w:ascii="Times New Roman" w:eastAsia="Times New Roman" w:hAnsi="Times New Roman" w:cs="Times New Roman"/>
        </w:rPr>
        <w:t>curricularización</w:t>
      </w:r>
      <w:proofErr w:type="spellEnd"/>
      <w:r>
        <w:rPr>
          <w:rFonts w:ascii="Times New Roman" w:eastAsia="Times New Roman" w:hAnsi="Times New Roman" w:cs="Times New Roman"/>
        </w:rPr>
        <w:t xml:space="preserve"> de la ESS puede entenderse como un proceso de institucionalización académica que excede la incorporación de contenidos te</w:t>
      </w:r>
      <w:r>
        <w:rPr>
          <w:rFonts w:ascii="Times New Roman" w:eastAsia="Times New Roman" w:hAnsi="Times New Roman" w:cs="Times New Roman"/>
        </w:rPr>
        <w:t>máticos en los planes de estudio. Se trata, más bien, de la construcción de dispositivos pedagógicos que puedan ampliar la producción horizontal de conocimientos (</w:t>
      </w:r>
      <w:proofErr w:type="spellStart"/>
      <w:r>
        <w:rPr>
          <w:rFonts w:ascii="Times New Roman" w:eastAsia="Times New Roman" w:hAnsi="Times New Roman" w:cs="Times New Roman"/>
        </w:rPr>
        <w:t>Kaltmeier</w:t>
      </w:r>
      <w:proofErr w:type="spellEnd"/>
      <w:r>
        <w:rPr>
          <w:rFonts w:ascii="Times New Roman" w:eastAsia="Times New Roman" w:hAnsi="Times New Roman" w:cs="Times New Roman"/>
        </w:rPr>
        <w:t xml:space="preserve">, 2020) capaces de articular formación, producción de saberes e intervención en los </w:t>
      </w:r>
      <w:r>
        <w:rPr>
          <w:rFonts w:ascii="Times New Roman" w:eastAsia="Times New Roman" w:hAnsi="Times New Roman" w:cs="Times New Roman"/>
        </w:rPr>
        <w:t>territorios, recuperando aprendizajes provenientes de organizaciones sociales, cooperativas, mutuales y actores comunitarios. En este sentido, la ESS ha contribuido a promover formas de enseñanza vinculadas con el aprendizaje situado, el diálogo de saberes</w:t>
      </w:r>
      <w:r>
        <w:rPr>
          <w:rFonts w:ascii="Times New Roman" w:eastAsia="Times New Roman" w:hAnsi="Times New Roman" w:cs="Times New Roman"/>
        </w:rPr>
        <w:t xml:space="preserve"> y la construcción de conocimientos socialmente relevantes. </w:t>
      </w:r>
    </w:p>
    <w:p w14:paraId="35020413"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marco, el presente trabajo se propone analizar el proceso de institucionalización y </w:t>
      </w:r>
      <w:proofErr w:type="spellStart"/>
      <w:r>
        <w:rPr>
          <w:rFonts w:ascii="Times New Roman" w:eastAsia="Times New Roman" w:hAnsi="Times New Roman" w:cs="Times New Roman"/>
        </w:rPr>
        <w:t>curricularización</w:t>
      </w:r>
      <w:proofErr w:type="spellEnd"/>
      <w:r>
        <w:rPr>
          <w:rFonts w:ascii="Times New Roman" w:eastAsia="Times New Roman" w:hAnsi="Times New Roman" w:cs="Times New Roman"/>
        </w:rPr>
        <w:t xml:space="preserve"> de la ESS a partir de la experiencia del Programa de Economía Social y Solidaria de l</w:t>
      </w:r>
      <w:r>
        <w:rPr>
          <w:rFonts w:ascii="Times New Roman" w:eastAsia="Times New Roman" w:hAnsi="Times New Roman" w:cs="Times New Roman"/>
        </w:rPr>
        <w:t xml:space="preserve">a Universidad Nacional de Tres de Febrero (UNTREF). En el siguiente apartado se reconstruye su trayectoria institucional, rastreando su evolución desde las primeras iniciativas de extensión hasta la consolidación de un espacio de formación de posgrado con </w:t>
      </w:r>
      <w:r>
        <w:rPr>
          <w:rFonts w:ascii="Times New Roman" w:eastAsia="Times New Roman" w:hAnsi="Times New Roman" w:cs="Times New Roman"/>
        </w:rPr>
        <w:t>enfoques y dispositivos propios. A continuación, el artículo se detiene en el análisis del Trabajo Final de Intervención (TFI) como dispositivo pedagógico central de la Maestría en Economía Social, Comunitaria y Solidaria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Para ello se presenta un</w:t>
      </w:r>
      <w:r>
        <w:rPr>
          <w:rFonts w:ascii="Times New Roman" w:eastAsia="Times New Roman" w:hAnsi="Times New Roman" w:cs="Times New Roman"/>
        </w:rPr>
        <w:t xml:space="preserve">a sistematización de 50 proyectos que permite identificar los ámbitos de intervención, las problemáticas abordadas y su relación con la </w:t>
      </w:r>
      <w:proofErr w:type="spellStart"/>
      <w:r>
        <w:rPr>
          <w:rFonts w:ascii="Times New Roman" w:eastAsia="Times New Roman" w:hAnsi="Times New Roman" w:cs="Times New Roman"/>
        </w:rPr>
        <w:t>currícula</w:t>
      </w:r>
      <w:proofErr w:type="spellEnd"/>
      <w:r>
        <w:rPr>
          <w:rFonts w:ascii="Times New Roman" w:eastAsia="Times New Roman" w:hAnsi="Times New Roman" w:cs="Times New Roman"/>
        </w:rPr>
        <w:t>. Finalmente, se problematizan los supuestos epistemológicos que atraviesan este proceso, como el diálogo de sa</w:t>
      </w:r>
      <w:r>
        <w:rPr>
          <w:rFonts w:ascii="Times New Roman" w:eastAsia="Times New Roman" w:hAnsi="Times New Roman" w:cs="Times New Roman"/>
        </w:rPr>
        <w:t>beres y la perspectiva decolonial, reflexionando sobre las tensiones que emergen al articular los principios de la ESS con las lógicas institucionales de la educación superior y el potencial de la universidad para construir conocimientos situados junto a l</w:t>
      </w:r>
      <w:r>
        <w:rPr>
          <w:rFonts w:ascii="Times New Roman" w:eastAsia="Times New Roman" w:hAnsi="Times New Roman" w:cs="Times New Roman"/>
        </w:rPr>
        <w:t>os actores del territorio.</w:t>
      </w:r>
    </w:p>
    <w:p w14:paraId="29632A1D" w14:textId="77777777" w:rsidR="00F91DFD" w:rsidRDefault="00F91DFD">
      <w:pPr>
        <w:spacing w:line="240" w:lineRule="auto"/>
        <w:rPr>
          <w:rFonts w:ascii="Times New Roman" w:eastAsia="Times New Roman" w:hAnsi="Times New Roman" w:cs="Times New Roman"/>
          <w:b/>
          <w:bCs/>
        </w:rPr>
      </w:pPr>
    </w:p>
    <w:p w14:paraId="5C5372E0" w14:textId="77777777" w:rsidR="00F91DFD" w:rsidRDefault="0029211B">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La experiencia concreta de la UNTREF</w:t>
      </w:r>
    </w:p>
    <w:p w14:paraId="086ADB23"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experiencia de la Maestría en Economía Social, Comunitaria y Solidaria de la Universidad Nacional de Tres de Febrero se inscribe en este proceso más amplio de </w:t>
      </w:r>
      <w:proofErr w:type="spellStart"/>
      <w:r>
        <w:rPr>
          <w:rFonts w:ascii="Times New Roman" w:eastAsia="Times New Roman" w:hAnsi="Times New Roman" w:cs="Times New Roman"/>
        </w:rPr>
        <w:t>curricularización</w:t>
      </w:r>
      <w:proofErr w:type="spellEnd"/>
      <w:r>
        <w:rPr>
          <w:rFonts w:ascii="Times New Roman" w:eastAsia="Times New Roman" w:hAnsi="Times New Roman" w:cs="Times New Roman"/>
        </w:rPr>
        <w:t xml:space="preserve"> de la Economía Social y Solidaria en la educación superior argentina. Como s</w:t>
      </w:r>
      <w:r>
        <w:rPr>
          <w:rFonts w:ascii="Times New Roman" w:eastAsia="Times New Roman" w:hAnsi="Times New Roman" w:cs="Times New Roman"/>
        </w:rPr>
        <w:t>e verá en el siguiente apartado, su propuesta académica combina formación teórica, análisis de experiencias latinoamericanas e intervención situada mediante la realización de Trabajos finales de intervención, constituyéndose en un caso significativo para a</w:t>
      </w:r>
      <w:r>
        <w:rPr>
          <w:rFonts w:ascii="Times New Roman" w:eastAsia="Times New Roman" w:hAnsi="Times New Roman" w:cs="Times New Roman"/>
        </w:rPr>
        <w:t>nalizar las formas contemporáneas de institucionalización universitaria de la ESS.</w:t>
      </w:r>
    </w:p>
    <w:p w14:paraId="06658670"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Esta trayectoria particular se inscribe en un proceso de más de dos décadas de desarrollo de actividades de formación, investigación y vinculación con organizaciones sociale</w:t>
      </w:r>
      <w:r>
        <w:rPr>
          <w:rFonts w:ascii="Times New Roman" w:eastAsia="Times New Roman" w:hAnsi="Times New Roman" w:cs="Times New Roman"/>
        </w:rPr>
        <w:t xml:space="preserve">s, asociaciones civiles, cooperativas, clubes, mutuales y organismos públicos. Este recorrido tuvo como núcleo institucional al Centro de Estudios de la Economía Social (CEES), espacio desde el cual se fueron consolidando iniciativas académicas orientadas </w:t>
      </w:r>
      <w:r>
        <w:rPr>
          <w:rFonts w:ascii="Times New Roman" w:eastAsia="Times New Roman" w:hAnsi="Times New Roman" w:cs="Times New Roman"/>
        </w:rPr>
        <w:t xml:space="preserve">a la producción de conocimiento, la formación de recursos humanos y el fortalecimiento de experiencias asociativas y comunitarias. </w:t>
      </w:r>
    </w:p>
    <w:p w14:paraId="7FE33D6B"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Entre los antecedentes más relevantes se destaca la creación y sostenimiento durante más de veinte años del Curso de Posgrad</w:t>
      </w:r>
      <w:r>
        <w:rPr>
          <w:rFonts w:ascii="Times New Roman" w:eastAsia="Times New Roman" w:hAnsi="Times New Roman" w:cs="Times New Roman"/>
        </w:rPr>
        <w:t>o en Economía Social y Dirección de Entidades sin Fines de Lucro, en sus dos modalidades (virtual y presencial en CABA), una propuesta pionera que en modalidad a distancia permitió formar estudiantes provenientes de distintas regiones de Argentina y de div</w:t>
      </w:r>
      <w:r>
        <w:rPr>
          <w:rFonts w:ascii="Times New Roman" w:eastAsia="Times New Roman" w:hAnsi="Times New Roman" w:cs="Times New Roman"/>
        </w:rPr>
        <w:t xml:space="preserve">ersos países latinoamericanos. Esta experiencia constituyó una plataforma fundamental para la construcción de redes académicas regionales y para la identificación de una demanda creciente de formación de posgrado especializada en el campo de la ESS. </w:t>
      </w:r>
    </w:p>
    <w:p w14:paraId="4BB81DB1"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Asimi</w:t>
      </w:r>
      <w:r>
        <w:rPr>
          <w:rFonts w:ascii="Times New Roman" w:eastAsia="Times New Roman" w:hAnsi="Times New Roman" w:cs="Times New Roman"/>
        </w:rPr>
        <w:t>smo, a medida que se sostenía el Curso de Posgrado, desde el CEES se pudieron motorizar otros cursos sobre temáticas específicas, como por ejemplo Cooperativismo y Género o Cooperativas Sociales, y se fueron explorando líneas de investigación aplicada e in</w:t>
      </w:r>
      <w:r>
        <w:rPr>
          <w:rFonts w:ascii="Times New Roman" w:eastAsia="Times New Roman" w:hAnsi="Times New Roman" w:cs="Times New Roman"/>
        </w:rPr>
        <w:t>stancias de intercambio técnico con sectores emergentes en el panorama de la ESS. Sólo para citar algunos ejemplos se puede mencionar el caso de las cooperativas de trabajo de cuidados, que fue abordado desde la temprana identificación de las primeras coop</w:t>
      </w:r>
      <w:r>
        <w:rPr>
          <w:rFonts w:ascii="Times New Roman" w:eastAsia="Times New Roman" w:hAnsi="Times New Roman" w:cs="Times New Roman"/>
        </w:rPr>
        <w:t xml:space="preserve">erativas y grupos </w:t>
      </w:r>
      <w:proofErr w:type="spellStart"/>
      <w:r>
        <w:rPr>
          <w:rFonts w:ascii="Times New Roman" w:eastAsia="Times New Roman" w:hAnsi="Times New Roman" w:cs="Times New Roman"/>
        </w:rPr>
        <w:t>precooperativos</w:t>
      </w:r>
      <w:proofErr w:type="spellEnd"/>
      <w:r>
        <w:rPr>
          <w:rFonts w:ascii="Times New Roman" w:eastAsia="Times New Roman" w:hAnsi="Times New Roman" w:cs="Times New Roman"/>
        </w:rPr>
        <w:t xml:space="preserve"> del país, lo que dio lugar a un proceso de incubación, formación, instalación en agenda, primeros congresos y libros sobre el tema, hasta llegar a la participación en las comisiones de debates parlamentarios. De modo que e</w:t>
      </w:r>
      <w:r>
        <w:rPr>
          <w:rFonts w:ascii="Times New Roman" w:eastAsia="Times New Roman" w:hAnsi="Times New Roman" w:cs="Times New Roman"/>
        </w:rPr>
        <w:t>l intercambio entre la agenda formativa y el territorio ha sido nutritivo y constante desde los inicios.</w:t>
      </w:r>
    </w:p>
    <w:p w14:paraId="7157F7D3"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consolidación de estas actividades posibilitó la acumulación de capacidades docentes, investigativas y de gestión institucional que desembocaron en </w:t>
      </w:r>
      <w:r>
        <w:rPr>
          <w:rFonts w:ascii="Times New Roman" w:eastAsia="Times New Roman" w:hAnsi="Times New Roman" w:cs="Times New Roman"/>
        </w:rPr>
        <w:t>la creación de la Maestría en Economía Social, Comunitaria y Solidaria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La Maestría abre su primera cohorte en el año 2018 como respuesta a necesidades de formación de profesionales vinculados a organizaciones asociativas, instituciones públicas y</w:t>
      </w:r>
      <w:r>
        <w:rPr>
          <w:rFonts w:ascii="Times New Roman" w:eastAsia="Times New Roman" w:hAnsi="Times New Roman" w:cs="Times New Roman"/>
        </w:rPr>
        <w:t xml:space="preserve"> experiencias comunitarias de Argentina y América Latina, interesadas en profundizar sus conocimientos sobre la economía social, comunitaria y solidaria desde una perspectiva interdisciplinaria y latinoamericana. En dicho período sólo existían unas 3 o 4 p</w:t>
      </w:r>
      <w:r>
        <w:rPr>
          <w:rFonts w:ascii="Times New Roman" w:eastAsia="Times New Roman" w:hAnsi="Times New Roman" w:cs="Times New Roman"/>
        </w:rPr>
        <w:t xml:space="preserve">ropuestas </w:t>
      </w:r>
      <w:r>
        <w:rPr>
          <w:rFonts w:ascii="Times New Roman" w:eastAsia="Times New Roman" w:hAnsi="Times New Roman" w:cs="Times New Roman"/>
        </w:rPr>
        <w:lastRenderedPageBreak/>
        <w:t xml:space="preserve">de maestría en este campo en la Región Latinoamericana, las cuales, por su parte, eran de carácter académico y sus trabajos de graduación eran tesis de investigación. En aquel entonces solo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de UNTREF era una maestría profesional que pro</w:t>
      </w:r>
      <w:r>
        <w:rPr>
          <w:rFonts w:ascii="Times New Roman" w:eastAsia="Times New Roman" w:hAnsi="Times New Roman" w:cs="Times New Roman"/>
        </w:rPr>
        <w:t xml:space="preserve">ponía la culminación del trayecto formativo con un trabajo final de </w:t>
      </w:r>
      <w:proofErr w:type="gramStart"/>
      <w:r>
        <w:rPr>
          <w:rFonts w:ascii="Times New Roman" w:eastAsia="Times New Roman" w:hAnsi="Times New Roman" w:cs="Times New Roman"/>
        </w:rPr>
        <w:t>intervención .</w:t>
      </w:r>
      <w:proofErr w:type="gramEnd"/>
    </w:p>
    <w:p w14:paraId="56CB4267"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La Maestría recupera y articula los aprendizajes acumulados por el CEES, asumiendo la modalidad virtual que amplía significativamente el alcance territorial de la propuesta.</w:t>
      </w:r>
      <w:r>
        <w:rPr>
          <w:rFonts w:ascii="Times New Roman" w:eastAsia="Times New Roman" w:hAnsi="Times New Roman" w:cs="Times New Roman"/>
        </w:rPr>
        <w:t xml:space="preserve"> Esta característica permite la participación de estudiantes y en algunas instancias de docentes de distintas provincias argentinas y de otros países de la región, fortaleciendo el intercambio de experiencias y la construcción de saberes situados en torno </w:t>
      </w:r>
      <w:r>
        <w:rPr>
          <w:rFonts w:ascii="Times New Roman" w:eastAsia="Times New Roman" w:hAnsi="Times New Roman" w:cs="Times New Roman"/>
        </w:rPr>
        <w:t xml:space="preserve">a las diversas expresiones de la economía social, comunitaria y solidaria. </w:t>
      </w:r>
    </w:p>
    <w:p w14:paraId="4EBF40DC"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marco, la propuesta académica se distingue por integrar distintas tradiciones teóricas y prácticas vinculadas a la economía social, la economía comunitaria y la economía so</w:t>
      </w:r>
      <w:r>
        <w:rPr>
          <w:rFonts w:ascii="Times New Roman" w:eastAsia="Times New Roman" w:hAnsi="Times New Roman" w:cs="Times New Roman"/>
        </w:rPr>
        <w:t>lidaria, promoviendo el diálogo entre perspectivas provenientes de la teoría social, la economía, la historia, la teoría política, el derecho, la administración, la psicología social y los saberes provenientes de culturas originarias. Asimismo, por tratars</w:t>
      </w:r>
      <w:r>
        <w:rPr>
          <w:rFonts w:ascii="Times New Roman" w:eastAsia="Times New Roman" w:hAnsi="Times New Roman" w:cs="Times New Roman"/>
        </w:rPr>
        <w:t>e de una maestría de tipo profesional, incorpora como requisito de graduación un Trabajo Final de Intervención (TFI), concebido como una instancia de articulación entre formación académica, práctica profesional y transformación social, orientada a interven</w:t>
      </w:r>
      <w:r>
        <w:rPr>
          <w:rFonts w:ascii="Times New Roman" w:eastAsia="Times New Roman" w:hAnsi="Times New Roman" w:cs="Times New Roman"/>
        </w:rPr>
        <w:t xml:space="preserve">ir en organizaciones e instituciones del campo de la ESS mediante procesos de diagnóstico, planificación y acción situados en el territorio de las y los maestrandos.  </w:t>
      </w:r>
    </w:p>
    <w:p w14:paraId="1A2810CA"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 este modo, la creación de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puede entenderse como la culminación de un proces</w:t>
      </w:r>
      <w:r>
        <w:rPr>
          <w:rFonts w:ascii="Times New Roman" w:eastAsia="Times New Roman" w:hAnsi="Times New Roman" w:cs="Times New Roman"/>
        </w:rPr>
        <w:t xml:space="preserve">o de institucionalización de la ESS dentro de la UNTREF, resultado de una trayectoria sostenida de docencia, investigación y extensión que contribuyó a consolidar este campo como un espacio específico de formación de posgrado, producción de conocimiento e </w:t>
      </w:r>
      <w:r>
        <w:rPr>
          <w:rFonts w:ascii="Times New Roman" w:eastAsia="Times New Roman" w:hAnsi="Times New Roman" w:cs="Times New Roman"/>
        </w:rPr>
        <w:t xml:space="preserve">intervención social. </w:t>
      </w:r>
    </w:p>
    <w:p w14:paraId="0E18D932"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Luego de la experiencia de la creación de la Maestría y la realización de varias cohortes, la estrategia de transversalización de la ESS dentro de la UNTREF continuó en ambos sentidos: hacia el nivel superior de Doctorado, aprobado en</w:t>
      </w:r>
      <w:r>
        <w:rPr>
          <w:rFonts w:ascii="Times New Roman" w:eastAsia="Times New Roman" w:hAnsi="Times New Roman" w:cs="Times New Roman"/>
        </w:rPr>
        <w:t xml:space="preserve"> 2025 y hacia el nivel previo con la Especialización (aprobada en 2022) y la penetración en carreras de grado como la Licenciatura en Turismo con Orientación en economía social y la acreditación de un seminario de economía social y solidaria en carreras de</w:t>
      </w:r>
      <w:r>
        <w:rPr>
          <w:rFonts w:ascii="Times New Roman" w:eastAsia="Times New Roman" w:hAnsi="Times New Roman" w:cs="Times New Roman"/>
        </w:rPr>
        <w:t xml:space="preserve">l departamento de administración de empresas. Además de una cantidad cada vez mayor de proyectos de investigación y desarrollo en diversas líneas que implican trabajo en común con otras áreas de la universidad (Programa de Estudios Sociales y Políticos en </w:t>
      </w:r>
      <w:r>
        <w:rPr>
          <w:rFonts w:ascii="Times New Roman" w:eastAsia="Times New Roman" w:hAnsi="Times New Roman" w:cs="Times New Roman"/>
        </w:rPr>
        <w:t>Artes y Culturas Urbanas - TRAMAS, Licenciatura en Nutrición, Centro de Estudios Latinoamericanos sobre Inseguridad y Violencia, Red interdisciplinaria de Estudios de Género).</w:t>
      </w:r>
    </w:p>
    <w:p w14:paraId="6A511566"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se ha dicho,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es profesional y requiere para su graduación la real</w:t>
      </w:r>
      <w:r>
        <w:rPr>
          <w:rFonts w:ascii="Times New Roman" w:eastAsia="Times New Roman" w:hAnsi="Times New Roman" w:cs="Times New Roman"/>
        </w:rPr>
        <w:t>ización de un TFI y su presentación en un Informe final escrito que además debe ser sustentado oralmente. El TFI es un tipo particular de proyecto en donde se propone modificar una situación que se entiende como problemática o aprovechar una oportunidad de</w:t>
      </w:r>
      <w:r>
        <w:rPr>
          <w:rFonts w:ascii="Times New Roman" w:eastAsia="Times New Roman" w:hAnsi="Times New Roman" w:cs="Times New Roman"/>
        </w:rPr>
        <w:t xml:space="preserve"> mejora en un determinado ámbito (sea una Institución o un sector del campo de la Economía social, comunitaria y solidaria). Es decir, es un conjunto de acciones sistemáticas, planificadas, </w:t>
      </w:r>
      <w:r>
        <w:rPr>
          <w:rFonts w:ascii="Times New Roman" w:eastAsia="Times New Roman" w:hAnsi="Times New Roman" w:cs="Times New Roman"/>
        </w:rPr>
        <w:lastRenderedPageBreak/>
        <w:t>basadas en necesidades identificadas y orientadas a unas metas, co</w:t>
      </w:r>
      <w:r>
        <w:rPr>
          <w:rFonts w:ascii="Times New Roman" w:eastAsia="Times New Roman" w:hAnsi="Times New Roman" w:cs="Times New Roman"/>
        </w:rPr>
        <w:t>mo respuesta a esas necesidades, con una teoría que lo sustente. El TFI es el proceso de culminación del recorrido por la maestría, en el que se espera que las y los participantes puedan observar la realidad a través de la perspectiva de la ESS y, a partir</w:t>
      </w:r>
      <w:r>
        <w:rPr>
          <w:rFonts w:ascii="Times New Roman" w:eastAsia="Times New Roman" w:hAnsi="Times New Roman" w:cs="Times New Roman"/>
        </w:rPr>
        <w:t xml:space="preserve"> de allí construir de manera fundamentada una problemática y una estrategia de resolución. Tal como advierte </w:t>
      </w:r>
      <w:proofErr w:type="spellStart"/>
      <w:r>
        <w:rPr>
          <w:rFonts w:ascii="Times New Roman" w:eastAsia="Times New Roman" w:hAnsi="Times New Roman" w:cs="Times New Roman"/>
        </w:rPr>
        <w:t>Hintze</w:t>
      </w:r>
      <w:proofErr w:type="spellEnd"/>
      <w:r>
        <w:rPr>
          <w:rFonts w:ascii="Times New Roman" w:eastAsia="Times New Roman" w:hAnsi="Times New Roman" w:cs="Times New Roman"/>
        </w:rPr>
        <w:t xml:space="preserve"> (2005) si bien sus objetivos son diferentes a los de la tesis de investigación, “la articulación de objeto, teoría, métodos y técnicas en el</w:t>
      </w:r>
      <w:r>
        <w:rPr>
          <w:rFonts w:ascii="Times New Roman" w:eastAsia="Times New Roman" w:hAnsi="Times New Roman" w:cs="Times New Roman"/>
        </w:rPr>
        <w:t xml:space="preserve"> proceso de producción de conocimientos debe responder a similares requisitos de cientificidad en ambos tipos de estudio” (p.3).</w:t>
      </w:r>
    </w:p>
    <w:p w14:paraId="43AED9C6"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lo formal, las y los maestrandos cursan el taller de TFI en el último cuatrimestre, donde el producto final es un proyecto. </w:t>
      </w:r>
      <w:r>
        <w:rPr>
          <w:rFonts w:ascii="Times New Roman" w:eastAsia="Times New Roman" w:hAnsi="Times New Roman" w:cs="Times New Roman"/>
        </w:rPr>
        <w:t xml:space="preserve">El cual, luego de realizar los ajustes indicados por el equipo docente y su director o directora es presentado formalmente ante el Comité Académico de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quien puede aceptar, devolver para reformular o aceptar ad referéndum de las recomendaciones q</w:t>
      </w:r>
      <w:r>
        <w:rPr>
          <w:rFonts w:ascii="Times New Roman" w:eastAsia="Times New Roman" w:hAnsi="Times New Roman" w:cs="Times New Roman"/>
        </w:rPr>
        <w:t xml:space="preserve">ue consideren pertinentes para </w:t>
      </w:r>
      <w:proofErr w:type="gramStart"/>
      <w:r>
        <w:rPr>
          <w:rFonts w:ascii="Times New Roman" w:eastAsia="Times New Roman" w:hAnsi="Times New Roman" w:cs="Times New Roman"/>
        </w:rPr>
        <w:t>ser .implementados</w:t>
      </w:r>
      <w:proofErr w:type="gramEnd"/>
      <w:r>
        <w:rPr>
          <w:rFonts w:ascii="Times New Roman" w:eastAsia="Times New Roman" w:hAnsi="Times New Roman" w:cs="Times New Roman"/>
        </w:rPr>
        <w:t>. Es sobre este corpus de TFI presentados a CA que se realizó el presente trabajo.</w:t>
      </w:r>
    </w:p>
    <w:p w14:paraId="44A17DA9" w14:textId="77777777" w:rsidR="00DC5560" w:rsidRDefault="00DC5560">
      <w:pPr>
        <w:spacing w:line="240" w:lineRule="auto"/>
        <w:rPr>
          <w:rFonts w:ascii="Times New Roman" w:eastAsia="Times New Roman" w:hAnsi="Times New Roman" w:cs="Times New Roman"/>
          <w:b/>
          <w:bCs/>
        </w:rPr>
      </w:pPr>
    </w:p>
    <w:p w14:paraId="69D834BF" w14:textId="7B714CF0" w:rsidR="00F91DFD" w:rsidRDefault="0029211B">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Análisis del dispositivo TFI de la </w:t>
      </w:r>
      <w:proofErr w:type="spellStart"/>
      <w:r>
        <w:rPr>
          <w:rFonts w:ascii="Times New Roman" w:eastAsia="Times New Roman" w:hAnsi="Times New Roman" w:cs="Times New Roman"/>
          <w:b/>
          <w:bCs/>
        </w:rPr>
        <w:t>MaESCS</w:t>
      </w:r>
      <w:proofErr w:type="spellEnd"/>
    </w:p>
    <w:p w14:paraId="266C7248"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El análisis del dispositivo TFI se desarrolló en base a fuentes primarias (regist</w:t>
      </w:r>
      <w:r>
        <w:rPr>
          <w:rFonts w:ascii="Times New Roman" w:eastAsia="Times New Roman" w:hAnsi="Times New Roman" w:cs="Times New Roman"/>
        </w:rPr>
        <w:t xml:space="preserve">ros propios) sistematizadas mediante la técnica documental. Se construyó una matriz con todos los proyectos de TFI presentados y aceptados por el Comité Académico de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durante el período noviembre 2020 - mayo 2026. Dicho recorte temporal abarca la</w:t>
      </w:r>
      <w:r>
        <w:rPr>
          <w:rFonts w:ascii="Times New Roman" w:eastAsia="Times New Roman" w:hAnsi="Times New Roman" w:cs="Times New Roman"/>
        </w:rPr>
        <w:t xml:space="preserve"> totalidad de propuestas aceptadas hasta el momento de la redacción de la ponencia (50 casos en total), de las cuales un 30% ya han sido finalizadas y defendidas, y el resto se encuentra en proceso de implementación. Los datos relevados en la matriz dan cu</w:t>
      </w:r>
      <w:r>
        <w:rPr>
          <w:rFonts w:ascii="Times New Roman" w:eastAsia="Times New Roman" w:hAnsi="Times New Roman" w:cs="Times New Roman"/>
        </w:rPr>
        <w:t>enta de la naturaleza de los proyectos particularizando la región de origen, los ámbitos de intervención, los tipos de problemáticas abordadas y las estrategias de abordaje planificadas. También hablan de las y los estudiantes ya que se sistematizaron ámbi</w:t>
      </w:r>
      <w:r>
        <w:rPr>
          <w:rFonts w:ascii="Times New Roman" w:eastAsia="Times New Roman" w:hAnsi="Times New Roman" w:cs="Times New Roman"/>
        </w:rPr>
        <w:t>tos de procedencia, trayectorias profesionales y perfiles de dirección elegidos para sus respectivos acompañamientos.</w:t>
      </w:r>
    </w:p>
    <w:p w14:paraId="29690767"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Las categorías utilizadas para la clasificación de los TFI responden a una decisión analítica orientada a identificar tendencias predomina</w:t>
      </w:r>
      <w:r>
        <w:rPr>
          <w:rFonts w:ascii="Times New Roman" w:eastAsia="Times New Roman" w:hAnsi="Times New Roman" w:cs="Times New Roman"/>
        </w:rPr>
        <w:t>ntes en el conjunto del corpus. Dado el carácter complejo e interdisciplinario de las intervenciones en ESS, numerosas experiencias podrían inscribirse simultáneamente en más de una categoría. Por ejemplo, una intervención vinculada con ferias de productor</w:t>
      </w:r>
      <w:r>
        <w:rPr>
          <w:rFonts w:ascii="Times New Roman" w:eastAsia="Times New Roman" w:hAnsi="Times New Roman" w:cs="Times New Roman"/>
        </w:rPr>
        <w:t>es de la agricultura familiar involucra tanto problemáticas sectoriales como dimensiones de política pública, desarrollo territorial o fortalecimiento organizacional. En estos casos, la clasificación se realizó atendiendo al eje de intervención que resultó</w:t>
      </w:r>
      <w:r>
        <w:rPr>
          <w:rFonts w:ascii="Times New Roman" w:eastAsia="Times New Roman" w:hAnsi="Times New Roman" w:cs="Times New Roman"/>
        </w:rPr>
        <w:t xml:space="preserve"> predominante según los objetivos, el problema de investigación y la estrategia desarrollada en cada TFI. En esa línea, este recorte metodológico no busca establecer categorías mutuamente excluyentes, sino construir una herramienta analítica que permita re</w:t>
      </w:r>
      <w:r>
        <w:rPr>
          <w:rFonts w:ascii="Times New Roman" w:eastAsia="Times New Roman" w:hAnsi="Times New Roman" w:cs="Times New Roman"/>
        </w:rPr>
        <w:t>conocer regularidades y tendencias generales, preservando la complejidad de las experiencias estudiadas.</w:t>
      </w:r>
    </w:p>
    <w:p w14:paraId="3D4DCCB1"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Para dar inicio al análisis es posible identificar tipologías de problemas que intenta resolver la intervención de las y los maestrandos, que a su vez </w:t>
      </w:r>
      <w:r>
        <w:rPr>
          <w:rFonts w:ascii="Times New Roman" w:eastAsia="Times New Roman" w:hAnsi="Times New Roman" w:cs="Times New Roman"/>
        </w:rPr>
        <w:t>pueden ser agrupadas por su escala o nivel. A los fines prácticos y para facilitar la lectura, se muestra un resumen en la Tabla 1.</w:t>
      </w:r>
    </w:p>
    <w:p w14:paraId="6CB266B5" w14:textId="77777777" w:rsidR="00F91DFD" w:rsidRDefault="00F91DFD">
      <w:pPr>
        <w:spacing w:line="240" w:lineRule="auto"/>
        <w:jc w:val="both"/>
        <w:rPr>
          <w:rFonts w:ascii="Times New Roman" w:eastAsia="Times New Roman" w:hAnsi="Times New Roman" w:cs="Times New Roman"/>
        </w:rPr>
      </w:pPr>
    </w:p>
    <w:p w14:paraId="131B27BD"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Tabla 1</w:t>
      </w:r>
      <w:r>
        <w:rPr>
          <w:rFonts w:ascii="Times New Roman" w:eastAsia="Times New Roman" w:hAnsi="Times New Roman" w:cs="Times New Roman"/>
        </w:rPr>
        <w:t xml:space="preserve"> </w:t>
      </w:r>
    </w:p>
    <w:p w14:paraId="13D04C6A" w14:textId="77777777" w:rsidR="00F91DFD" w:rsidRDefault="0029211B">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i/>
          <w:iCs/>
        </w:rPr>
        <w:t xml:space="preserve">Tipología de problemáticas agrupadas por escala o nivel de los TFI de la </w:t>
      </w:r>
      <w:proofErr w:type="spellStart"/>
      <w:r>
        <w:rPr>
          <w:rFonts w:ascii="Times New Roman" w:eastAsia="Times New Roman" w:hAnsi="Times New Roman" w:cs="Times New Roman"/>
          <w:i/>
          <w:iCs/>
        </w:rPr>
        <w:t>MaESCS</w:t>
      </w:r>
      <w:proofErr w:type="spellEnd"/>
    </w:p>
    <w:p w14:paraId="39102E50" w14:textId="77777777" w:rsidR="00F91DFD" w:rsidRDefault="00F91DFD">
      <w:pPr>
        <w:spacing w:after="0" w:line="240" w:lineRule="auto"/>
        <w:jc w:val="both"/>
        <w:rPr>
          <w:rFonts w:ascii="Times New Roman" w:eastAsia="Times New Roman" w:hAnsi="Times New Roman" w:cs="Times New Roman"/>
        </w:rPr>
      </w:pPr>
    </w:p>
    <w:sdt>
      <w:sdtPr>
        <w:tag w:val="goog_rdk_0"/>
        <w:id w:val="-1424709308"/>
        <w:lock w:val="contentLocked"/>
      </w:sdtPr>
      <w:sdtEndPr/>
      <w:sdtContent>
        <w:tbl>
          <w:tblPr>
            <w:tblStyle w:val="a"/>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0"/>
            <w:gridCol w:w="5820"/>
          </w:tblGrid>
          <w:tr w:rsidR="00F91DFD" w14:paraId="7BA3BB95" w14:textId="77777777">
            <w:tc>
              <w:tcPr>
                <w:tcW w:w="3210" w:type="dxa"/>
                <w:tcBorders>
                  <w:left w:val="single" w:sz="8" w:space="0" w:color="FFFFFF"/>
                  <w:right w:val="single" w:sz="8" w:space="0" w:color="FFFFFF"/>
                </w:tcBorders>
                <w:shd w:val="clear" w:color="auto" w:fill="auto"/>
                <w:tcMar>
                  <w:top w:w="100" w:type="dxa"/>
                  <w:left w:w="100" w:type="dxa"/>
                  <w:bottom w:w="100" w:type="dxa"/>
                  <w:right w:w="100" w:type="dxa"/>
                </w:tcMar>
              </w:tcPr>
              <w:p w14:paraId="3CCD888E" w14:textId="77777777" w:rsidR="00F91DFD" w:rsidRDefault="0029211B">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Escala o nivel</w:t>
                </w:r>
              </w:p>
            </w:tc>
            <w:tc>
              <w:tcPr>
                <w:tcW w:w="5820" w:type="dxa"/>
                <w:tcBorders>
                  <w:left w:val="single" w:sz="8" w:space="0" w:color="FFFFFF"/>
                  <w:right w:val="single" w:sz="8" w:space="0" w:color="FFFFFF"/>
                </w:tcBorders>
                <w:shd w:val="clear" w:color="auto" w:fill="auto"/>
                <w:tcMar>
                  <w:top w:w="100" w:type="dxa"/>
                  <w:left w:w="100" w:type="dxa"/>
                  <w:bottom w:w="100" w:type="dxa"/>
                  <w:right w:w="100" w:type="dxa"/>
                </w:tcMar>
              </w:tcPr>
              <w:p w14:paraId="33FC9317" w14:textId="77777777" w:rsidR="00F91DFD" w:rsidRDefault="0029211B">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Tipo de problema</w:t>
                </w:r>
              </w:p>
            </w:tc>
          </w:tr>
          <w:tr w:rsidR="00F91DFD" w14:paraId="603DC5A0" w14:textId="77777777">
            <w:tc>
              <w:tcPr>
                <w:tcW w:w="321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360485A"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Organizacional</w:t>
                </w:r>
              </w:p>
              <w:p w14:paraId="2FC47D09"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(Refiere al funcionamiento interno de organizaciones específicas)</w:t>
                </w:r>
              </w:p>
            </w:tc>
            <w:tc>
              <w:tcPr>
                <w:tcW w:w="582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FFDA208"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Autogestión empresarial. Distribución de excedentes. Identidad colectiva y participación. Liderazgos. Organización del trabajo. Profesionalización.</w:t>
                </w:r>
              </w:p>
            </w:tc>
          </w:tr>
          <w:tr w:rsidR="00F91DFD" w14:paraId="4860B089" w14:textId="77777777">
            <w:tc>
              <w:tcPr>
                <w:tcW w:w="32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CD37839"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Sectorial</w:t>
                </w:r>
              </w:p>
              <w:p w14:paraId="17B7E82B"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(Refiere a un conjunto de organ</w:t>
                </w:r>
                <w:r>
                  <w:rPr>
                    <w:rFonts w:ascii="Times New Roman" w:eastAsia="Times New Roman" w:hAnsi="Times New Roman" w:cs="Times New Roman"/>
                  </w:rPr>
                  <w:t>izaciones o a un campo de actividad)</w:t>
                </w:r>
              </w:p>
            </w:tc>
            <w:tc>
              <w:tcPr>
                <w:tcW w:w="58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527BB6"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Comercialización de productos de la ESS. Organización, formalización y visibilización del sector. Integración de cadenas productivas o tramas de valor. Articulación horizontal o vertical entre organizaciones. </w:t>
                </w:r>
              </w:p>
            </w:tc>
          </w:tr>
          <w:tr w:rsidR="00F91DFD" w14:paraId="78AC480D" w14:textId="77777777">
            <w:tc>
              <w:tcPr>
                <w:tcW w:w="32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061532F"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Territorial</w:t>
                </w:r>
              </w:p>
              <w:p w14:paraId="70C0FCA0"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(Refiere a dinámicas de un territorio determinado)</w:t>
                </w:r>
              </w:p>
            </w:tc>
            <w:tc>
              <w:tcPr>
                <w:tcW w:w="58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6A87C10"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Desarrollo local. Acceso al trabajo en una comunidad. Articulación de actores territoriales. Inclusión socioeconómica de segmentos específicos (juventudes, personas con discapacidad, usuarios/a</w:t>
                </w:r>
                <w:r>
                  <w:rPr>
                    <w:rFonts w:ascii="Times New Roman" w:eastAsia="Times New Roman" w:hAnsi="Times New Roman" w:cs="Times New Roman"/>
                  </w:rPr>
                  <w:t xml:space="preserve">s del sistema de salud mental). Inequidades de género en entramados comunitarios. </w:t>
                </w:r>
              </w:p>
            </w:tc>
          </w:tr>
          <w:tr w:rsidR="00F91DFD" w14:paraId="0632B51C" w14:textId="77777777">
            <w:tc>
              <w:tcPr>
                <w:tcW w:w="321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4551D8D"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Política Pública, sectorial y educativa.</w:t>
                </w:r>
              </w:p>
              <w:p w14:paraId="505B6364"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(Refiere a dispositivos estatales, programas o marcos institucionales)</w:t>
                </w:r>
              </w:p>
            </w:tc>
            <w:tc>
              <w:tcPr>
                <w:tcW w:w="582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D00E3DE"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Institucionalización de la ESS en áreas o agendas gubernamen</w:t>
                </w:r>
                <w:r>
                  <w:rPr>
                    <w:rFonts w:ascii="Times New Roman" w:eastAsia="Times New Roman" w:hAnsi="Times New Roman" w:cs="Times New Roman"/>
                  </w:rPr>
                  <w:t>tales. Incorporación de la perspectiva de la ESS en la educación formal. Diseño de programas o dispositivos en áreas estratégicas.</w:t>
                </w:r>
              </w:p>
            </w:tc>
          </w:tr>
        </w:tbl>
      </w:sdtContent>
    </w:sdt>
    <w:p w14:paraId="625AB781"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Fuente: elaboración propia a partir de fuentes primarias.</w:t>
      </w:r>
    </w:p>
    <w:p w14:paraId="4D3EC2E1" w14:textId="77777777" w:rsidR="00F91DFD" w:rsidRDefault="00F91DFD">
      <w:pPr>
        <w:spacing w:after="0" w:line="240" w:lineRule="auto"/>
        <w:jc w:val="both"/>
        <w:rPr>
          <w:rFonts w:ascii="Times New Roman" w:eastAsia="Times New Roman" w:hAnsi="Times New Roman" w:cs="Times New Roman"/>
        </w:rPr>
      </w:pPr>
    </w:p>
    <w:p w14:paraId="7BC7049B"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una segunda instancia, se advierte que las problemáticas construidas a partir de la intersección entre el marco teórico de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y el propio stock de conocimientos de las y los maestrandos, dan lugar a una serie de estrategias y líneas de acción pro</w:t>
      </w:r>
      <w:r>
        <w:rPr>
          <w:rFonts w:ascii="Times New Roman" w:eastAsia="Times New Roman" w:hAnsi="Times New Roman" w:cs="Times New Roman"/>
        </w:rPr>
        <w:t xml:space="preserve">puestas en cada TFI, que terminan definiendo el corazón de cada uno de ellos. En este caso, se ha identificado además de categorías de posibles soluciones, una correlación entre la escala de </w:t>
      </w:r>
      <w:proofErr w:type="gramStart"/>
      <w:r>
        <w:rPr>
          <w:rFonts w:ascii="Times New Roman" w:eastAsia="Times New Roman" w:hAnsi="Times New Roman" w:cs="Times New Roman"/>
        </w:rPr>
        <w:t>intervención  y</w:t>
      </w:r>
      <w:proofErr w:type="gramEnd"/>
      <w:r>
        <w:rPr>
          <w:rFonts w:ascii="Times New Roman" w:eastAsia="Times New Roman" w:hAnsi="Times New Roman" w:cs="Times New Roman"/>
        </w:rPr>
        <w:t xml:space="preserve"> las estrategias predominantes, tal como se resume</w:t>
      </w:r>
      <w:r>
        <w:rPr>
          <w:rFonts w:ascii="Times New Roman" w:eastAsia="Times New Roman" w:hAnsi="Times New Roman" w:cs="Times New Roman"/>
        </w:rPr>
        <w:t xml:space="preserve"> en la Tabla 2.</w:t>
      </w:r>
    </w:p>
    <w:p w14:paraId="1D08AA78" w14:textId="77777777" w:rsidR="00F91DFD" w:rsidRDefault="00F91DFD">
      <w:pPr>
        <w:spacing w:after="0" w:line="240" w:lineRule="auto"/>
        <w:jc w:val="both"/>
        <w:rPr>
          <w:rFonts w:ascii="Times New Roman" w:eastAsia="Times New Roman" w:hAnsi="Times New Roman" w:cs="Times New Roman"/>
        </w:rPr>
      </w:pPr>
    </w:p>
    <w:p w14:paraId="025D05F9" w14:textId="77777777" w:rsidR="00DC5560" w:rsidRDefault="00DC5560">
      <w:pPr>
        <w:spacing w:after="0" w:line="240" w:lineRule="auto"/>
        <w:jc w:val="both"/>
        <w:rPr>
          <w:rFonts w:ascii="Times New Roman" w:eastAsia="Times New Roman" w:hAnsi="Times New Roman" w:cs="Times New Roman"/>
          <w:b/>
          <w:bCs/>
        </w:rPr>
      </w:pPr>
    </w:p>
    <w:p w14:paraId="2A234D88" w14:textId="77777777" w:rsidR="00DC5560" w:rsidRDefault="00DC5560">
      <w:pPr>
        <w:spacing w:after="0" w:line="240" w:lineRule="auto"/>
        <w:jc w:val="both"/>
        <w:rPr>
          <w:rFonts w:ascii="Times New Roman" w:eastAsia="Times New Roman" w:hAnsi="Times New Roman" w:cs="Times New Roman"/>
          <w:b/>
          <w:bCs/>
        </w:rPr>
      </w:pPr>
    </w:p>
    <w:p w14:paraId="7CC04EF6" w14:textId="77777777" w:rsidR="00DC5560" w:rsidRDefault="00DC5560">
      <w:pPr>
        <w:spacing w:after="0" w:line="240" w:lineRule="auto"/>
        <w:jc w:val="both"/>
        <w:rPr>
          <w:rFonts w:ascii="Times New Roman" w:eastAsia="Times New Roman" w:hAnsi="Times New Roman" w:cs="Times New Roman"/>
          <w:b/>
          <w:bCs/>
        </w:rPr>
      </w:pPr>
    </w:p>
    <w:p w14:paraId="70807051" w14:textId="27622F60" w:rsidR="00F91DFD" w:rsidRDefault="0029211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Tabla 2</w:t>
      </w:r>
    </w:p>
    <w:p w14:paraId="0A61D282" w14:textId="77777777" w:rsidR="00F91DFD" w:rsidRDefault="0029211B">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i/>
          <w:iCs/>
        </w:rPr>
        <w:t xml:space="preserve">Tipología de estrategias de abordaje de los TFI de la </w:t>
      </w:r>
      <w:proofErr w:type="spellStart"/>
      <w:r>
        <w:rPr>
          <w:rFonts w:ascii="Times New Roman" w:eastAsia="Times New Roman" w:hAnsi="Times New Roman" w:cs="Times New Roman"/>
          <w:i/>
          <w:iCs/>
        </w:rPr>
        <w:t>MaESCS</w:t>
      </w:r>
      <w:proofErr w:type="spellEnd"/>
    </w:p>
    <w:p w14:paraId="65D57B19" w14:textId="77777777" w:rsidR="00F91DFD" w:rsidRDefault="00F91DFD">
      <w:pPr>
        <w:spacing w:after="0" w:line="240" w:lineRule="auto"/>
        <w:jc w:val="both"/>
        <w:rPr>
          <w:rFonts w:ascii="Times New Roman" w:eastAsia="Times New Roman" w:hAnsi="Times New Roman" w:cs="Times New Roman"/>
        </w:rPr>
      </w:pPr>
    </w:p>
    <w:sdt>
      <w:sdtPr>
        <w:tag w:val="goog_rdk_1"/>
        <w:id w:val="-33444272"/>
        <w:lock w:val="contentLocked"/>
      </w:sdtPr>
      <w:sdtEndPr/>
      <w:sdtContent>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3150"/>
            <w:gridCol w:w="3585"/>
          </w:tblGrid>
          <w:tr w:rsidR="00F91DFD" w14:paraId="4BC73175" w14:textId="77777777">
            <w:tc>
              <w:tcPr>
                <w:tcW w:w="2265" w:type="dxa"/>
                <w:tcBorders>
                  <w:left w:val="single" w:sz="8" w:space="0" w:color="FFFFFF"/>
                  <w:right w:val="single" w:sz="8" w:space="0" w:color="FFFFFF"/>
                </w:tcBorders>
                <w:shd w:val="clear" w:color="auto" w:fill="auto"/>
                <w:tcMar>
                  <w:top w:w="100" w:type="dxa"/>
                  <w:left w:w="100" w:type="dxa"/>
                  <w:bottom w:w="100" w:type="dxa"/>
                  <w:right w:w="100" w:type="dxa"/>
                </w:tcMar>
              </w:tcPr>
              <w:p w14:paraId="49E05EEC" w14:textId="77777777" w:rsidR="00F91DFD" w:rsidRDefault="0029211B">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Nivel del problema</w:t>
                </w:r>
              </w:p>
            </w:tc>
            <w:tc>
              <w:tcPr>
                <w:tcW w:w="3150" w:type="dxa"/>
                <w:tcBorders>
                  <w:left w:val="single" w:sz="8" w:space="0" w:color="FFFFFF"/>
                  <w:right w:val="single" w:sz="8" w:space="0" w:color="FFFFFF"/>
                </w:tcBorders>
                <w:shd w:val="clear" w:color="auto" w:fill="auto"/>
                <w:tcMar>
                  <w:top w:w="100" w:type="dxa"/>
                  <w:left w:w="100" w:type="dxa"/>
                  <w:bottom w:w="100" w:type="dxa"/>
                  <w:right w:w="100" w:type="dxa"/>
                </w:tcMar>
              </w:tcPr>
              <w:p w14:paraId="3FA672B4" w14:textId="77777777" w:rsidR="00F91DFD" w:rsidRDefault="0029211B">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Finalidad de la intervención</w:t>
                </w:r>
              </w:p>
            </w:tc>
            <w:tc>
              <w:tcPr>
                <w:tcW w:w="3585" w:type="dxa"/>
                <w:tcBorders>
                  <w:left w:val="single" w:sz="8" w:space="0" w:color="FFFFFF"/>
                  <w:right w:val="single" w:sz="8" w:space="0" w:color="FFFFFF"/>
                </w:tcBorders>
                <w:shd w:val="clear" w:color="auto" w:fill="auto"/>
                <w:tcMar>
                  <w:top w:w="100" w:type="dxa"/>
                  <w:left w:w="100" w:type="dxa"/>
                  <w:bottom w:w="100" w:type="dxa"/>
                  <w:right w:w="100" w:type="dxa"/>
                </w:tcMar>
              </w:tcPr>
              <w:p w14:paraId="6F8B3D9A" w14:textId="77777777" w:rsidR="00F91DFD" w:rsidRDefault="0029211B">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Estrategias predominantes</w:t>
                </w:r>
              </w:p>
            </w:tc>
          </w:tr>
          <w:tr w:rsidR="00F91DFD" w14:paraId="68A0975C" w14:textId="77777777">
            <w:tc>
              <w:tcPr>
                <w:tcW w:w="226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3C140BA"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Organizacional</w:t>
                </w:r>
              </w:p>
            </w:tc>
            <w:tc>
              <w:tcPr>
                <w:tcW w:w="315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7DCF6A4"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Fortalecer capacidades internas y la autogestión</w:t>
                </w:r>
              </w:p>
            </w:tc>
            <w:tc>
              <w:tcPr>
                <w:tcW w:w="358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2EEA79B"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Capacitación, talleres grupales, planificación institucional, sensibilización, mejora de la gestión</w:t>
                </w:r>
              </w:p>
            </w:tc>
          </w:tr>
          <w:tr w:rsidR="00F91DFD" w14:paraId="009FAD88" w14:textId="77777777">
            <w:tc>
              <w:tcPr>
                <w:tcW w:w="22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3DB8B25"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Sectorial</w:t>
                </w:r>
              </w:p>
            </w:tc>
            <w:tc>
              <w:tcPr>
                <w:tcW w:w="31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8760BC4"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Consolidar circuitos económicos solidarios</w:t>
                </w:r>
              </w:p>
            </w:tc>
            <w:tc>
              <w:tcPr>
                <w:tcW w:w="35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3AE4BD2"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Comercialización, formalización, articulación entre actores, fortalecimiento de mercados solidarios</w:t>
                </w:r>
              </w:p>
            </w:tc>
          </w:tr>
          <w:tr w:rsidR="00F91DFD" w14:paraId="7B0EC714" w14:textId="77777777">
            <w:tc>
              <w:tcPr>
                <w:tcW w:w="22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8D0DFCD"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Territorial</w:t>
                </w:r>
              </w:p>
            </w:tc>
            <w:tc>
              <w:tcPr>
                <w:tcW w:w="31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0266116"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Construir articulaciones y capacidades colectivas en el territorio</w:t>
                </w:r>
              </w:p>
            </w:tc>
            <w:tc>
              <w:tcPr>
                <w:tcW w:w="35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677560"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Diagnóstico territorial, mapeo de actores, articulación territorial, constru</w:t>
                </w:r>
                <w:r>
                  <w:rPr>
                    <w:rFonts w:ascii="Times New Roman" w:eastAsia="Times New Roman" w:hAnsi="Times New Roman" w:cs="Times New Roman"/>
                  </w:rPr>
                  <w:t>cción de redes</w:t>
                </w:r>
              </w:p>
            </w:tc>
          </w:tr>
          <w:tr w:rsidR="00F91DFD" w14:paraId="6AE17094" w14:textId="77777777">
            <w:trPr>
              <w:trHeight w:val="440"/>
            </w:trPr>
            <w:tc>
              <w:tcPr>
                <w:tcW w:w="2265" w:type="dxa"/>
                <w:vMerge w:val="restart"/>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0F836FE"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Política Pública sectorial y educativa</w:t>
                </w:r>
              </w:p>
            </w:tc>
            <w:tc>
              <w:tcPr>
                <w:tcW w:w="31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D6250F7"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Generar condiciones estructurales para el desarrollo de la ESS</w:t>
                </w:r>
              </w:p>
            </w:tc>
            <w:tc>
              <w:tcPr>
                <w:tcW w:w="35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FC8F164"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Diseño institucional, creación de áreas de ESS, generación de programas, formulación de políticas públicas</w:t>
                </w:r>
              </w:p>
            </w:tc>
          </w:tr>
          <w:tr w:rsidR="00F91DFD" w14:paraId="24D992BF" w14:textId="77777777">
            <w:trPr>
              <w:trHeight w:val="440"/>
            </w:trPr>
            <w:tc>
              <w:tcPr>
                <w:tcW w:w="226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65A8C324" w14:textId="77777777" w:rsidR="00F91DFD" w:rsidRDefault="00F91DFD">
                <w:pPr>
                  <w:widowControl w:val="0"/>
                  <w:spacing w:after="0" w:line="240" w:lineRule="auto"/>
                  <w:rPr>
                    <w:rFonts w:ascii="Times New Roman" w:eastAsia="Times New Roman" w:hAnsi="Times New Roman" w:cs="Times New Roman"/>
                  </w:rPr>
                </w:pPr>
              </w:p>
            </w:tc>
            <w:tc>
              <w:tcPr>
                <w:tcW w:w="315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6533324"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Institucionalizar la ESS como campo de formación y producción de conocimiento</w:t>
                </w:r>
              </w:p>
            </w:tc>
            <w:tc>
              <w:tcPr>
                <w:tcW w:w="358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0DDB79C"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Creación de espacios curriculares, capacitación, cátedras abiertas, prácticas profesionalizantes</w:t>
                </w:r>
              </w:p>
            </w:tc>
          </w:tr>
        </w:tbl>
      </w:sdtContent>
    </w:sdt>
    <w:p w14:paraId="49DF7045"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Fuente: elaboración propia a partir de fuentes primarias.</w:t>
      </w:r>
    </w:p>
    <w:p w14:paraId="1BE2DA77" w14:textId="77777777" w:rsidR="00F91DFD" w:rsidRDefault="00F91DFD">
      <w:pPr>
        <w:spacing w:after="0" w:line="240" w:lineRule="auto"/>
        <w:jc w:val="both"/>
        <w:rPr>
          <w:rFonts w:ascii="Times New Roman" w:eastAsia="Times New Roman" w:hAnsi="Times New Roman" w:cs="Times New Roman"/>
        </w:rPr>
      </w:pPr>
    </w:p>
    <w:p w14:paraId="68E3C113"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Por último, en la Tabla 3 se especifican el tipo de organizaciones o ámbitos en los cuales se interviene, lo que da cuenta de la pluralidad de expresiones que adopta la economía social y comunitar</w:t>
      </w:r>
      <w:r>
        <w:rPr>
          <w:rFonts w:ascii="Times New Roman" w:eastAsia="Times New Roman" w:hAnsi="Times New Roman" w:cs="Times New Roman"/>
        </w:rPr>
        <w:t xml:space="preserve">ia en el territorio y de los referentes empíricos más visibles. Esto último, habla tanto de la orientación de mirada que se proporciona desde la carrera como de los intereses y preocupaciones que traen las y los maestrandos. </w:t>
      </w:r>
    </w:p>
    <w:p w14:paraId="0472D870" w14:textId="77777777" w:rsidR="00F91DFD" w:rsidRDefault="00F91DFD">
      <w:pPr>
        <w:spacing w:after="0" w:line="240" w:lineRule="auto"/>
        <w:jc w:val="both"/>
        <w:rPr>
          <w:rFonts w:ascii="Times New Roman" w:eastAsia="Times New Roman" w:hAnsi="Times New Roman" w:cs="Times New Roman"/>
        </w:rPr>
      </w:pPr>
    </w:p>
    <w:p w14:paraId="01761BA8" w14:textId="77777777" w:rsidR="00DC5560" w:rsidRDefault="00DC5560">
      <w:pPr>
        <w:spacing w:after="0" w:line="240" w:lineRule="auto"/>
        <w:jc w:val="both"/>
        <w:rPr>
          <w:rFonts w:ascii="Times New Roman" w:eastAsia="Times New Roman" w:hAnsi="Times New Roman" w:cs="Times New Roman"/>
          <w:b/>
          <w:bCs/>
        </w:rPr>
      </w:pPr>
    </w:p>
    <w:p w14:paraId="11827A49" w14:textId="77777777" w:rsidR="00DC5560" w:rsidRDefault="00DC5560">
      <w:pPr>
        <w:spacing w:after="0" w:line="240" w:lineRule="auto"/>
        <w:jc w:val="both"/>
        <w:rPr>
          <w:rFonts w:ascii="Times New Roman" w:eastAsia="Times New Roman" w:hAnsi="Times New Roman" w:cs="Times New Roman"/>
          <w:b/>
          <w:bCs/>
        </w:rPr>
      </w:pPr>
    </w:p>
    <w:p w14:paraId="0FA88BED" w14:textId="77777777" w:rsidR="00DC5560" w:rsidRDefault="00DC5560">
      <w:pPr>
        <w:spacing w:after="0" w:line="240" w:lineRule="auto"/>
        <w:jc w:val="both"/>
        <w:rPr>
          <w:rFonts w:ascii="Times New Roman" w:eastAsia="Times New Roman" w:hAnsi="Times New Roman" w:cs="Times New Roman"/>
          <w:b/>
          <w:bCs/>
        </w:rPr>
      </w:pPr>
    </w:p>
    <w:p w14:paraId="14E43EA2" w14:textId="77777777" w:rsidR="00DC5560" w:rsidRDefault="00DC5560">
      <w:pPr>
        <w:spacing w:after="0" w:line="240" w:lineRule="auto"/>
        <w:jc w:val="both"/>
        <w:rPr>
          <w:rFonts w:ascii="Times New Roman" w:eastAsia="Times New Roman" w:hAnsi="Times New Roman" w:cs="Times New Roman"/>
          <w:b/>
          <w:bCs/>
        </w:rPr>
      </w:pPr>
    </w:p>
    <w:p w14:paraId="238FDACC" w14:textId="77777777" w:rsidR="00DC5560" w:rsidRDefault="00DC5560">
      <w:pPr>
        <w:spacing w:after="0" w:line="240" w:lineRule="auto"/>
        <w:jc w:val="both"/>
        <w:rPr>
          <w:rFonts w:ascii="Times New Roman" w:eastAsia="Times New Roman" w:hAnsi="Times New Roman" w:cs="Times New Roman"/>
          <w:b/>
          <w:bCs/>
        </w:rPr>
      </w:pPr>
    </w:p>
    <w:p w14:paraId="2D9E546A" w14:textId="77777777" w:rsidR="00DC5560" w:rsidRDefault="00DC5560">
      <w:pPr>
        <w:spacing w:after="0" w:line="240" w:lineRule="auto"/>
        <w:jc w:val="both"/>
        <w:rPr>
          <w:rFonts w:ascii="Times New Roman" w:eastAsia="Times New Roman" w:hAnsi="Times New Roman" w:cs="Times New Roman"/>
          <w:b/>
          <w:bCs/>
        </w:rPr>
      </w:pPr>
    </w:p>
    <w:p w14:paraId="16652EEF" w14:textId="77777777" w:rsidR="00DC5560" w:rsidRDefault="00DC5560">
      <w:pPr>
        <w:spacing w:after="0" w:line="240" w:lineRule="auto"/>
        <w:jc w:val="both"/>
        <w:rPr>
          <w:rFonts w:ascii="Times New Roman" w:eastAsia="Times New Roman" w:hAnsi="Times New Roman" w:cs="Times New Roman"/>
          <w:b/>
          <w:bCs/>
        </w:rPr>
      </w:pPr>
    </w:p>
    <w:p w14:paraId="4B91B84E" w14:textId="77777777" w:rsidR="00DC5560" w:rsidRDefault="00DC5560">
      <w:pPr>
        <w:spacing w:after="0" w:line="240" w:lineRule="auto"/>
        <w:jc w:val="both"/>
        <w:rPr>
          <w:rFonts w:ascii="Times New Roman" w:eastAsia="Times New Roman" w:hAnsi="Times New Roman" w:cs="Times New Roman"/>
          <w:b/>
          <w:bCs/>
        </w:rPr>
      </w:pPr>
    </w:p>
    <w:p w14:paraId="4B3F388F" w14:textId="77777777" w:rsidR="00DC5560" w:rsidRDefault="00DC5560">
      <w:pPr>
        <w:spacing w:after="0" w:line="240" w:lineRule="auto"/>
        <w:jc w:val="both"/>
        <w:rPr>
          <w:rFonts w:ascii="Times New Roman" w:eastAsia="Times New Roman" w:hAnsi="Times New Roman" w:cs="Times New Roman"/>
          <w:b/>
          <w:bCs/>
        </w:rPr>
      </w:pPr>
    </w:p>
    <w:p w14:paraId="18EF99DB" w14:textId="77777777" w:rsidR="00DC5560" w:rsidRDefault="00DC5560">
      <w:pPr>
        <w:spacing w:after="0" w:line="240" w:lineRule="auto"/>
        <w:jc w:val="both"/>
        <w:rPr>
          <w:rFonts w:ascii="Times New Roman" w:eastAsia="Times New Roman" w:hAnsi="Times New Roman" w:cs="Times New Roman"/>
          <w:b/>
          <w:bCs/>
        </w:rPr>
      </w:pPr>
    </w:p>
    <w:p w14:paraId="44E5EEB2" w14:textId="5369B272" w:rsidR="00F91DFD" w:rsidRDefault="0029211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Tabla 3</w:t>
      </w:r>
    </w:p>
    <w:p w14:paraId="4402EA5F" w14:textId="77777777" w:rsidR="00F91DFD" w:rsidRDefault="0029211B">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i/>
          <w:iCs/>
        </w:rPr>
        <w:t xml:space="preserve">Tipología de ámbitos </w:t>
      </w:r>
      <w:r>
        <w:rPr>
          <w:rFonts w:ascii="Times New Roman" w:eastAsia="Times New Roman" w:hAnsi="Times New Roman" w:cs="Times New Roman"/>
          <w:i/>
          <w:iCs/>
        </w:rPr>
        <w:t xml:space="preserve">de intervención de los TFI de la </w:t>
      </w:r>
      <w:proofErr w:type="spellStart"/>
      <w:r>
        <w:rPr>
          <w:rFonts w:ascii="Times New Roman" w:eastAsia="Times New Roman" w:hAnsi="Times New Roman" w:cs="Times New Roman"/>
          <w:i/>
          <w:iCs/>
        </w:rPr>
        <w:t>MaESCS</w:t>
      </w:r>
      <w:proofErr w:type="spellEnd"/>
    </w:p>
    <w:sdt>
      <w:sdtPr>
        <w:tag w:val="goog_rdk_2"/>
        <w:id w:val="88947765"/>
        <w:lock w:val="contentLocked"/>
      </w:sdtPr>
      <w:sdtEndPr/>
      <w:sdtContent>
        <w:tbl>
          <w:tblPr>
            <w:tblStyle w:val="a1"/>
            <w:tblW w:w="89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2325"/>
            <w:gridCol w:w="4845"/>
          </w:tblGrid>
          <w:tr w:rsidR="00F91DFD" w14:paraId="7EF0C3B7" w14:textId="77777777">
            <w:tc>
              <w:tcPr>
                <w:tcW w:w="1785" w:type="dxa"/>
                <w:tcBorders>
                  <w:left w:val="single" w:sz="8" w:space="0" w:color="FFFFFF"/>
                  <w:right w:val="single" w:sz="8" w:space="0" w:color="FFFFFF"/>
                </w:tcBorders>
                <w:shd w:val="clear" w:color="auto" w:fill="auto"/>
                <w:tcMar>
                  <w:top w:w="100" w:type="dxa"/>
                  <w:left w:w="100" w:type="dxa"/>
                  <w:bottom w:w="100" w:type="dxa"/>
                  <w:right w:w="100" w:type="dxa"/>
                </w:tcMar>
              </w:tcPr>
              <w:p w14:paraId="3EE611D5" w14:textId="77777777" w:rsidR="00F91DFD" w:rsidRDefault="0029211B">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Nivel de problema</w:t>
                </w:r>
              </w:p>
            </w:tc>
            <w:tc>
              <w:tcPr>
                <w:tcW w:w="2325" w:type="dxa"/>
                <w:tcBorders>
                  <w:left w:val="single" w:sz="8" w:space="0" w:color="FFFFFF"/>
                  <w:right w:val="single" w:sz="8" w:space="0" w:color="FFFFFF"/>
                </w:tcBorders>
                <w:shd w:val="clear" w:color="auto" w:fill="auto"/>
                <w:tcMar>
                  <w:top w:w="100" w:type="dxa"/>
                  <w:left w:w="100" w:type="dxa"/>
                  <w:bottom w:w="100" w:type="dxa"/>
                  <w:right w:w="100" w:type="dxa"/>
                </w:tcMar>
              </w:tcPr>
              <w:p w14:paraId="1B46F19F" w14:textId="77777777" w:rsidR="00F91DFD" w:rsidRDefault="0029211B">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Aspectos abordados </w:t>
                </w:r>
              </w:p>
            </w:tc>
            <w:tc>
              <w:tcPr>
                <w:tcW w:w="4845" w:type="dxa"/>
                <w:tcBorders>
                  <w:left w:val="single" w:sz="8" w:space="0" w:color="FFFFFF"/>
                  <w:right w:val="single" w:sz="8" w:space="0" w:color="FFFFFF"/>
                </w:tcBorders>
                <w:shd w:val="clear" w:color="auto" w:fill="auto"/>
                <w:tcMar>
                  <w:top w:w="100" w:type="dxa"/>
                  <w:left w:w="100" w:type="dxa"/>
                  <w:bottom w:w="100" w:type="dxa"/>
                  <w:right w:w="100" w:type="dxa"/>
                </w:tcMar>
              </w:tcPr>
              <w:p w14:paraId="0BB0210E" w14:textId="77777777" w:rsidR="00F91DFD" w:rsidRDefault="0029211B">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Ámbitos de intervención</w:t>
                </w:r>
              </w:p>
            </w:tc>
          </w:tr>
          <w:tr w:rsidR="00F91DFD" w14:paraId="2FE57B77" w14:textId="77777777">
            <w:trPr>
              <w:trHeight w:val="1097"/>
            </w:trPr>
            <w:tc>
              <w:tcPr>
                <w:tcW w:w="1785" w:type="dxa"/>
                <w:vMerge w:val="restart"/>
                <w:tcBorders>
                  <w:left w:val="single" w:sz="8" w:space="0" w:color="FFFFFF"/>
                  <w:right w:val="single" w:sz="8" w:space="0" w:color="FFFFFF"/>
                </w:tcBorders>
                <w:shd w:val="clear" w:color="auto" w:fill="auto"/>
                <w:tcMar>
                  <w:top w:w="100" w:type="dxa"/>
                  <w:left w:w="100" w:type="dxa"/>
                  <w:bottom w:w="100" w:type="dxa"/>
                  <w:right w:w="100" w:type="dxa"/>
                </w:tcMar>
              </w:tcPr>
              <w:p w14:paraId="75913512"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Organizacional</w:t>
                </w:r>
              </w:p>
              <w:p w14:paraId="5EADDB77"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49%</w:t>
                </w:r>
              </w:p>
            </w:tc>
            <w:tc>
              <w:tcPr>
                <w:tcW w:w="232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EC93BAC"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Autogestión y Trabajo Cooperativo</w:t>
                </w:r>
              </w:p>
              <w:p w14:paraId="19030E5A" w14:textId="77777777" w:rsidR="00F91DFD" w:rsidRDefault="00F91DFD">
                <w:pPr>
                  <w:widowControl w:val="0"/>
                  <w:spacing w:after="0" w:line="240" w:lineRule="auto"/>
                  <w:rPr>
                    <w:rFonts w:ascii="Times New Roman" w:eastAsia="Times New Roman" w:hAnsi="Times New Roman" w:cs="Times New Roman"/>
                  </w:rPr>
                </w:pPr>
              </w:p>
            </w:tc>
            <w:tc>
              <w:tcPr>
                <w:tcW w:w="484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54A5682"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Cooperativas de trabajo (Empresas recuperadas, de nueva generación, inducidas por el Estado y cooperativas sociales) y Federaciones. </w:t>
                </w:r>
              </w:p>
            </w:tc>
          </w:tr>
          <w:tr w:rsidR="00F91DFD" w14:paraId="7D9F4436" w14:textId="77777777">
            <w:trPr>
              <w:trHeight w:val="461"/>
            </w:trPr>
            <w:tc>
              <w:tcPr>
                <w:tcW w:w="178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11BE4D97" w14:textId="77777777" w:rsidR="00F91DFD" w:rsidRDefault="00F91DFD">
                <w:pPr>
                  <w:widowControl w:val="0"/>
                  <w:spacing w:after="0" w:line="240" w:lineRule="auto"/>
                  <w:rPr>
                    <w:rFonts w:ascii="Times New Roman" w:eastAsia="Times New Roman" w:hAnsi="Times New Roman" w:cs="Times New Roman"/>
                  </w:rPr>
                </w:pPr>
              </w:p>
            </w:tc>
            <w:tc>
              <w:tcPr>
                <w:tcW w:w="23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CB346AA"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Fortalecimiento de Asociaciones Civiles </w:t>
                </w:r>
              </w:p>
              <w:p w14:paraId="14AAB310" w14:textId="77777777" w:rsidR="00F91DFD" w:rsidRDefault="00F91DFD">
                <w:pPr>
                  <w:widowControl w:val="0"/>
                  <w:spacing w:after="0" w:line="240" w:lineRule="auto"/>
                  <w:rPr>
                    <w:rFonts w:ascii="Times New Roman" w:eastAsia="Times New Roman" w:hAnsi="Times New Roman" w:cs="Times New Roman"/>
                  </w:rPr>
                </w:pPr>
              </w:p>
            </w:tc>
            <w:tc>
              <w:tcPr>
                <w:tcW w:w="48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3A43557"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Cooperadoras escolares, Centros de Alternancia (CEPT) y federaciones de cooperadoras.</w:t>
                </w:r>
              </w:p>
            </w:tc>
          </w:tr>
          <w:tr w:rsidR="00F91DFD" w14:paraId="333C6273" w14:textId="77777777">
            <w:trPr>
              <w:trHeight w:val="461"/>
            </w:trPr>
            <w:tc>
              <w:tcPr>
                <w:tcW w:w="178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6208C453" w14:textId="77777777" w:rsidR="00F91DFD" w:rsidRDefault="00F91DFD">
                <w:pPr>
                  <w:widowControl w:val="0"/>
                  <w:spacing w:after="0" w:line="240" w:lineRule="auto"/>
                  <w:rPr>
                    <w:rFonts w:ascii="Times New Roman" w:eastAsia="Times New Roman" w:hAnsi="Times New Roman" w:cs="Times New Roman"/>
                  </w:rPr>
                </w:pPr>
              </w:p>
            </w:tc>
            <w:tc>
              <w:tcPr>
                <w:tcW w:w="23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6095F9"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Fortalecimiento de Organizaciones Comunitarias</w:t>
                </w:r>
              </w:p>
            </w:tc>
            <w:tc>
              <w:tcPr>
                <w:tcW w:w="48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66218F"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Movimientos sociales, comedores barriales y asociaciones de fomento.</w:t>
                </w:r>
              </w:p>
              <w:p w14:paraId="1A225C51" w14:textId="77777777" w:rsidR="00F91DFD" w:rsidRDefault="00F91DFD">
                <w:pPr>
                  <w:widowControl w:val="0"/>
                  <w:spacing w:after="0" w:line="240" w:lineRule="auto"/>
                  <w:rPr>
                    <w:rFonts w:ascii="Times New Roman" w:eastAsia="Times New Roman" w:hAnsi="Times New Roman" w:cs="Times New Roman"/>
                  </w:rPr>
                </w:pPr>
              </w:p>
            </w:tc>
          </w:tr>
          <w:tr w:rsidR="00F91DFD" w14:paraId="3D759079" w14:textId="77777777">
            <w:trPr>
              <w:trHeight w:val="461"/>
            </w:trPr>
            <w:tc>
              <w:tcPr>
                <w:tcW w:w="1785" w:type="dxa"/>
                <w:vMerge/>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999325" w14:textId="77777777" w:rsidR="00F91DFD" w:rsidRDefault="00F91DFD">
                <w:pPr>
                  <w:widowControl w:val="0"/>
                  <w:spacing w:after="0" w:line="240" w:lineRule="auto"/>
                  <w:rPr>
                    <w:rFonts w:ascii="Times New Roman" w:eastAsia="Times New Roman" w:hAnsi="Times New Roman" w:cs="Times New Roman"/>
                  </w:rPr>
                </w:pPr>
              </w:p>
            </w:tc>
            <w:tc>
              <w:tcPr>
                <w:tcW w:w="23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4AEC337"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Democratización de la vivienda y cobertura salud </w:t>
                </w:r>
              </w:p>
            </w:tc>
            <w:tc>
              <w:tcPr>
                <w:tcW w:w="48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F83E77A"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Cooperativas de vivienda y modelos asociativos de servicios de salud.</w:t>
                </w:r>
              </w:p>
              <w:p w14:paraId="12540CA3" w14:textId="77777777" w:rsidR="00F91DFD" w:rsidRDefault="00F91DFD">
                <w:pPr>
                  <w:widowControl w:val="0"/>
                  <w:spacing w:after="0" w:line="240" w:lineRule="auto"/>
                  <w:rPr>
                    <w:rFonts w:ascii="Times New Roman" w:eastAsia="Times New Roman" w:hAnsi="Times New Roman" w:cs="Times New Roman"/>
                  </w:rPr>
                </w:pPr>
              </w:p>
            </w:tc>
          </w:tr>
          <w:tr w:rsidR="00F91DFD" w14:paraId="3FBE1A5E" w14:textId="77777777">
            <w:trPr>
              <w:trHeight w:val="1022"/>
            </w:trPr>
            <w:tc>
              <w:tcPr>
                <w:tcW w:w="17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23441D4"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Sectorial</w:t>
                </w:r>
              </w:p>
              <w:p w14:paraId="09CE53FC"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12 %</w:t>
                </w:r>
              </w:p>
            </w:tc>
            <w:tc>
              <w:tcPr>
                <w:tcW w:w="23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B78A896"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Comercialización Solidaria </w:t>
                </w:r>
              </w:p>
              <w:p w14:paraId="6EE86B9D" w14:textId="77777777" w:rsidR="00F91DFD" w:rsidRDefault="00F91DFD">
                <w:pPr>
                  <w:widowControl w:val="0"/>
                  <w:spacing w:after="0" w:line="240" w:lineRule="auto"/>
                  <w:rPr>
                    <w:rFonts w:ascii="Times New Roman" w:eastAsia="Times New Roman" w:hAnsi="Times New Roman" w:cs="Times New Roman"/>
                  </w:rPr>
                </w:pPr>
              </w:p>
            </w:tc>
            <w:tc>
              <w:tcPr>
                <w:tcW w:w="48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75602B"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Espacios de comercialización alternativa, ferias y programas de agricultura familiar (ej. INTA)</w:t>
                </w:r>
              </w:p>
              <w:p w14:paraId="62F72E75" w14:textId="77777777" w:rsidR="00F91DFD" w:rsidRDefault="00F91DFD">
                <w:pPr>
                  <w:widowControl w:val="0"/>
                  <w:spacing w:after="0" w:line="240" w:lineRule="auto"/>
                  <w:rPr>
                    <w:rFonts w:ascii="Times New Roman" w:eastAsia="Times New Roman" w:hAnsi="Times New Roman" w:cs="Times New Roman"/>
                  </w:rPr>
                </w:pPr>
              </w:p>
            </w:tc>
          </w:tr>
          <w:tr w:rsidR="00F91DFD" w14:paraId="1A132D03" w14:textId="77777777">
            <w:tc>
              <w:tcPr>
                <w:tcW w:w="17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B065625"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Territorial</w:t>
                </w:r>
              </w:p>
              <w:p w14:paraId="3D23CD04"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23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17CEACC"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Desarrollo Territorial ESS</w:t>
                </w:r>
              </w:p>
              <w:p w14:paraId="50484D81" w14:textId="77777777" w:rsidR="00F91DFD" w:rsidRDefault="00F91DFD">
                <w:pPr>
                  <w:widowControl w:val="0"/>
                  <w:spacing w:after="0" w:line="240" w:lineRule="auto"/>
                  <w:rPr>
                    <w:rFonts w:ascii="Times New Roman" w:eastAsia="Times New Roman" w:hAnsi="Times New Roman" w:cs="Times New Roman"/>
                  </w:rPr>
                </w:pPr>
              </w:p>
            </w:tc>
            <w:tc>
              <w:tcPr>
                <w:tcW w:w="48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D22CF4"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Municipios (La Punta, El Trapiche), Federaciones e instituciones públicas como el INTA</w:t>
                </w:r>
              </w:p>
            </w:tc>
          </w:tr>
          <w:tr w:rsidR="00F91DFD" w14:paraId="34CE8F08" w14:textId="77777777">
            <w:trPr>
              <w:trHeight w:val="440"/>
            </w:trPr>
            <w:tc>
              <w:tcPr>
                <w:tcW w:w="1785" w:type="dxa"/>
                <w:vMerge w:val="restart"/>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CB2918C"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Política pública sectorial y educativa</w:t>
                </w:r>
              </w:p>
              <w:p w14:paraId="19869BD0"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31%</w:t>
                </w:r>
              </w:p>
            </w:tc>
            <w:tc>
              <w:tcPr>
                <w:tcW w:w="23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C1444AA"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Inclusión Socio-laboral</w:t>
                </w:r>
              </w:p>
              <w:p w14:paraId="109B2040" w14:textId="77777777" w:rsidR="00F91DFD" w:rsidRDefault="00F91DFD">
                <w:pPr>
                  <w:widowControl w:val="0"/>
                  <w:spacing w:after="0" w:line="240" w:lineRule="auto"/>
                  <w:rPr>
                    <w:rFonts w:ascii="Times New Roman" w:eastAsia="Times New Roman" w:hAnsi="Times New Roman" w:cs="Times New Roman"/>
                  </w:rPr>
                </w:pPr>
              </w:p>
            </w:tc>
            <w:tc>
              <w:tcPr>
                <w:tcW w:w="48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A30FFB5"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Áreas municipales de ESS, Empresas Sociales de Salud Mental y programas (ACUMAR, Potenciar Trabajo)</w:t>
                </w:r>
              </w:p>
            </w:tc>
          </w:tr>
          <w:tr w:rsidR="00F91DFD" w14:paraId="4D4B0901" w14:textId="77777777">
            <w:trPr>
              <w:trHeight w:val="440"/>
            </w:trPr>
            <w:tc>
              <w:tcPr>
                <w:tcW w:w="178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7351FC4C" w14:textId="77777777" w:rsidR="00F91DFD" w:rsidRDefault="00F91DFD">
                <w:pPr>
                  <w:widowControl w:val="0"/>
                  <w:spacing w:after="0" w:line="240" w:lineRule="auto"/>
                  <w:rPr>
                    <w:rFonts w:ascii="Times New Roman" w:eastAsia="Times New Roman" w:hAnsi="Times New Roman" w:cs="Times New Roman"/>
                  </w:rPr>
                </w:pPr>
              </w:p>
            </w:tc>
            <w:tc>
              <w:tcPr>
                <w:tcW w:w="23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B48DA02"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Fomento y promoción</w:t>
                </w:r>
              </w:p>
            </w:tc>
            <w:tc>
              <w:tcPr>
                <w:tcW w:w="48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4E055DF"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Organismos nacionales (INAES, FONTEX, SEDRONAR) y gobiernos municipales.</w:t>
                </w:r>
              </w:p>
            </w:tc>
          </w:tr>
          <w:tr w:rsidR="00F91DFD" w14:paraId="1745069D" w14:textId="77777777">
            <w:trPr>
              <w:trHeight w:val="440"/>
            </w:trPr>
            <w:tc>
              <w:tcPr>
                <w:tcW w:w="178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52A53FA8" w14:textId="77777777" w:rsidR="00F91DFD" w:rsidRDefault="00F91DFD">
                <w:pPr>
                  <w:widowControl w:val="0"/>
                  <w:spacing w:after="0" w:line="240" w:lineRule="auto"/>
                  <w:rPr>
                    <w:rFonts w:ascii="Times New Roman" w:eastAsia="Times New Roman" w:hAnsi="Times New Roman" w:cs="Times New Roman"/>
                  </w:rPr>
                </w:pPr>
              </w:p>
            </w:tc>
            <w:tc>
              <w:tcPr>
                <w:tcW w:w="232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2887F722"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Educación Cooperativa y Formación</w:t>
                </w:r>
              </w:p>
            </w:tc>
            <w:tc>
              <w:tcPr>
                <w:tcW w:w="484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320AACC" w14:textId="77777777" w:rsidR="00F91DFD" w:rsidRDefault="0029211B">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Universidades (UNSL), Institutos de Formación Docente (IFDC) y Escuelas</w:t>
                </w:r>
              </w:p>
            </w:tc>
          </w:tr>
        </w:tbl>
      </w:sdtContent>
    </w:sdt>
    <w:p w14:paraId="4E1B78D9"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Fuente: elaboración propia a partir de fuentes primarias.</w:t>
      </w:r>
    </w:p>
    <w:p w14:paraId="0EF7F613" w14:textId="77777777" w:rsidR="00F91DFD" w:rsidRDefault="00F91DFD">
      <w:pPr>
        <w:spacing w:after="0" w:line="240" w:lineRule="auto"/>
        <w:jc w:val="both"/>
        <w:rPr>
          <w:rFonts w:ascii="Times New Roman" w:eastAsia="Times New Roman" w:hAnsi="Times New Roman" w:cs="Times New Roman"/>
        </w:rPr>
      </w:pPr>
    </w:p>
    <w:p w14:paraId="59A7F731"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base a la descripción de estas variables y de sus relaciones, es posible analizar en primer lugar que tanto los tipos de problemas identificados como el diseño de las líneas y estrategias de int</w:t>
      </w:r>
      <w:r>
        <w:rPr>
          <w:rFonts w:ascii="Times New Roman" w:eastAsia="Times New Roman" w:hAnsi="Times New Roman" w:cs="Times New Roman"/>
        </w:rPr>
        <w:t xml:space="preserve">ervención refieren a aspectos que en los fundamentos de la Maestría y </w:t>
      </w:r>
      <w:r>
        <w:rPr>
          <w:rFonts w:ascii="Times New Roman" w:eastAsia="Times New Roman" w:hAnsi="Times New Roman" w:cs="Times New Roman"/>
        </w:rPr>
        <w:lastRenderedPageBreak/>
        <w:t>a los fines analíticos distinguimos como constitutivos de una dimensión socio-económica y de una dimensión político-cultural de nuestro referente empírico.  La primera dimensión comprend</w:t>
      </w:r>
      <w:r>
        <w:rPr>
          <w:rFonts w:ascii="Times New Roman" w:eastAsia="Times New Roman" w:hAnsi="Times New Roman" w:cs="Times New Roman"/>
        </w:rPr>
        <w:t>e todos los aspectos que hacen a la trama y red de interacciones relativamente estables en la que se desenvuelven las actividades económicas de las organizaciones, en donde lo social es el marco de sentido de lo económico y nunca un apéndice o fin secundar</w:t>
      </w:r>
      <w:r>
        <w:rPr>
          <w:rFonts w:ascii="Times New Roman" w:eastAsia="Times New Roman" w:hAnsi="Times New Roman" w:cs="Times New Roman"/>
        </w:rPr>
        <w:t xml:space="preserve">io. La segunda dimensión refiere a la parte más dinámica de las relaciones sociales, es decir aquellas creencias, sentidos y valores que caracterizan a los grupos, organizaciones y proyectos en su marco social y natural; incluyen aspectos intersubjetivos, </w:t>
      </w:r>
      <w:r>
        <w:rPr>
          <w:rFonts w:ascii="Times New Roman" w:eastAsia="Times New Roman" w:hAnsi="Times New Roman" w:cs="Times New Roman"/>
        </w:rPr>
        <w:t xml:space="preserve">culturales y políticos.  </w:t>
      </w:r>
    </w:p>
    <w:p w14:paraId="1BC2E6CC"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segundo lugar, esta sistematización permite caracterizar el modelo de intervención que produce la Maestría a partir de sus TFI. Estas propuestas expresan en su conjunto un perfil de intervención en el que predominan las estrate</w:t>
      </w:r>
      <w:r>
        <w:rPr>
          <w:rFonts w:ascii="Times New Roman" w:eastAsia="Times New Roman" w:hAnsi="Times New Roman" w:cs="Times New Roman"/>
        </w:rPr>
        <w:t>gias pedagógicas, organizacionales y participativas, orientadas a fortalecer capacidades colectivas y procesos de institucionalización de la ESS en distintos ámbitos y niveles. La mayoría de ellas no apunta únicamente a resolver problemas técnicos específi</w:t>
      </w:r>
      <w:r>
        <w:rPr>
          <w:rFonts w:ascii="Times New Roman" w:eastAsia="Times New Roman" w:hAnsi="Times New Roman" w:cs="Times New Roman"/>
        </w:rPr>
        <w:t xml:space="preserve">cos desde la propia pertinencia disciplinaria de quien encabeza el proceso de intervención. Si bien esto se encuentra presente, en el modelo de intervención aparecen estrategias de intercambio, no de transferencia. </w:t>
      </w:r>
    </w:p>
    <w:p w14:paraId="1F1CEB57" w14:textId="77777777" w:rsidR="00F91DFD" w:rsidRDefault="0029211B">
      <w:pPr>
        <w:spacing w:after="0" w:line="240" w:lineRule="auto"/>
        <w:jc w:val="both"/>
        <w:rPr>
          <w:rFonts w:ascii="Times New Roman" w:eastAsia="Times New Roman" w:hAnsi="Times New Roman" w:cs="Times New Roman"/>
        </w:rPr>
      </w:pPr>
      <w:proofErr w:type="gramStart"/>
      <w:r>
        <w:rPr>
          <w:rFonts w:ascii="Times New Roman" w:eastAsia="Times New Roman" w:hAnsi="Times New Roman" w:cs="Times New Roman"/>
        </w:rPr>
        <w:t>Y</w:t>
      </w:r>
      <w:proofErr w:type="gramEnd"/>
      <w:r>
        <w:rPr>
          <w:rFonts w:ascii="Times New Roman" w:eastAsia="Times New Roman" w:hAnsi="Times New Roman" w:cs="Times New Roman"/>
        </w:rPr>
        <w:t xml:space="preserve"> además, casi en su totalidad, existe u</w:t>
      </w:r>
      <w:r>
        <w:rPr>
          <w:rFonts w:ascii="Times New Roman" w:eastAsia="Times New Roman" w:hAnsi="Times New Roman" w:cs="Times New Roman"/>
        </w:rPr>
        <w:t xml:space="preserve">na apuesta fuerte a la formación y </w:t>
      </w:r>
      <w:proofErr w:type="spellStart"/>
      <w:r>
        <w:rPr>
          <w:rFonts w:ascii="Times New Roman" w:eastAsia="Times New Roman" w:hAnsi="Times New Roman" w:cs="Times New Roman"/>
        </w:rPr>
        <w:t>co-formación</w:t>
      </w:r>
      <w:proofErr w:type="spellEnd"/>
      <w:r>
        <w:rPr>
          <w:rFonts w:ascii="Times New Roman" w:eastAsia="Times New Roman" w:hAnsi="Times New Roman" w:cs="Times New Roman"/>
        </w:rPr>
        <w:t>. Luego de relevar esta información, uno de los datos más llamativos es que la línea de “capacitación” siempre está presente en los proyectos. Si bien en cada propuesta adopta una modalidad singular, pareciera</w:t>
      </w:r>
      <w:r>
        <w:rPr>
          <w:rFonts w:ascii="Times New Roman" w:eastAsia="Times New Roman" w:hAnsi="Times New Roman" w:cs="Times New Roman"/>
        </w:rPr>
        <w:t xml:space="preserve"> que existe una necesidad de conceptualizar las prácticas y dinámicas propias de los ámbitos de intervención en un idioma común, consensuar un lenguaje compartido, pero a su vez también compartir sentidos ya legitimados en el ámbito académico. Una suerte d</w:t>
      </w:r>
      <w:r>
        <w:rPr>
          <w:rFonts w:ascii="Times New Roman" w:eastAsia="Times New Roman" w:hAnsi="Times New Roman" w:cs="Times New Roman"/>
        </w:rPr>
        <w:t xml:space="preserve">e diálogo horizontal de saberes que se enmarca en la intervención. </w:t>
      </w:r>
    </w:p>
    <w:p w14:paraId="337D2A2B"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sentido, el repertorio de intervención es construido colectivamente por las y los maestrandos mediante una revalorización de sus conocimientos, prácticas y trayectorias, en diálogo</w:t>
      </w:r>
      <w:r>
        <w:rPr>
          <w:rFonts w:ascii="Times New Roman" w:eastAsia="Times New Roman" w:hAnsi="Times New Roman" w:cs="Times New Roman"/>
        </w:rPr>
        <w:t xml:space="preserve"> con los contenidos aprendidos en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¿Cómo es posible este despliegue? Por un lado, el carácter eminentemente práctico de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va sensibilizando a los y las estudiantes en toda su trayectoria académica. Análisis de casos, participación de orga</w:t>
      </w:r>
      <w:r>
        <w:rPr>
          <w:rFonts w:ascii="Times New Roman" w:eastAsia="Times New Roman" w:hAnsi="Times New Roman" w:cs="Times New Roman"/>
        </w:rPr>
        <w:t>nizaciones en los seminarios, escucha activa de los propios protagonistas de la ESS, entre otras estrategias pedagógicas van tejiendo una trama de experiencias y prácticas en la memoria colectiva. Por otro lado, los TFI son desarrollados por actores que ya</w:t>
      </w:r>
      <w:r>
        <w:rPr>
          <w:rFonts w:ascii="Times New Roman" w:eastAsia="Times New Roman" w:hAnsi="Times New Roman" w:cs="Times New Roman"/>
        </w:rPr>
        <w:t xml:space="preserve"> forman parte de los territorios y organizaciones sobre los que intervienen, donde las problemáticas emergen de la práctica y retornan a ella bajo la forma de propuestas de transformación. Así, la producción de conocimiento es situada. </w:t>
      </w:r>
    </w:p>
    <w:p w14:paraId="63C78AFC"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su vez la federal</w:t>
      </w:r>
      <w:r>
        <w:rPr>
          <w:rFonts w:ascii="Times New Roman" w:eastAsia="Times New Roman" w:hAnsi="Times New Roman" w:cs="Times New Roman"/>
        </w:rPr>
        <w:t xml:space="preserve">ización de la matrícula amplía el alcance territorial de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y enriquece el intercambio de saberes, ampliando la perspectiva de intervención. Para el presente análisis, por ejemplo, se contabilizaron proyectos de 13 provincias argentinas y 3 países d</w:t>
      </w:r>
      <w:r>
        <w:rPr>
          <w:rFonts w:ascii="Times New Roman" w:eastAsia="Times New Roman" w:hAnsi="Times New Roman" w:cs="Times New Roman"/>
        </w:rPr>
        <w:t xml:space="preserve">e la región, entre los cuales las direcciones asumidas por cuerpo docente de UNTREF concentra la tercera parte de ellas. </w:t>
      </w:r>
    </w:p>
    <w:p w14:paraId="792BDDCE"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Adicionalmente, además de la fuerte presencia de la capacitación como una de las líneas estratégicas de las intervenciones, otro matiz</w:t>
      </w:r>
      <w:r>
        <w:rPr>
          <w:rFonts w:ascii="Times New Roman" w:eastAsia="Times New Roman" w:hAnsi="Times New Roman" w:cs="Times New Roman"/>
        </w:rPr>
        <w:t xml:space="preserve"> para resaltar del modelo de intervención que produce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está relacionado con el predominio de las metodologías </w:t>
      </w:r>
      <w:r>
        <w:rPr>
          <w:rFonts w:ascii="Times New Roman" w:eastAsia="Times New Roman" w:hAnsi="Times New Roman" w:cs="Times New Roman"/>
        </w:rPr>
        <w:lastRenderedPageBreak/>
        <w:t xml:space="preserve">participativas, </w:t>
      </w:r>
      <w:proofErr w:type="spellStart"/>
      <w:r>
        <w:rPr>
          <w:rFonts w:ascii="Times New Roman" w:eastAsia="Times New Roman" w:hAnsi="Times New Roman" w:cs="Times New Roman"/>
        </w:rPr>
        <w:t>aún</w:t>
      </w:r>
      <w:proofErr w:type="spellEnd"/>
      <w:r>
        <w:rPr>
          <w:rFonts w:ascii="Times New Roman" w:eastAsia="Times New Roman" w:hAnsi="Times New Roman" w:cs="Times New Roman"/>
        </w:rPr>
        <w:t xml:space="preserve"> cuando estas son ajenas a la formación profesional de las y los maestrandos. Se ha notado que, lejos de un modelo ver</w:t>
      </w:r>
      <w:r>
        <w:rPr>
          <w:rFonts w:ascii="Times New Roman" w:eastAsia="Times New Roman" w:hAnsi="Times New Roman" w:cs="Times New Roman"/>
        </w:rPr>
        <w:t>ticalista de transferencia, los TFI se orientan a producir capacidades, vínculos y formas de organización colectiva, que podrían agruparse en tres familias de “tecnologías”: pedagógicas, organizacionales y relacionales.</w:t>
      </w:r>
    </w:p>
    <w:p w14:paraId="22E91622"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Por último, se puede observar que la</w:t>
      </w:r>
      <w:r>
        <w:rPr>
          <w:rFonts w:ascii="Times New Roman" w:eastAsia="Times New Roman" w:hAnsi="Times New Roman" w:cs="Times New Roman"/>
        </w:rPr>
        <w:t xml:space="preserve"> mayoría de las intervenciones se realizan a nivel micro en interacción con una organización cooperativa, asociativa o comunitaria de primer nivel, le siguen las intervenciones a nivel macro en interacción con instituciones educativas, tecnológicas y actor</w:t>
      </w:r>
      <w:r>
        <w:rPr>
          <w:rFonts w:ascii="Times New Roman" w:eastAsia="Times New Roman" w:hAnsi="Times New Roman" w:cs="Times New Roman"/>
        </w:rPr>
        <w:t>es gubernamentales, y en tercer lugar las que se dan a nivel meso con actores que conforman redes sectoriales y/o territoriales. La predominancia de las primeras se debe a que a lo largo de la cursada se promueve el vínculo con experiencias para realizar e</w:t>
      </w:r>
      <w:r>
        <w:rPr>
          <w:rFonts w:ascii="Times New Roman" w:eastAsia="Times New Roman" w:hAnsi="Times New Roman" w:cs="Times New Roman"/>
        </w:rPr>
        <w:t xml:space="preserve">studios de caso parciales o análisis de prácticas. Por lo general, quienes eligen como ámbito de intervención actores sectoriales, instituciones y el sector público, desarrollan su labor con proximidad a ellos y detectan la oportunidad de realizar mejoras </w:t>
      </w:r>
      <w:r>
        <w:rPr>
          <w:rFonts w:ascii="Times New Roman" w:eastAsia="Times New Roman" w:hAnsi="Times New Roman" w:cs="Times New Roman"/>
        </w:rPr>
        <w:t>o innovaciones en los mismos.</w:t>
      </w:r>
    </w:p>
    <w:p w14:paraId="6302D836" w14:textId="77777777" w:rsidR="00F91DFD" w:rsidRDefault="00F91DFD">
      <w:pPr>
        <w:pBdr>
          <w:top w:val="nil"/>
          <w:left w:val="nil"/>
          <w:bottom w:val="nil"/>
          <w:right w:val="nil"/>
          <w:between w:val="nil"/>
        </w:pBdr>
        <w:spacing w:line="240" w:lineRule="auto"/>
        <w:rPr>
          <w:rFonts w:ascii="Times New Roman" w:eastAsia="Times New Roman" w:hAnsi="Times New Roman" w:cs="Times New Roman"/>
          <w:b/>
          <w:bCs/>
        </w:rPr>
      </w:pPr>
    </w:p>
    <w:p w14:paraId="7F2D82DA" w14:textId="77777777" w:rsidR="00F91DFD" w:rsidRDefault="0029211B">
      <w:pPr>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¿Para qué abordar la ESS en la universidad?</w:t>
      </w:r>
    </w:p>
    <w:p w14:paraId="1001F356" w14:textId="77777777" w:rsidR="00F91DFD" w:rsidRDefault="0029211B">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repaso de la trayectoria de la ESS en el ámbito universitario y el posterior análisis e interpretación del dispositivo TFI en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se constituyen como claves para reflexionar sobre qué tipo de universidad y qué tipo de producción de conocimiento em</w:t>
      </w:r>
      <w:r>
        <w:rPr>
          <w:rFonts w:ascii="Times New Roman" w:eastAsia="Times New Roman" w:hAnsi="Times New Roman" w:cs="Times New Roman"/>
        </w:rPr>
        <w:t>erge de la experiencia concreta del CEES. Vale la pena preguntarse en qué medida este dispositivo permite pensar en la necesidad de generar formas alternativas de producción de conocimiento y cómo esto tensiona con las lógicas institucionales de la educaci</w:t>
      </w:r>
      <w:r>
        <w:rPr>
          <w:rFonts w:ascii="Times New Roman" w:eastAsia="Times New Roman" w:hAnsi="Times New Roman" w:cs="Times New Roman"/>
        </w:rPr>
        <w:t xml:space="preserve">ón superior. </w:t>
      </w:r>
    </w:p>
    <w:p w14:paraId="35E0F3BF"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responder esa inquietud no es posible dejar de apelar a la coherencia metodológica entre objeto, objetivos y enfoque teórico (</w:t>
      </w:r>
      <w:proofErr w:type="spellStart"/>
      <w:r>
        <w:rPr>
          <w:rFonts w:ascii="Times New Roman" w:eastAsia="Times New Roman" w:hAnsi="Times New Roman" w:cs="Times New Roman"/>
        </w:rPr>
        <w:t>Hintze</w:t>
      </w:r>
      <w:proofErr w:type="spellEnd"/>
      <w:r>
        <w:rPr>
          <w:rFonts w:ascii="Times New Roman" w:eastAsia="Times New Roman" w:hAnsi="Times New Roman" w:cs="Times New Roman"/>
        </w:rPr>
        <w:t>, 1996). Por tratarse la ESS de un campo en el que la acción colectiva y participativa es central, cualqu</w:t>
      </w:r>
      <w:r>
        <w:rPr>
          <w:rFonts w:ascii="Times New Roman" w:eastAsia="Times New Roman" w:hAnsi="Times New Roman" w:cs="Times New Roman"/>
        </w:rPr>
        <w:t>ier propuesta académica, sea del nivel que fuere, debería dialogar en la misma clave que su objeto. Es decir, la producción de conocimientos en relación a los sujetos de la ESS no debería realizarse desde una posición de pasiva exterioridad o desde un dual</w:t>
      </w:r>
      <w:r>
        <w:rPr>
          <w:rFonts w:ascii="Times New Roman" w:eastAsia="Times New Roman" w:hAnsi="Times New Roman" w:cs="Times New Roman"/>
        </w:rPr>
        <w:t xml:space="preserve">ismo sujeto-objeto sino reconociendo a estos actores como sujetos reflexivos y activos en el proceso. En este sentido, </w:t>
      </w:r>
      <w:r>
        <w:rPr>
          <w:rFonts w:ascii="Times New Roman" w:eastAsia="Times New Roman" w:hAnsi="Times New Roman" w:cs="Times New Roman"/>
          <w:highlight w:val="white"/>
        </w:rPr>
        <w:t xml:space="preserve">Olaf </w:t>
      </w:r>
      <w:proofErr w:type="spellStart"/>
      <w:r>
        <w:rPr>
          <w:rFonts w:ascii="Times New Roman" w:eastAsia="Times New Roman" w:hAnsi="Times New Roman" w:cs="Times New Roman"/>
          <w:highlight w:val="white"/>
        </w:rPr>
        <w:t>Kaltmeier</w:t>
      </w:r>
      <w:proofErr w:type="spellEnd"/>
      <w:r>
        <w:rPr>
          <w:rFonts w:ascii="Times New Roman" w:eastAsia="Times New Roman" w:hAnsi="Times New Roman" w:cs="Times New Roman"/>
          <w:highlight w:val="white"/>
        </w:rPr>
        <w:t xml:space="preserve"> (2020) pl</w:t>
      </w:r>
      <w:r>
        <w:rPr>
          <w:rFonts w:ascii="Times New Roman" w:eastAsia="Times New Roman" w:hAnsi="Times New Roman" w:cs="Times New Roman"/>
        </w:rPr>
        <w:t>antea la necesidad de construir investigación "con y no sobre" los actores sociales, promoviendo corredores de ar</w:t>
      </w:r>
      <w:r>
        <w:rPr>
          <w:rFonts w:ascii="Times New Roman" w:eastAsia="Times New Roman" w:hAnsi="Times New Roman" w:cs="Times New Roman"/>
        </w:rPr>
        <w:t xml:space="preserve">ticulación entre academia y espacios de vida cotidiana. En el caso de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y específicamente del dispositivo TFI, se ha demostrado que muchos estudiantes pertenecen a las organizaciones donde intervienen, trabajan en municipios donde desarrollan los p</w:t>
      </w:r>
      <w:r>
        <w:rPr>
          <w:rFonts w:ascii="Times New Roman" w:eastAsia="Times New Roman" w:hAnsi="Times New Roman" w:cs="Times New Roman"/>
        </w:rPr>
        <w:t>royectos, forman parte de redes, cooperativas o universidades vinculadas a la problemática abordada.</w:t>
      </w:r>
    </w:p>
    <w:p w14:paraId="11F3C77F"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Tal como señalan </w:t>
      </w:r>
      <w:proofErr w:type="spellStart"/>
      <w:r>
        <w:rPr>
          <w:rFonts w:ascii="Times New Roman" w:eastAsia="Times New Roman" w:hAnsi="Times New Roman" w:cs="Times New Roman"/>
        </w:rPr>
        <w:t>Palumbo</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Guelman</w:t>
      </w:r>
      <w:proofErr w:type="spellEnd"/>
      <w:r>
        <w:rPr>
          <w:rFonts w:ascii="Times New Roman" w:eastAsia="Times New Roman" w:hAnsi="Times New Roman" w:cs="Times New Roman"/>
        </w:rPr>
        <w:t xml:space="preserve"> (2018) en su abordaje de la investigación con pedagogías descolonizadoras, la propuesta de la Maestría y muy especialmen</w:t>
      </w:r>
      <w:r>
        <w:rPr>
          <w:rFonts w:ascii="Times New Roman" w:eastAsia="Times New Roman" w:hAnsi="Times New Roman" w:cs="Times New Roman"/>
        </w:rPr>
        <w:t>te del trabajo de graduación, implica reconocer y asumir la tensión entre conocimientos académicos y los saberes de las organizaciones o proyectos en los que se interviene. Comprometerse entonces con una producción de conocimientos tendiente a la descoloni</w:t>
      </w:r>
      <w:r>
        <w:rPr>
          <w:rFonts w:ascii="Times New Roman" w:eastAsia="Times New Roman" w:hAnsi="Times New Roman" w:cs="Times New Roman"/>
        </w:rPr>
        <w:t xml:space="preserve">zación implica saber escuchar la demanda genuina de los ámbitos de intervención, generar acuerdos </w:t>
      </w:r>
      <w:r>
        <w:rPr>
          <w:rFonts w:ascii="Times New Roman" w:eastAsia="Times New Roman" w:hAnsi="Times New Roman" w:cs="Times New Roman"/>
        </w:rPr>
        <w:lastRenderedPageBreak/>
        <w:t>mutuos en cuanto a la selección de ámbitos de observación y acerca de las estrategias a ser utilizadas para abordar los problemas o las oportunidades de mejor</w:t>
      </w:r>
      <w:r>
        <w:rPr>
          <w:rFonts w:ascii="Times New Roman" w:eastAsia="Times New Roman" w:hAnsi="Times New Roman" w:cs="Times New Roman"/>
        </w:rPr>
        <w:t>a.</w:t>
      </w:r>
    </w:p>
    <w:p w14:paraId="50391632"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Sin embargo ¿Lo antedicho es suficiente para afirmar que los TFI funcionan como una forma de producción de conocimiento situada, donde se desdibujan parcialmente las fronteras entre investigador, profesional y actor territorial?</w:t>
      </w:r>
    </w:p>
    <w:p w14:paraId="39156BCF"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Podría parecer a priori </w:t>
      </w:r>
      <w:r>
        <w:rPr>
          <w:rFonts w:ascii="Times New Roman" w:eastAsia="Times New Roman" w:hAnsi="Times New Roman" w:cs="Times New Roman"/>
        </w:rPr>
        <w:t>que sí, si se analiza al TFI de manera aislada, sin poner sobre la mesa las relaciones de poder existentes en los ámbitos donde se desarrolla: una cátedra taller que evalúa y califica una propuesta, un comité académico que aprueba el proyecto, una direcció</w:t>
      </w:r>
      <w:r>
        <w:rPr>
          <w:rFonts w:ascii="Times New Roman" w:eastAsia="Times New Roman" w:hAnsi="Times New Roman" w:cs="Times New Roman"/>
        </w:rPr>
        <w:t xml:space="preserve">n académica que guía el proceso según estándares poco flexibles y finalmente un tribunal evaluador que dictamina si el informe final está aprobado. Es </w:t>
      </w:r>
      <w:proofErr w:type="gramStart"/>
      <w:r>
        <w:rPr>
          <w:rFonts w:ascii="Times New Roman" w:eastAsia="Times New Roman" w:hAnsi="Times New Roman" w:cs="Times New Roman"/>
        </w:rPr>
        <w:t>decir</w:t>
      </w:r>
      <w:proofErr w:type="gramEnd"/>
      <w:r>
        <w:rPr>
          <w:rFonts w:ascii="Times New Roman" w:eastAsia="Times New Roman" w:hAnsi="Times New Roman" w:cs="Times New Roman"/>
        </w:rPr>
        <w:t xml:space="preserve"> el modelo de intervención de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mediante el dispositivo TFI abriga el potencial de promover </w:t>
      </w:r>
      <w:r>
        <w:rPr>
          <w:rFonts w:ascii="Times New Roman" w:eastAsia="Times New Roman" w:hAnsi="Times New Roman" w:cs="Times New Roman"/>
        </w:rPr>
        <w:t>un corredor de articulación, pero internamente se enfrenta a los conflictos y tensiones permanentes típicos de la universidad latinoamericana fundada sobre una epistemología eurocéntrica que separa y jerarquiza roles y saberes (Lander, 2004). Y no es menor</w:t>
      </w:r>
      <w:r>
        <w:rPr>
          <w:rFonts w:ascii="Times New Roman" w:eastAsia="Times New Roman" w:hAnsi="Times New Roman" w:cs="Times New Roman"/>
        </w:rPr>
        <w:t xml:space="preserve"> que sea justamente este saber moderno y eurocéntrico (pretendidamente verdadero, universal y objetivo) el que legitima y naturaliza el orden liberal capitalista, frente al cual la ESS procura disputar sentidos comunes. Visto así,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sería una gran </w:t>
      </w:r>
      <w:r>
        <w:rPr>
          <w:rFonts w:ascii="Times New Roman" w:eastAsia="Times New Roman" w:hAnsi="Times New Roman" w:cs="Times New Roman"/>
        </w:rPr>
        <w:t xml:space="preserve">paradoja del sistema universitario. Por eso, en este contexto, recuperar la perspectiva de un conocimiento alternativo “desde dentro” de la universidad, es una empresa que requiere algo más que buena voluntad. </w:t>
      </w:r>
    </w:p>
    <w:p w14:paraId="05D5B068"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TFI más que innovación pedagógica es una d</w:t>
      </w:r>
      <w:r>
        <w:rPr>
          <w:rFonts w:ascii="Times New Roman" w:eastAsia="Times New Roman" w:hAnsi="Times New Roman" w:cs="Times New Roman"/>
        </w:rPr>
        <w:t>isputa epistemológica que se sostiene conciliando criterios y construyendo nuevas tradiciones. Por ejemplo, la evaluación del TFI no es únicamente la calificación de una letra muerta, es la comprensión y valoración de un proceso de inmersión territorial, m</w:t>
      </w:r>
      <w:r>
        <w:rPr>
          <w:rFonts w:ascii="Times New Roman" w:eastAsia="Times New Roman" w:hAnsi="Times New Roman" w:cs="Times New Roman"/>
        </w:rPr>
        <w:t>ovilización de actores y recursos, del esfuerzo por conciliar distintos registros de contar la realidad. Esta particularidad implica que el acompañamiento en la redacción del Informe final de cada intervención principalmente en su tramo final procura jerar</w:t>
      </w:r>
      <w:r>
        <w:rPr>
          <w:rFonts w:ascii="Times New Roman" w:eastAsia="Times New Roman" w:hAnsi="Times New Roman" w:cs="Times New Roman"/>
        </w:rPr>
        <w:t>quizar los aprendizajes y dificultades experimentados en un proceso reflexivo de cada maestrando/a que integra la retroalimentación de los actores del territorio. En ocasiones estos aprendizajes y evaluación crítica del proceso, puede resultar más signific</w:t>
      </w:r>
      <w:r>
        <w:rPr>
          <w:rFonts w:ascii="Times New Roman" w:eastAsia="Times New Roman" w:hAnsi="Times New Roman" w:cs="Times New Roman"/>
        </w:rPr>
        <w:t xml:space="preserve">ativa que la eficacia en el cumplimiento de las metas que se habían propuesto; y en este sentido se trata de generar también la innovación pedagógica. El proceso de búsqueda del equilibrio entre el respeto por los estándares tradicionales de la evaluación </w:t>
      </w:r>
      <w:r>
        <w:rPr>
          <w:rFonts w:ascii="Times New Roman" w:eastAsia="Times New Roman" w:hAnsi="Times New Roman" w:cs="Times New Roman"/>
        </w:rPr>
        <w:t xml:space="preserve">en educación superior y el sostenimiento de la singularidad mediante la amplificación de las voces del territorio y la reflexión deliberada sobre la experiencia, es una modalidad particular que asumen los espacios de acompañamiento de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tanto en e</w:t>
      </w:r>
      <w:r>
        <w:rPr>
          <w:rFonts w:ascii="Times New Roman" w:eastAsia="Times New Roman" w:hAnsi="Times New Roman" w:cs="Times New Roman"/>
        </w:rPr>
        <w:t>l taller como en los espacios de tutorías de seguimiento de implementación.</w:t>
      </w:r>
    </w:p>
    <w:p w14:paraId="71DD2ED7"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Esta dualidad o dialéctica entre la reproducción colonial y la búsqueda de la emancipación es propia de la universidad periférica (Ramírez Gallegos y Zaruma Flores, 2025) y, en el campo de la ESS, aparece de manera constante en los espacios de discusión in</w:t>
      </w:r>
      <w:r>
        <w:rPr>
          <w:rFonts w:ascii="Times New Roman" w:eastAsia="Times New Roman" w:hAnsi="Times New Roman" w:cs="Times New Roman"/>
        </w:rPr>
        <w:t>teruniversitarios. Porque el objetivo de este tipo de propuestas de formación no se reduce a lo profesional en su sentido estricto, sino que se sitúa en el propósito mayor de ampliar las capacidades sociales de producir conocimiento. Es decir, de instituir</w:t>
      </w:r>
      <w:r>
        <w:rPr>
          <w:rFonts w:ascii="Times New Roman" w:eastAsia="Times New Roman" w:hAnsi="Times New Roman" w:cs="Times New Roman"/>
        </w:rPr>
        <w:t xml:space="preserve"> maneras diversas y alternativas, porque siguiendo a estos autores la universidad periférica antes que producir valor de cambio, debería producir valor de uso democrático. Así, el potencial </w:t>
      </w:r>
      <w:r>
        <w:rPr>
          <w:rFonts w:ascii="Times New Roman" w:eastAsia="Times New Roman" w:hAnsi="Times New Roman" w:cs="Times New Roman"/>
        </w:rPr>
        <w:lastRenderedPageBreak/>
        <w:t>transformador reside en la capacidad de forjar subjetividades de r</w:t>
      </w:r>
      <w:r>
        <w:rPr>
          <w:rFonts w:ascii="Times New Roman" w:eastAsia="Times New Roman" w:hAnsi="Times New Roman" w:cs="Times New Roman"/>
        </w:rPr>
        <w:t xml:space="preserve">esistencia. En este caso de resistencias creativas a la dogmática economía individualista. </w:t>
      </w:r>
    </w:p>
    <w:p w14:paraId="4D5ADCA0" w14:textId="77777777" w:rsidR="00F91DFD" w:rsidRDefault="0029211B">
      <w:pPr>
        <w:spacing w:after="0" w:line="240" w:lineRule="auto"/>
        <w:jc w:val="both"/>
        <w:rPr>
          <w:rFonts w:ascii="Times New Roman" w:eastAsia="Times New Roman" w:hAnsi="Times New Roman" w:cs="Times New Roman"/>
          <w:color w:val="6AA84F"/>
        </w:rPr>
      </w:pPr>
      <w:r>
        <w:rPr>
          <w:rFonts w:ascii="Times New Roman" w:eastAsia="Times New Roman" w:hAnsi="Times New Roman" w:cs="Times New Roman"/>
        </w:rPr>
        <w:t>De esta forma quedan expresadas las tensiones entre la horizontalidad y la institucionalización. La institucionalización universitaria de la ESS amplía su legitimid</w:t>
      </w:r>
      <w:r>
        <w:rPr>
          <w:rFonts w:ascii="Times New Roman" w:eastAsia="Times New Roman" w:hAnsi="Times New Roman" w:cs="Times New Roman"/>
        </w:rPr>
        <w:t xml:space="preserve">ad y alcance, pero al mismo tiempo genera el desafío de preservar prácticas de producción de conocimiento basadas en el diálogo de saberes y la participación. El modelo de intervención de la </w:t>
      </w:r>
      <w:proofErr w:type="spellStart"/>
      <w:r>
        <w:rPr>
          <w:rFonts w:ascii="Times New Roman" w:eastAsia="Times New Roman" w:hAnsi="Times New Roman" w:cs="Times New Roman"/>
        </w:rPr>
        <w:t>MaESCS</w:t>
      </w:r>
      <w:proofErr w:type="spellEnd"/>
      <w:r>
        <w:rPr>
          <w:rFonts w:ascii="Times New Roman" w:eastAsia="Times New Roman" w:hAnsi="Times New Roman" w:cs="Times New Roman"/>
        </w:rPr>
        <w:t xml:space="preserve"> promueve una ética de la intervención singular: intervenir</w:t>
      </w:r>
      <w:r>
        <w:rPr>
          <w:rFonts w:ascii="Times New Roman" w:eastAsia="Times New Roman" w:hAnsi="Times New Roman" w:cs="Times New Roman"/>
        </w:rPr>
        <w:t xml:space="preserve"> para transformar, tomando parcialmente las propuestas del laboratorio de experimentación metodológica de Fals Borda (</w:t>
      </w:r>
      <w:proofErr w:type="spellStart"/>
      <w:r>
        <w:rPr>
          <w:rFonts w:ascii="Times New Roman" w:eastAsia="Times New Roman" w:hAnsi="Times New Roman" w:cs="Times New Roman"/>
        </w:rPr>
        <w:t>Palumbo</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Vacca</w:t>
      </w:r>
      <w:proofErr w:type="spellEnd"/>
      <w:r>
        <w:rPr>
          <w:rFonts w:ascii="Times New Roman" w:eastAsia="Times New Roman" w:hAnsi="Times New Roman" w:cs="Times New Roman"/>
        </w:rPr>
        <w:t xml:space="preserve"> 2024) donde la teoría se deja guiar por la realidad para enriquecerse y donde el investigador asume el riesgo de la prácti</w:t>
      </w:r>
      <w:r>
        <w:rPr>
          <w:rFonts w:ascii="Times New Roman" w:eastAsia="Times New Roman" w:hAnsi="Times New Roman" w:cs="Times New Roman"/>
        </w:rPr>
        <w:t>ca política directa para lograr una transformación en los ámbitos de inserción.</w:t>
      </w:r>
      <w:r>
        <w:rPr>
          <w:rFonts w:ascii="Times New Roman" w:eastAsia="Times New Roman" w:hAnsi="Times New Roman" w:cs="Times New Roman"/>
          <w:color w:val="6AA84F"/>
        </w:rPr>
        <w:t xml:space="preserve"> </w:t>
      </w:r>
    </w:p>
    <w:p w14:paraId="31CEBCF8" w14:textId="77777777" w:rsidR="00F91DFD" w:rsidRDefault="0029211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Pero intervenir con las organizaciones implica una vigilancia permanente de las responsabilidades de cada estudiante, guiar en el proceso de definición de los criterios de val</w:t>
      </w:r>
      <w:r>
        <w:rPr>
          <w:rFonts w:ascii="Times New Roman" w:eastAsia="Times New Roman" w:hAnsi="Times New Roman" w:cs="Times New Roman"/>
        </w:rPr>
        <w:t>idación, fomentar la devolución de resultados y la utilidad del conocimiento generado. Todo esto excede el camino personal individual del estudiante y lo desborda en transformación en y para el territorio, dentro del sector de la ESS. Es un acto de respons</w:t>
      </w:r>
      <w:r>
        <w:rPr>
          <w:rFonts w:ascii="Times New Roman" w:eastAsia="Times New Roman" w:hAnsi="Times New Roman" w:cs="Times New Roman"/>
        </w:rPr>
        <w:t xml:space="preserve">abilidad frente a quienes </w:t>
      </w:r>
      <w:proofErr w:type="spellStart"/>
      <w:r>
        <w:rPr>
          <w:rFonts w:ascii="Times New Roman" w:eastAsia="Times New Roman" w:hAnsi="Times New Roman" w:cs="Times New Roman"/>
        </w:rPr>
        <w:t>co-producen</w:t>
      </w:r>
      <w:proofErr w:type="spellEnd"/>
      <w:r>
        <w:rPr>
          <w:rFonts w:ascii="Times New Roman" w:eastAsia="Times New Roman" w:hAnsi="Times New Roman" w:cs="Times New Roman"/>
        </w:rPr>
        <w:t xml:space="preserve"> ese conocimiento y esto no resta rigurosidad. Como resultado, la </w:t>
      </w:r>
      <w:proofErr w:type="spellStart"/>
      <w:r>
        <w:rPr>
          <w:rFonts w:ascii="Times New Roman" w:eastAsia="Times New Roman" w:hAnsi="Times New Roman" w:cs="Times New Roman"/>
        </w:rPr>
        <w:t>curricularización</w:t>
      </w:r>
      <w:proofErr w:type="spellEnd"/>
      <w:r>
        <w:rPr>
          <w:rFonts w:ascii="Times New Roman" w:eastAsia="Times New Roman" w:hAnsi="Times New Roman" w:cs="Times New Roman"/>
        </w:rPr>
        <w:t xml:space="preserve"> de la ESS en la UNTREF supone, además de incorporar una serie de contenidos novedosos, la institucionalización de un dispositivo pedagó</w:t>
      </w:r>
      <w:r>
        <w:rPr>
          <w:rFonts w:ascii="Times New Roman" w:eastAsia="Times New Roman" w:hAnsi="Times New Roman" w:cs="Times New Roman"/>
        </w:rPr>
        <w:t xml:space="preserve">gico que reorganiza las relaciones entre universidad, territorio y producción de conocimiento. Mediante el análisis del TFI es posible comprender que desde la MAESC se promueve un modelo de intervención coherente con la ESS. Sin embargo, yendo un poco más </w:t>
      </w:r>
      <w:r>
        <w:rPr>
          <w:rFonts w:ascii="Times New Roman" w:eastAsia="Times New Roman" w:hAnsi="Times New Roman" w:cs="Times New Roman"/>
        </w:rPr>
        <w:t>lejos, mediante la reflexión sobre el TFI como dispositivo que se desarrolla dentro del ámbito universitario, también se puede pensar que este proceso promueve la institucionalización de una epistemología diferente, que legitima otras formas de producir co</w:t>
      </w:r>
      <w:r>
        <w:rPr>
          <w:rFonts w:ascii="Times New Roman" w:eastAsia="Times New Roman" w:hAnsi="Times New Roman" w:cs="Times New Roman"/>
        </w:rPr>
        <w:t>nocimiento y donde los territorios dejan de ser objeto de estudio o intervención para convertirse en productores de teoría.</w:t>
      </w:r>
    </w:p>
    <w:p w14:paraId="63343D93" w14:textId="77777777" w:rsidR="00F91DFD" w:rsidRDefault="00F91DFD">
      <w:pPr>
        <w:spacing w:after="0" w:line="240" w:lineRule="auto"/>
        <w:jc w:val="both"/>
        <w:rPr>
          <w:rFonts w:ascii="Times New Roman" w:eastAsia="Times New Roman" w:hAnsi="Times New Roman" w:cs="Times New Roman"/>
        </w:rPr>
      </w:pPr>
    </w:p>
    <w:p w14:paraId="662B152E" w14:textId="77777777" w:rsidR="00F91DFD" w:rsidRDefault="0029211B">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1DD86B51"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El análisis del proceso de institucionalización de la Economía Social y Solidaria (ESS) en la UNTREF permite entrelaza</w:t>
      </w:r>
      <w:r>
        <w:rPr>
          <w:rFonts w:ascii="Times New Roman" w:eastAsia="Times New Roman" w:hAnsi="Times New Roman" w:cs="Times New Roman"/>
        </w:rPr>
        <w:t>r dimensiones pedagógicas, territoriales y políticas de la educación superior. Por un lado, se ha reseñado el proceso de maduración de un campo de estudio y producción de saberes desde la extensión a carreras con máximo reconocimiento oficial como la Maest</w:t>
      </w:r>
      <w:r>
        <w:rPr>
          <w:rFonts w:ascii="Times New Roman" w:eastAsia="Times New Roman" w:hAnsi="Times New Roman" w:cs="Times New Roman"/>
        </w:rPr>
        <w:t xml:space="preserve">ría. La trayectoria de más de dos décadas en la UNTREF muestra que la </w:t>
      </w:r>
      <w:proofErr w:type="spellStart"/>
      <w:r>
        <w:rPr>
          <w:rFonts w:ascii="Times New Roman" w:eastAsia="Times New Roman" w:hAnsi="Times New Roman" w:cs="Times New Roman"/>
        </w:rPr>
        <w:t>curricularización</w:t>
      </w:r>
      <w:proofErr w:type="spellEnd"/>
      <w:r>
        <w:rPr>
          <w:rFonts w:ascii="Times New Roman" w:eastAsia="Times New Roman" w:hAnsi="Times New Roman" w:cs="Times New Roman"/>
        </w:rPr>
        <w:t xml:space="preserve"> de la ESS no ha consistido sólo en una incorporación de contenidos, sino que es producto de una construcción en diálogo con el territorio que se pone de manifiesto en l</w:t>
      </w:r>
      <w:r>
        <w:rPr>
          <w:rFonts w:ascii="Times New Roman" w:eastAsia="Times New Roman" w:hAnsi="Times New Roman" w:cs="Times New Roman"/>
        </w:rPr>
        <w:t>a naturaleza del Trabajo Final de Intervención (TFI) escogido para la maestría. Esta modalidad de trabajo no surge como un mero requisito formal de graduación, sino como la síntesis de un aprendizaje institucional que busca integrar las funciones de docenc</w:t>
      </w:r>
      <w:r>
        <w:rPr>
          <w:rFonts w:ascii="Times New Roman" w:eastAsia="Times New Roman" w:hAnsi="Times New Roman" w:cs="Times New Roman"/>
        </w:rPr>
        <w:t>ia, investigación y vinculación con la comunidad.</w:t>
      </w:r>
    </w:p>
    <w:p w14:paraId="1299C198"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Puntualmente, el análisis de los 50 proyectos de TFI aporta evidencia empírica a los debates que tanto el equipo docente como las autoridades de la maestría se plantean teniendo como desafío una orientación</w:t>
      </w:r>
      <w:r>
        <w:rPr>
          <w:rFonts w:ascii="Times New Roman" w:eastAsia="Times New Roman" w:hAnsi="Times New Roman" w:cs="Times New Roman"/>
        </w:rPr>
        <w:t xml:space="preserve"> hacia la descolonización del saber. La recurrencia de la capacitación en talleres y las metodologías participativas en los proyectos, presentes </w:t>
      </w:r>
      <w:r>
        <w:rPr>
          <w:rFonts w:ascii="Times New Roman" w:eastAsia="Times New Roman" w:hAnsi="Times New Roman" w:cs="Times New Roman"/>
        </w:rPr>
        <w:lastRenderedPageBreak/>
        <w:t>incluso cuando son ajenas a la formación previa del estudiante, demuestran que el diálogo de saberes es una est</w:t>
      </w:r>
      <w:r>
        <w:rPr>
          <w:rFonts w:ascii="Times New Roman" w:eastAsia="Times New Roman" w:hAnsi="Times New Roman" w:cs="Times New Roman"/>
        </w:rPr>
        <w:t>rategia operativa apropiada al menos parcialmente por las y los maestrandos. Existe una correlación directa entre la tipología de problemas (organizacionales, sectoriales, territoriales) y la construcción de un conocimiento que no se transfiere verticalmen</w:t>
      </w:r>
      <w:r>
        <w:rPr>
          <w:rFonts w:ascii="Times New Roman" w:eastAsia="Times New Roman" w:hAnsi="Times New Roman" w:cs="Times New Roman"/>
        </w:rPr>
        <w:t xml:space="preserve">te, sino que se </w:t>
      </w:r>
      <w:proofErr w:type="spellStart"/>
      <w:r>
        <w:rPr>
          <w:rFonts w:ascii="Times New Roman" w:eastAsia="Times New Roman" w:hAnsi="Times New Roman" w:cs="Times New Roman"/>
        </w:rPr>
        <w:t>co-produce</w:t>
      </w:r>
      <w:proofErr w:type="spellEnd"/>
      <w:r>
        <w:rPr>
          <w:rFonts w:ascii="Times New Roman" w:eastAsia="Times New Roman" w:hAnsi="Times New Roman" w:cs="Times New Roman"/>
        </w:rPr>
        <w:t xml:space="preserve"> con los actores sociales.</w:t>
      </w:r>
    </w:p>
    <w:p w14:paraId="2FA49C6B"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Por otro lado, se ha precisado que la tensión entre las lógicas horizontales de la ESS y las estructuras jerárquicas de la universidad se aborda, o al menos se disputa en el acompañamiento pedagógico del TFI. Al sostener una vigilancia ética y política sob</w:t>
      </w:r>
      <w:r>
        <w:rPr>
          <w:rFonts w:ascii="Times New Roman" w:eastAsia="Times New Roman" w:hAnsi="Times New Roman" w:cs="Times New Roman"/>
        </w:rPr>
        <w:t>re la intervención, se procura poner la rigurosidad académica al servicio de la utilidad social y la devolución de resultados a las organizaciones. El TFI se erige, por tanto, como un dispositivo que permite a la universidad transformarse, de manera más su</w:t>
      </w:r>
      <w:r>
        <w:rPr>
          <w:rFonts w:ascii="Times New Roman" w:eastAsia="Times New Roman" w:hAnsi="Times New Roman" w:cs="Times New Roman"/>
        </w:rPr>
        <w:t>til como institución educativa (junto con otras propuestas innovadoras) y de forma más consistente como Programa de formación en ESS, mientras contribuye a transformar el sector de la economía social y comunitaria.</w:t>
      </w:r>
    </w:p>
    <w:p w14:paraId="59117130"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Por último, se ha señalado que la virtual</w:t>
      </w:r>
      <w:r>
        <w:rPr>
          <w:rFonts w:ascii="Times New Roman" w:eastAsia="Times New Roman" w:hAnsi="Times New Roman" w:cs="Times New Roman"/>
        </w:rPr>
        <w:t>ización y consecuente federalización de la matrícula permite que los territorios dejan de ser objetos de estudio para ingresar a la universidad a través de los propios maestrandos y maestrandas, quienes, producen una teoría guiada por la realidad. Sin emba</w:t>
      </w:r>
      <w:r>
        <w:rPr>
          <w:rFonts w:ascii="Times New Roman" w:eastAsia="Times New Roman" w:hAnsi="Times New Roman" w:cs="Times New Roman"/>
        </w:rPr>
        <w:t xml:space="preserve">rgo, queda abierto el interrogante de si efectivamente los actores del territorio dejan adquieren conciencia de su rol activo y de las posibilidades de sostener esta dinámica, en una coyuntura de </w:t>
      </w:r>
      <w:proofErr w:type="spellStart"/>
      <w:r>
        <w:rPr>
          <w:rFonts w:ascii="Times New Roman" w:eastAsia="Times New Roman" w:hAnsi="Times New Roman" w:cs="Times New Roman"/>
        </w:rPr>
        <w:t>refeudalización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Kaltmeier</w:t>
      </w:r>
      <w:proofErr w:type="spellEnd"/>
      <w:r>
        <w:rPr>
          <w:rFonts w:ascii="Times New Roman" w:eastAsia="Times New Roman" w:hAnsi="Times New Roman" w:cs="Times New Roman"/>
        </w:rPr>
        <w:t>, 2020) como la actual, que implic</w:t>
      </w:r>
      <w:r>
        <w:rPr>
          <w:rFonts w:ascii="Times New Roman" w:eastAsia="Times New Roman" w:hAnsi="Times New Roman" w:cs="Times New Roman"/>
        </w:rPr>
        <w:t>a “el resurgimiento y el renacimiento de prácticas, valores y estructuras feudales en condiciones posmodernas” (p.100) donde grandes segmentos poblacionales que habían sido escuchados al menos parcialmente en las últimas décadas ahora se encuentran excluid</w:t>
      </w:r>
      <w:r>
        <w:rPr>
          <w:rFonts w:ascii="Times New Roman" w:eastAsia="Times New Roman" w:hAnsi="Times New Roman" w:cs="Times New Roman"/>
        </w:rPr>
        <w:t>os de la esfera del reconocimiento. Esta mayor desigualdad social sin duda impacta en las posibilidades de las y los maestrandos de producir conocimiento con actores sociales de una economía organizada por el trabajo y la comunidad. Defender esta orientaci</w:t>
      </w:r>
      <w:r>
        <w:rPr>
          <w:rFonts w:ascii="Times New Roman" w:eastAsia="Times New Roman" w:hAnsi="Times New Roman" w:cs="Times New Roman"/>
        </w:rPr>
        <w:t xml:space="preserve">ón descolonizadora en esta coyuntura histórica requiere de una escucha atenta, una flexibilidad en el diseño de estrategias y modalidades de intervención y una gran honestidad intelectual para </w:t>
      </w:r>
      <w:proofErr w:type="gramStart"/>
      <w:r>
        <w:rPr>
          <w:rFonts w:ascii="Times New Roman" w:eastAsia="Times New Roman" w:hAnsi="Times New Roman" w:cs="Times New Roman"/>
        </w:rPr>
        <w:t>asumir</w:t>
      </w:r>
      <w:proofErr w:type="gramEnd"/>
      <w:r>
        <w:rPr>
          <w:rFonts w:ascii="Times New Roman" w:eastAsia="Times New Roman" w:hAnsi="Times New Roman" w:cs="Times New Roman"/>
        </w:rPr>
        <w:t xml:space="preserve"> por ejemplo, cuándo es posible producir una mejora organ</w:t>
      </w:r>
      <w:r>
        <w:rPr>
          <w:rFonts w:ascii="Times New Roman" w:eastAsia="Times New Roman" w:hAnsi="Times New Roman" w:cs="Times New Roman"/>
        </w:rPr>
        <w:t>izacional y cuando no lo es y se requiere saltar a otro nivel o escala de intervención.</w:t>
      </w:r>
    </w:p>
    <w:p w14:paraId="0D3020BF" w14:textId="77777777" w:rsidR="00F91DFD" w:rsidRDefault="0029211B">
      <w:pPr>
        <w:spacing w:line="240" w:lineRule="auto"/>
        <w:jc w:val="both"/>
        <w:rPr>
          <w:rFonts w:ascii="Times New Roman" w:eastAsia="Times New Roman" w:hAnsi="Times New Roman" w:cs="Times New Roman"/>
        </w:rPr>
      </w:pPr>
      <w:r>
        <w:rPr>
          <w:rFonts w:ascii="Times New Roman" w:eastAsia="Times New Roman" w:hAnsi="Times New Roman" w:cs="Times New Roman"/>
        </w:rPr>
        <w:t>Aún con los desafíos señalados, entendemos que la ESS puede operar como un campo privilegiado para la integración de las funciones sustantivas de la universidad, reorga</w:t>
      </w:r>
      <w:r>
        <w:rPr>
          <w:rFonts w:ascii="Times New Roman" w:eastAsia="Times New Roman" w:hAnsi="Times New Roman" w:cs="Times New Roman"/>
        </w:rPr>
        <w:t>nizando la producción de saberes en función de las necesidades de las organizaciones e instituciones que procuran la valorización de los bienes comunes, el trabajo y la apropiación social del conocimiento.</w:t>
      </w:r>
    </w:p>
    <w:p w14:paraId="5CCB2D08" w14:textId="77777777" w:rsidR="00DC5560" w:rsidRDefault="00DC5560">
      <w:pPr>
        <w:spacing w:line="240" w:lineRule="auto"/>
        <w:rPr>
          <w:rFonts w:ascii="Times New Roman" w:eastAsia="Times New Roman" w:hAnsi="Times New Roman" w:cs="Times New Roman"/>
        </w:rPr>
      </w:pPr>
    </w:p>
    <w:p w14:paraId="7FBBC25B" w14:textId="3AEE2340" w:rsidR="00F91DFD" w:rsidRDefault="0029211B">
      <w:pPr>
        <w:spacing w:line="240" w:lineRule="auto"/>
        <w:rPr>
          <w:rFonts w:ascii="Times New Roman" w:eastAsia="Times New Roman" w:hAnsi="Times New Roman" w:cs="Times New Roman"/>
          <w:b/>
          <w:bCs/>
        </w:rPr>
      </w:pPr>
      <w:bookmarkStart w:id="0" w:name="_GoBack"/>
      <w:bookmarkEnd w:id="0"/>
      <w:r>
        <w:rPr>
          <w:rFonts w:ascii="Times New Roman" w:eastAsia="Times New Roman" w:hAnsi="Times New Roman" w:cs="Times New Roman"/>
          <w:b/>
          <w:bCs/>
        </w:rPr>
        <w:t xml:space="preserve">Referencias Bibliográficas </w:t>
      </w:r>
    </w:p>
    <w:p w14:paraId="611C1B29" w14:textId="77777777" w:rsidR="00F91DFD" w:rsidRDefault="0029211B">
      <w:pPr>
        <w:spacing w:after="20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Guelman</w:t>
      </w:r>
      <w:proofErr w:type="spellEnd"/>
      <w:r>
        <w:rPr>
          <w:rFonts w:ascii="Times New Roman" w:eastAsia="Times New Roman" w:hAnsi="Times New Roman" w:cs="Times New Roman"/>
        </w:rPr>
        <w:t xml:space="preserve">, A. y </w:t>
      </w:r>
      <w:proofErr w:type="spellStart"/>
      <w:r>
        <w:rPr>
          <w:rFonts w:ascii="Times New Roman" w:eastAsia="Times New Roman" w:hAnsi="Times New Roman" w:cs="Times New Roman"/>
        </w:rPr>
        <w:t>Palum</w:t>
      </w:r>
      <w:r>
        <w:rPr>
          <w:rFonts w:ascii="Times New Roman" w:eastAsia="Times New Roman" w:hAnsi="Times New Roman" w:cs="Times New Roman"/>
        </w:rPr>
        <w:t>bo</w:t>
      </w:r>
      <w:proofErr w:type="spellEnd"/>
      <w:r>
        <w:rPr>
          <w:rFonts w:ascii="Times New Roman" w:eastAsia="Times New Roman" w:hAnsi="Times New Roman" w:cs="Times New Roman"/>
        </w:rPr>
        <w:t xml:space="preserve">, M. (2018). </w:t>
      </w:r>
      <w:r>
        <w:rPr>
          <w:rFonts w:ascii="Times New Roman" w:eastAsia="Times New Roman" w:hAnsi="Times New Roman" w:cs="Times New Roman"/>
          <w:i/>
          <w:iCs/>
        </w:rPr>
        <w:t>Pedagogías descolonizadoras y formación en el trabajo en los movimientos populares</w:t>
      </w:r>
      <w:r>
        <w:rPr>
          <w:rFonts w:ascii="Times New Roman" w:eastAsia="Times New Roman" w:hAnsi="Times New Roman" w:cs="Times New Roman"/>
        </w:rPr>
        <w:t>. El Colectivo - CLACSO.</w:t>
      </w:r>
    </w:p>
    <w:p w14:paraId="0E4AE8B6" w14:textId="77777777" w:rsidR="00F91DFD" w:rsidRDefault="0029211B">
      <w:pPr>
        <w:spacing w:after="20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Hinkelammert</w:t>
      </w:r>
      <w:proofErr w:type="spellEnd"/>
      <w:r>
        <w:rPr>
          <w:rFonts w:ascii="Times New Roman" w:eastAsia="Times New Roman" w:hAnsi="Times New Roman" w:cs="Times New Roman"/>
        </w:rPr>
        <w:t xml:space="preserve">, Franz &amp; Mora Jiménez, Henry (2009). “Por una economía orientada hacia la reproducción de la vida”. </w:t>
      </w:r>
      <w:r>
        <w:rPr>
          <w:rFonts w:ascii="Times New Roman" w:eastAsia="Times New Roman" w:hAnsi="Times New Roman" w:cs="Times New Roman"/>
          <w:i/>
          <w:iCs/>
        </w:rPr>
        <w:t>Íconos Revista de Cie</w:t>
      </w:r>
      <w:r>
        <w:rPr>
          <w:rFonts w:ascii="Times New Roman" w:eastAsia="Times New Roman" w:hAnsi="Times New Roman" w:cs="Times New Roman"/>
          <w:i/>
          <w:iCs/>
        </w:rPr>
        <w:t>ncias Sociales</w:t>
      </w:r>
      <w:r>
        <w:rPr>
          <w:rFonts w:ascii="Times New Roman" w:eastAsia="Times New Roman" w:hAnsi="Times New Roman" w:cs="Times New Roman"/>
        </w:rPr>
        <w:t xml:space="preserve">.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33, pp. 39–49.</w:t>
      </w:r>
    </w:p>
    <w:p w14:paraId="6ACE4869" w14:textId="77777777" w:rsidR="00F91DFD" w:rsidRDefault="0029211B">
      <w:pPr>
        <w:spacing w:after="20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Hintze</w:t>
      </w:r>
      <w:proofErr w:type="spellEnd"/>
      <w:r>
        <w:rPr>
          <w:rFonts w:ascii="Times New Roman" w:eastAsia="Times New Roman" w:hAnsi="Times New Roman" w:cs="Times New Roman"/>
        </w:rPr>
        <w:t>, S. (2006) Notas sobre investigación académica y no académica. Material para la docencia ICO/UNGS.</w:t>
      </w:r>
    </w:p>
    <w:p w14:paraId="06BCCA20" w14:textId="77777777" w:rsidR="00F91DFD" w:rsidRDefault="0029211B">
      <w:pPr>
        <w:spacing w:after="20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Hintze</w:t>
      </w:r>
      <w:proofErr w:type="spellEnd"/>
      <w:r>
        <w:rPr>
          <w:rFonts w:ascii="Times New Roman" w:eastAsia="Times New Roman" w:hAnsi="Times New Roman" w:cs="Times New Roman"/>
        </w:rPr>
        <w:t xml:space="preserve">, S. (1996): Problemáticas, enfoques y técnicas en el estudio de las políticas sociales. </w:t>
      </w:r>
      <w:proofErr w:type="spellStart"/>
      <w:r>
        <w:rPr>
          <w:rFonts w:ascii="Times New Roman" w:eastAsia="Times New Roman" w:hAnsi="Times New Roman" w:cs="Times New Roman"/>
        </w:rPr>
        <w:t>Hintze</w:t>
      </w:r>
      <w:proofErr w:type="spellEnd"/>
      <w:r>
        <w:rPr>
          <w:rFonts w:ascii="Times New Roman" w:eastAsia="Times New Roman" w:hAnsi="Times New Roman" w:cs="Times New Roman"/>
        </w:rPr>
        <w:t xml:space="preserve">, S.: </w:t>
      </w:r>
      <w:r>
        <w:rPr>
          <w:rFonts w:ascii="Times New Roman" w:eastAsia="Times New Roman" w:hAnsi="Times New Roman" w:cs="Times New Roman"/>
          <w:i/>
          <w:iCs/>
        </w:rPr>
        <w:t>Políticas</w:t>
      </w:r>
      <w:r>
        <w:rPr>
          <w:rFonts w:ascii="Times New Roman" w:eastAsia="Times New Roman" w:hAnsi="Times New Roman" w:cs="Times New Roman"/>
          <w:i/>
          <w:iCs/>
        </w:rPr>
        <w:t xml:space="preserve"> sociales. Contribución al debate teórico-metodológico</w:t>
      </w:r>
      <w:r>
        <w:rPr>
          <w:rFonts w:ascii="Times New Roman" w:eastAsia="Times New Roman" w:hAnsi="Times New Roman" w:cs="Times New Roman"/>
        </w:rPr>
        <w:t>. CEA-CBC.</w:t>
      </w:r>
    </w:p>
    <w:p w14:paraId="13A2E959" w14:textId="77777777" w:rsidR="00F91DFD" w:rsidRDefault="0029211B">
      <w:pPr>
        <w:spacing w:after="20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Kaltmeier</w:t>
      </w:r>
      <w:proofErr w:type="spellEnd"/>
      <w:r>
        <w:rPr>
          <w:rFonts w:ascii="Times New Roman" w:eastAsia="Times New Roman" w:hAnsi="Times New Roman" w:cs="Times New Roman"/>
        </w:rPr>
        <w:t xml:space="preserve">, O. (2020). Horizontal en lo vertical. ¿O cómo descolonizar las metodologías en contextos de extrema desigualdad y de la crisis planetaria? En I. Cornejo &amp; M. </w:t>
      </w:r>
      <w:proofErr w:type="spellStart"/>
      <w:r>
        <w:rPr>
          <w:rFonts w:ascii="Times New Roman" w:eastAsia="Times New Roman" w:hAnsi="Times New Roman" w:cs="Times New Roman"/>
        </w:rPr>
        <w:t>Rufer</w:t>
      </w:r>
      <w:proofErr w:type="spellEnd"/>
      <w:r>
        <w:rPr>
          <w:rFonts w:ascii="Times New Roman" w:eastAsia="Times New Roman" w:hAnsi="Times New Roman" w:cs="Times New Roman"/>
        </w:rPr>
        <w:t xml:space="preserve"> (Eds.), </w:t>
      </w:r>
      <w:r>
        <w:rPr>
          <w:rFonts w:ascii="Times New Roman" w:eastAsia="Times New Roman" w:hAnsi="Times New Roman" w:cs="Times New Roman"/>
          <w:i/>
          <w:iCs/>
        </w:rPr>
        <w:t>Horizont</w:t>
      </w:r>
      <w:r>
        <w:rPr>
          <w:rFonts w:ascii="Times New Roman" w:eastAsia="Times New Roman" w:hAnsi="Times New Roman" w:cs="Times New Roman"/>
          <w:i/>
          <w:iCs/>
        </w:rPr>
        <w:t>alidad: Hacia una crítica de la metodología</w:t>
      </w:r>
      <w:r>
        <w:rPr>
          <w:rFonts w:ascii="Times New Roman" w:eastAsia="Times New Roman" w:hAnsi="Times New Roman" w:cs="Times New Roman"/>
        </w:rPr>
        <w:t xml:space="preserve"> (pp. 93–122). CLACSO; CALAS.</w:t>
      </w:r>
    </w:p>
    <w:p w14:paraId="6BDEA5E4" w14:textId="77777777" w:rsidR="00F91DFD" w:rsidRDefault="0029211B">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 xml:space="preserve">Lander, E. (2004). Eurocentrismo, saberes modernos y la naturalización del orden global del capital. En S. </w:t>
      </w:r>
      <w:proofErr w:type="spellStart"/>
      <w:r>
        <w:rPr>
          <w:rFonts w:ascii="Times New Roman" w:eastAsia="Times New Roman" w:hAnsi="Times New Roman" w:cs="Times New Roman"/>
        </w:rPr>
        <w:t>Dube</w:t>
      </w:r>
      <w:proofErr w:type="spellEnd"/>
      <w:r>
        <w:rPr>
          <w:rFonts w:ascii="Times New Roman" w:eastAsia="Times New Roman" w:hAnsi="Times New Roman" w:cs="Times New Roman"/>
        </w:rPr>
        <w:t xml:space="preserve">, I. B. </w:t>
      </w:r>
      <w:proofErr w:type="spellStart"/>
      <w:r>
        <w:rPr>
          <w:rFonts w:ascii="Times New Roman" w:eastAsia="Times New Roman" w:hAnsi="Times New Roman" w:cs="Times New Roman"/>
        </w:rPr>
        <w:t>Dube</w:t>
      </w:r>
      <w:proofErr w:type="spellEnd"/>
      <w:r>
        <w:rPr>
          <w:rFonts w:ascii="Times New Roman" w:eastAsia="Times New Roman" w:hAnsi="Times New Roman" w:cs="Times New Roman"/>
        </w:rPr>
        <w:t xml:space="preserve">, &amp; W. D. </w:t>
      </w:r>
      <w:proofErr w:type="spellStart"/>
      <w:r>
        <w:rPr>
          <w:rFonts w:ascii="Times New Roman" w:eastAsia="Times New Roman" w:hAnsi="Times New Roman" w:cs="Times New Roman"/>
        </w:rPr>
        <w:t>Mignolo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Coords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Modernidades coloniales</w:t>
      </w:r>
      <w:r>
        <w:rPr>
          <w:rFonts w:ascii="Times New Roman" w:eastAsia="Times New Roman" w:hAnsi="Times New Roman" w:cs="Times New Roman"/>
        </w:rPr>
        <w:t xml:space="preserve"> (pp. 20</w:t>
      </w:r>
      <w:r>
        <w:rPr>
          <w:rFonts w:ascii="Times New Roman" w:eastAsia="Times New Roman" w:hAnsi="Times New Roman" w:cs="Times New Roman"/>
        </w:rPr>
        <w:t>1–242). El Colegio de México.</w:t>
      </w:r>
    </w:p>
    <w:p w14:paraId="578EFC42" w14:textId="77777777" w:rsidR="00F91DFD" w:rsidRDefault="0029211B">
      <w:pPr>
        <w:spacing w:after="20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Palumbo</w:t>
      </w:r>
      <w:proofErr w:type="spellEnd"/>
      <w:r>
        <w:rPr>
          <w:rFonts w:ascii="Times New Roman" w:eastAsia="Times New Roman" w:hAnsi="Times New Roman" w:cs="Times New Roman"/>
        </w:rPr>
        <w:t xml:space="preserve">, M. &amp; </w:t>
      </w:r>
      <w:proofErr w:type="spellStart"/>
      <w:r>
        <w:rPr>
          <w:rFonts w:ascii="Times New Roman" w:eastAsia="Times New Roman" w:hAnsi="Times New Roman" w:cs="Times New Roman"/>
        </w:rPr>
        <w:t>Vacca</w:t>
      </w:r>
      <w:proofErr w:type="spellEnd"/>
      <w:r>
        <w:rPr>
          <w:rFonts w:ascii="Times New Roman" w:eastAsia="Times New Roman" w:hAnsi="Times New Roman" w:cs="Times New Roman"/>
        </w:rPr>
        <w:t xml:space="preserve">, L. (2024). Orlando Fals Borda y el laboratorio metodológico: investigación crítica y comprometida en el período 1970-1975. </w:t>
      </w:r>
      <w:r>
        <w:rPr>
          <w:rFonts w:ascii="Times New Roman" w:eastAsia="Times New Roman" w:hAnsi="Times New Roman" w:cs="Times New Roman"/>
          <w:i/>
          <w:iCs/>
        </w:rPr>
        <w:t>Cambios y Permanencias</w:t>
      </w:r>
      <w:r>
        <w:rPr>
          <w:rFonts w:ascii="Times New Roman" w:eastAsia="Times New Roman" w:hAnsi="Times New Roman" w:cs="Times New Roman"/>
        </w:rPr>
        <w:t>, 15 (2), pp.105-122.</w:t>
      </w:r>
    </w:p>
    <w:p w14:paraId="2370677D" w14:textId="77777777" w:rsidR="00F91DFD" w:rsidRDefault="0029211B">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 xml:space="preserve">Pastore, R. (2015). Las universidades </w:t>
      </w:r>
      <w:r>
        <w:rPr>
          <w:rFonts w:ascii="Times New Roman" w:eastAsia="Times New Roman" w:hAnsi="Times New Roman" w:cs="Times New Roman"/>
        </w:rPr>
        <w:t xml:space="preserve">públicas argentinas y la Economía Social y Solidaria. Hacia una educación democrática y emancipadora. </w:t>
      </w:r>
      <w:r>
        <w:rPr>
          <w:rFonts w:ascii="Times New Roman" w:eastAsia="Times New Roman" w:hAnsi="Times New Roman" w:cs="Times New Roman"/>
          <w:i/>
          <w:iCs/>
        </w:rPr>
        <w:t>+E: Revista de Extensión Universitaria</w:t>
      </w:r>
      <w:r>
        <w:rPr>
          <w:rFonts w:ascii="Times New Roman" w:eastAsia="Times New Roman" w:hAnsi="Times New Roman" w:cs="Times New Roman"/>
        </w:rPr>
        <w:t>, (5), 20–31.</w:t>
      </w:r>
    </w:p>
    <w:p w14:paraId="2A3EF563" w14:textId="77777777" w:rsidR="00F91DFD" w:rsidRDefault="0029211B">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Ramírez Gallegos, R., &amp; Zaruma Flores, J. (2025). La democracia como valor de uso de la universidad pe</w:t>
      </w:r>
      <w:r>
        <w:rPr>
          <w:rFonts w:ascii="Times New Roman" w:eastAsia="Times New Roman" w:hAnsi="Times New Roman" w:cs="Times New Roman"/>
        </w:rPr>
        <w:t xml:space="preserve">riférica. </w:t>
      </w:r>
      <w:r>
        <w:rPr>
          <w:rFonts w:ascii="Times New Roman" w:eastAsia="Times New Roman" w:hAnsi="Times New Roman" w:cs="Times New Roman"/>
          <w:i/>
          <w:iCs/>
        </w:rPr>
        <w:t>Integración y Conocimiento</w:t>
      </w:r>
      <w:r>
        <w:rPr>
          <w:rFonts w:ascii="Times New Roman" w:eastAsia="Times New Roman" w:hAnsi="Times New Roman" w:cs="Times New Roman"/>
        </w:rPr>
        <w:t>, 14(1), 1–25.</w:t>
      </w:r>
    </w:p>
    <w:p w14:paraId="4C589BAC" w14:textId="77777777" w:rsidR="00F91DFD" w:rsidRDefault="0029211B">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Stein, N. S. (2020). La Red Universitaria de Economía Social Solidaria (RUESS) como promotora de espacios intersectoriales y prácticas integrales. Algunas notas preliminares. En J. F. Álvarez, H. Zabala, O</w:t>
      </w:r>
      <w:r>
        <w:rPr>
          <w:rFonts w:ascii="Times New Roman" w:eastAsia="Times New Roman" w:hAnsi="Times New Roman" w:cs="Times New Roman"/>
        </w:rPr>
        <w:t xml:space="preserve">. Salgado, D. E. Sierra y F. Salazar (Eds.), </w:t>
      </w:r>
      <w:r>
        <w:rPr>
          <w:rFonts w:ascii="Times New Roman" w:eastAsia="Times New Roman" w:hAnsi="Times New Roman" w:cs="Times New Roman"/>
          <w:i/>
          <w:iCs/>
        </w:rPr>
        <w:t>Hechos y emprendimientos cooperativos de transformación: Actas del XI Encuentro de Investigadores Latinoamericanos en Cooperativismo</w:t>
      </w:r>
      <w:r>
        <w:rPr>
          <w:rFonts w:ascii="Times New Roman" w:eastAsia="Times New Roman" w:hAnsi="Times New Roman" w:cs="Times New Roman"/>
        </w:rPr>
        <w:t xml:space="preserve"> (pp. 92–105). CIRIEC Colombia.</w:t>
      </w:r>
    </w:p>
    <w:sectPr w:rsidR="00F91DFD">
      <w:headerReference w:type="default" r:id="rId7"/>
      <w:footerReference w:type="default" r:id="rId8"/>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9ED56" w14:textId="77777777" w:rsidR="0029211B" w:rsidRDefault="0029211B">
      <w:pPr>
        <w:spacing w:after="0" w:line="240" w:lineRule="auto"/>
      </w:pPr>
      <w:r>
        <w:separator/>
      </w:r>
    </w:p>
  </w:endnote>
  <w:endnote w:type="continuationSeparator" w:id="0">
    <w:p w14:paraId="0EF63C07" w14:textId="77777777" w:rsidR="0029211B" w:rsidRDefault="00292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16DDCFA8-8760-4D07-9D90-E4E575893372}"/>
    <w:embedItalic r:id="rId2" w:fontKey="{D06E9B09-A079-4C06-84B1-CF5451D31653}"/>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3924251E-5E08-41BE-8DA7-3E54A186FE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59D73" w14:textId="77777777" w:rsidR="00F91DFD" w:rsidRDefault="0029211B">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66D89CF2" wp14:editId="1F09E362">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40D63C83" w14:textId="77777777" w:rsidR="00F91DFD" w:rsidRDefault="00F91DFD">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14CCA" w14:textId="77777777" w:rsidR="0029211B" w:rsidRDefault="0029211B">
      <w:pPr>
        <w:spacing w:after="0" w:line="240" w:lineRule="auto"/>
      </w:pPr>
      <w:r>
        <w:separator/>
      </w:r>
    </w:p>
  </w:footnote>
  <w:footnote w:type="continuationSeparator" w:id="0">
    <w:p w14:paraId="08814A59" w14:textId="77777777" w:rsidR="0029211B" w:rsidRDefault="00292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67B5A" w14:textId="77777777" w:rsidR="00F91DFD" w:rsidRDefault="0029211B">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2A724597" wp14:editId="7CE48BEA">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DFD"/>
    <w:rsid w:val="0029211B"/>
    <w:rsid w:val="00DC5560"/>
    <w:rsid w:val="00F91D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7E905"/>
  <w15:docId w15:val="{B4000693-62BD-4944-A819-02AD68C1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PUte4oL8vp41xwWsaYEwnNQCDQ==">CgMxLjAaHwoBMBIaChgICVIUChJ0YWJsZS5iYWluanQ1Ymo0b3YaHwoBMRIaChgICVIUChJ0YWJsZS5wYTZleDhqdXRzeHcaHwoBMhIaChgICVIUChJ0YWJsZS5tcDRzZ2hod2o5dmk4AHIhMTFmR2Npd2dndGZOSEFrcEVfVHBMYldLTWtEMl9MdWJo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7379</Words>
  <Characters>40585</Characters>
  <Application>Microsoft Office Word</Application>
  <DocSecurity>0</DocSecurity>
  <Lines>338</Lines>
  <Paragraphs>95</Paragraphs>
  <ScaleCrop>false</ScaleCrop>
  <Company/>
  <LinksUpToDate>false</LinksUpToDate>
  <CharactersWithSpaces>47869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2026-06-29T16:15:00Z</dcterms:created>
  <dcterms:modified xsi:type="dcterms:W3CDTF">2026-06-29T16:15:00Z</dcterms:modified>
</cp:coreProperties>
</file>