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7D35F9F7" w14:textId="77777777" w:rsidR="004F72EC" w:rsidRPr="004F72EC" w:rsidRDefault="004F72EC" w:rsidP="004F72EC">
      <w:pPr>
        <w:jc w:val="center"/>
        <w:rPr>
          <w:rFonts w:ascii="Times New Roman" w:hAnsi="Times New Roman" w:cs="Times New Roman"/>
          <w:b/>
          <w:bCs/>
        </w:rPr>
      </w:pPr>
      <w:r w:rsidRPr="004F72EC">
        <w:rPr>
          <w:rFonts w:ascii="Times New Roman" w:hAnsi="Times New Roman" w:cs="Times New Roman"/>
          <w:b/>
          <w:bCs/>
        </w:rPr>
        <w:t>ESI, vínculos y poder en territorios científico-educativos: dos propuestas estudiantiles desde la extensión crítica</w:t>
      </w:r>
    </w:p>
    <w:p w14:paraId="43C49479" w14:textId="77777777" w:rsidR="005F3B2E" w:rsidRPr="00BA642E" w:rsidRDefault="005F3B2E" w:rsidP="001923DC">
      <w:pPr>
        <w:jc w:val="center"/>
        <w:rPr>
          <w:rFonts w:ascii="Times New Roman" w:hAnsi="Times New Roman" w:cs="Times New Roman"/>
        </w:rPr>
      </w:pPr>
    </w:p>
    <w:p w14:paraId="4E738780" w14:textId="71BADFD0" w:rsidR="005F3B2E" w:rsidRPr="00BA642E" w:rsidRDefault="004F72EC" w:rsidP="005F3B2E">
      <w:pPr>
        <w:spacing w:after="0" w:line="240" w:lineRule="auto"/>
        <w:jc w:val="right"/>
        <w:rPr>
          <w:rFonts w:ascii="Times New Roman" w:hAnsi="Times New Roman" w:cs="Times New Roman"/>
        </w:rPr>
      </w:pPr>
      <w:r>
        <w:rPr>
          <w:rFonts w:ascii="Times New Roman" w:hAnsi="Times New Roman" w:cs="Times New Roman"/>
        </w:rPr>
        <w:t>Leguto, Alcides José</w:t>
      </w:r>
    </w:p>
    <w:p w14:paraId="6C2AECCA" w14:textId="5B5BEA2D" w:rsidR="005F3B2E" w:rsidRPr="00BA642E" w:rsidRDefault="004F72EC" w:rsidP="005F3B2E">
      <w:pPr>
        <w:spacing w:after="0" w:line="240" w:lineRule="auto"/>
        <w:jc w:val="right"/>
        <w:rPr>
          <w:rFonts w:ascii="Times New Roman" w:hAnsi="Times New Roman" w:cs="Times New Roman"/>
        </w:rPr>
      </w:pPr>
      <w:r>
        <w:rPr>
          <w:rFonts w:ascii="Times New Roman" w:hAnsi="Times New Roman" w:cs="Times New Roman"/>
        </w:rPr>
        <w:t>Facultad de Ciencias Bioquímicas y Farmacéuticas, Universidad Nacional de Rosario</w:t>
      </w:r>
    </w:p>
    <w:p w14:paraId="7D0026CD" w14:textId="127CD301" w:rsidR="005F3B2E" w:rsidRPr="00BA642E" w:rsidRDefault="004F72EC" w:rsidP="005F3B2E">
      <w:pPr>
        <w:spacing w:after="0" w:line="240" w:lineRule="auto"/>
        <w:jc w:val="right"/>
        <w:rPr>
          <w:rFonts w:ascii="Times New Roman" w:hAnsi="Times New Roman" w:cs="Times New Roman"/>
        </w:rPr>
      </w:pPr>
      <w:r>
        <w:rPr>
          <w:rFonts w:ascii="Times New Roman" w:hAnsi="Times New Roman" w:cs="Times New Roman"/>
        </w:rPr>
        <w:t>aleguto@fbioyf.unr.edu.ar</w:t>
      </w:r>
    </w:p>
    <w:p w14:paraId="1FA0F857" w14:textId="77777777" w:rsidR="005F3B2E" w:rsidRPr="00BA642E" w:rsidRDefault="005F3B2E" w:rsidP="005F3B2E">
      <w:pPr>
        <w:rPr>
          <w:rFonts w:ascii="Times New Roman" w:hAnsi="Times New Roman" w:cs="Times New Roman"/>
        </w:rPr>
      </w:pPr>
    </w:p>
    <w:p w14:paraId="1275A9C7" w14:textId="04E7C0E8" w:rsidR="005F3B2E" w:rsidRPr="00BA642E" w:rsidRDefault="005F3B2E" w:rsidP="005F3B2E">
      <w:pPr>
        <w:spacing w:after="0" w:line="240" w:lineRule="auto"/>
        <w:jc w:val="right"/>
        <w:rPr>
          <w:rFonts w:ascii="Times New Roman" w:hAnsi="Times New Roman" w:cs="Times New Roman"/>
        </w:rPr>
      </w:pPr>
      <w:proofErr w:type="spellStart"/>
      <w:r w:rsidRPr="00BA642E">
        <w:rPr>
          <w:rFonts w:ascii="Times New Roman" w:hAnsi="Times New Roman" w:cs="Times New Roman"/>
        </w:rPr>
        <w:t>A</w:t>
      </w:r>
      <w:r w:rsidR="004F72EC">
        <w:rPr>
          <w:rFonts w:ascii="Times New Roman" w:hAnsi="Times New Roman" w:cs="Times New Roman"/>
        </w:rPr>
        <w:t>vila</w:t>
      </w:r>
      <w:proofErr w:type="spellEnd"/>
      <w:r w:rsidR="004F72EC">
        <w:rPr>
          <w:rFonts w:ascii="Times New Roman" w:hAnsi="Times New Roman" w:cs="Times New Roman"/>
        </w:rPr>
        <w:t>, Aylén</w:t>
      </w:r>
    </w:p>
    <w:p w14:paraId="5BF0EC33" w14:textId="77777777" w:rsidR="004F72EC" w:rsidRDefault="004F72EC" w:rsidP="005F3B2E">
      <w:pPr>
        <w:spacing w:after="0" w:line="240" w:lineRule="auto"/>
        <w:jc w:val="right"/>
        <w:rPr>
          <w:rFonts w:ascii="Times New Roman" w:hAnsi="Times New Roman" w:cs="Times New Roman"/>
        </w:rPr>
      </w:pPr>
      <w:r>
        <w:rPr>
          <w:rFonts w:ascii="Times New Roman" w:hAnsi="Times New Roman" w:cs="Times New Roman"/>
        </w:rPr>
        <w:t>Universidad Nacional de Rosario</w:t>
      </w:r>
      <w:r w:rsidRPr="00BA642E">
        <w:rPr>
          <w:rFonts w:ascii="Times New Roman" w:hAnsi="Times New Roman" w:cs="Times New Roman"/>
        </w:rPr>
        <w:t xml:space="preserve"> </w:t>
      </w:r>
    </w:p>
    <w:p w14:paraId="3CAC774D" w14:textId="339618C0" w:rsidR="005F3B2E" w:rsidRPr="00BA642E" w:rsidRDefault="004F72EC" w:rsidP="005F3B2E">
      <w:pPr>
        <w:spacing w:after="0" w:line="240" w:lineRule="auto"/>
        <w:jc w:val="right"/>
        <w:rPr>
          <w:rFonts w:ascii="Times New Roman" w:hAnsi="Times New Roman" w:cs="Times New Roman"/>
        </w:rPr>
      </w:pPr>
      <w:r>
        <w:rPr>
          <w:rFonts w:ascii="Times New Roman" w:hAnsi="Times New Roman" w:cs="Times New Roman"/>
        </w:rPr>
        <w:t>aylen.avila@gmail.com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D73DB11" w14:textId="20403E44" w:rsidR="005F3B2E" w:rsidRPr="00BA642E" w:rsidRDefault="00C802F5" w:rsidP="004F72EC">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7B9027E2" w14:textId="77777777" w:rsidR="00BA642E" w:rsidRPr="00BA642E" w:rsidRDefault="00BA642E" w:rsidP="005F3B2E">
      <w:pPr>
        <w:rPr>
          <w:rFonts w:ascii="Times New Roman" w:hAnsi="Times New Roman" w:cs="Times New Roman"/>
          <w:b/>
          <w:bCs/>
        </w:rPr>
      </w:pPr>
    </w:p>
    <w:p w14:paraId="7E1D3740" w14:textId="77777777" w:rsidR="004F72EC" w:rsidRPr="004F72EC" w:rsidRDefault="00BA642E" w:rsidP="004F72EC">
      <w:pPr>
        <w:spacing w:line="240" w:lineRule="auto"/>
        <w:jc w:val="both"/>
        <w:rPr>
          <w:rFonts w:ascii="Times New Roman" w:hAnsi="Times New Roman" w:cs="Times New Roman"/>
        </w:rPr>
      </w:pPr>
      <w:r w:rsidRPr="004F72EC">
        <w:rPr>
          <w:rFonts w:ascii="Times New Roman" w:hAnsi="Times New Roman" w:cs="Times New Roman"/>
          <w:b/>
          <w:bCs/>
          <w:lang w:val="es-AR"/>
        </w:rPr>
        <w:t>Resumen:</w:t>
      </w:r>
      <w:r w:rsidR="007B5B5F" w:rsidRPr="004F72EC">
        <w:rPr>
          <w:rFonts w:ascii="Times New Roman" w:hAnsi="Times New Roman" w:cs="Times New Roman"/>
          <w:b/>
          <w:bCs/>
          <w:lang w:val="es-AR"/>
        </w:rPr>
        <w:t xml:space="preserve"> </w:t>
      </w:r>
      <w:r w:rsidR="004F72EC" w:rsidRPr="004F72EC">
        <w:rPr>
          <w:rFonts w:ascii="Times New Roman" w:hAnsi="Times New Roman" w:cs="Times New Roman"/>
        </w:rPr>
        <w:t xml:space="preserve">La Educación Sexual Integral (ESI) constituye una herramienta pedagógica, didáctica y política que trasciende su tradicional reducción al enfoque biomédico para abarcar dimensiones afectivas, sociales y éticas de los vínculos humanos. En el ámbito de las ciencias experimentales, los sesgos positivistas propios de las disciplinas suelen permear aspectos institucionales como la estructuración de jerarquías, el trato entre pares y la interacción con comunidades externas, naturalizando relaciones de poder desiguales que afectan especialmente a mujeres, disidencias sexuales y poblaciones minorizadas. Este trabajo presenta dos experiencias de extensión universitaria desarrolladas en la Facultad de Ciencias Bioquímicas y Farmacéuticas de la Universidad Nacional de Rosario, en el marco de la asignatura electiva "ESI en nuestra práctica", con el objetivo de visibilizar y problematizar estas dinámicas en territorios del sistema científico-educativo. La primera experiencia consistió en un taller destinado a integrantes del Instituto de Biología Molecular y Celular de Rosario (IBR-CONICET), orientado a reflexionar colectivamente sobre las relaciones de poder desiguales en el entorno laboral científico. A través de actividades reflexivas e instancias de debate horizontal, los participantes identificaron microviolencias cotidianas, formas de discriminación por género y nacionalidad, y mecanismos de </w:t>
      </w:r>
      <w:proofErr w:type="spellStart"/>
      <w:r w:rsidR="004F72EC" w:rsidRPr="004F72EC">
        <w:rPr>
          <w:rFonts w:ascii="Times New Roman" w:hAnsi="Times New Roman" w:cs="Times New Roman"/>
        </w:rPr>
        <w:t>invisibilización</w:t>
      </w:r>
      <w:proofErr w:type="spellEnd"/>
      <w:r w:rsidR="004F72EC" w:rsidRPr="004F72EC">
        <w:rPr>
          <w:rFonts w:ascii="Times New Roman" w:hAnsi="Times New Roman" w:cs="Times New Roman"/>
        </w:rPr>
        <w:t xml:space="preserve"> del trabajo de becarios y personal de apoyo. El encuentro también propició la construcción colectiva de estrategias concretas para mejorar el clima institucional, como la creación de reglas de convivencia y redes de apoyo entre colegas. La segunda experiencia fue un taller dirigido a estudiantes avanzados de la carrera de Bioquímica, centrado en analizar cómo la ESI atraviesa la práctica bioquímica cotidiana, particularmente en la interpretación de resultados de laboratorio y la comunicación con pacientes. A partir de una situación disparadora vinculada a una campaña de detección de VIH, se abrió un debate sobre el androcentrismo en la ciencia, el tratamiento de personas intersex y trans en el sistema de salud, y la violencia epistémica presente en los protocolos profesionales. Ambas experiencias evidencian que la incorporación de la ESI en espacios universitarios e instituciones científicas no solo promueve vínculos más respetuosos e </w:t>
      </w:r>
      <w:r w:rsidR="004F72EC" w:rsidRPr="004F72EC">
        <w:rPr>
          <w:rFonts w:ascii="Times New Roman" w:hAnsi="Times New Roman" w:cs="Times New Roman"/>
        </w:rPr>
        <w:lastRenderedPageBreak/>
        <w:t>igualitarios, sino que también interpela los fundamentos epistemológicos de las disciplinas y sus prácticas. La extensión universitaria crítica emerge aquí como un dispositivo privilegiado para llevar estas discusiones a territorios que históricamente han quedado fuera del alcance de la normativa ESI, dada la autonomía universitaria para diseñar sus planes de estudio. Se concluye que la formación en ESI en carreras científicas constituye un primer paso ineludible hacia la transformación de culturas institucionales que reproducen desigualdades, y que las experiencias en territorio son instancias fundamentales para construir comunidades académicas más justas, inclusivas y conscientes de su responsabilidad social.</w:t>
      </w:r>
    </w:p>
    <w:p w14:paraId="2994BAB3" w14:textId="7997332F" w:rsidR="00BA642E" w:rsidRPr="004F72EC" w:rsidRDefault="00BA642E" w:rsidP="007B5B5F">
      <w:pPr>
        <w:spacing w:line="240" w:lineRule="auto"/>
        <w:jc w:val="both"/>
        <w:rPr>
          <w:rFonts w:ascii="Times New Roman" w:hAnsi="Times New Roman" w:cs="Times New Roman"/>
          <w:b/>
          <w:bCs/>
          <w:lang w:val="es-AR"/>
        </w:rPr>
      </w:pPr>
      <w:r w:rsidRPr="004F72EC">
        <w:rPr>
          <w:rFonts w:ascii="Times New Roman" w:hAnsi="Times New Roman" w:cs="Times New Roman"/>
          <w:b/>
          <w:bCs/>
          <w:lang w:val="es-AR"/>
        </w:rPr>
        <w:t xml:space="preserve">Palabras clave: </w:t>
      </w:r>
      <w:r w:rsidR="004F72EC">
        <w:rPr>
          <w:rFonts w:ascii="Times New Roman" w:hAnsi="Times New Roman" w:cs="Times New Roman"/>
          <w:lang w:val="es-AR"/>
        </w:rPr>
        <w:t>ESI, poder, vínculos</w:t>
      </w:r>
      <w:r w:rsidRPr="004F72EC">
        <w:rPr>
          <w:rFonts w:ascii="Times New Roman" w:hAnsi="Times New Roman" w:cs="Times New Roman"/>
          <w:lang w:val="es-AR"/>
        </w:rPr>
        <w:t xml:space="preserve"> </w:t>
      </w:r>
    </w:p>
    <w:p w14:paraId="6A5547A1" w14:textId="36B7FAC2" w:rsidR="00BA642E" w:rsidRPr="004F72EC" w:rsidRDefault="00BA642E" w:rsidP="007B5B5F">
      <w:pPr>
        <w:spacing w:line="240" w:lineRule="auto"/>
        <w:rPr>
          <w:rFonts w:ascii="Times New Roman" w:hAnsi="Times New Roman" w:cs="Times New Roman"/>
          <w:b/>
          <w:bCs/>
          <w:lang w:val="en-GB"/>
        </w:rPr>
      </w:pPr>
      <w:proofErr w:type="spellStart"/>
      <w:r w:rsidRPr="004F72EC">
        <w:rPr>
          <w:rFonts w:ascii="Times New Roman" w:hAnsi="Times New Roman" w:cs="Times New Roman"/>
          <w:b/>
          <w:bCs/>
          <w:lang w:val="en-GB"/>
        </w:rPr>
        <w:t>Introducción</w:t>
      </w:r>
      <w:proofErr w:type="spellEnd"/>
    </w:p>
    <w:p w14:paraId="402CF45C" w14:textId="6CC22A04" w:rsidR="004F72EC" w:rsidRPr="004F72EC" w:rsidRDefault="004F72EC" w:rsidP="004F72EC">
      <w:pPr>
        <w:spacing w:line="240" w:lineRule="auto"/>
        <w:jc w:val="both"/>
        <w:rPr>
          <w:rFonts w:ascii="Times New Roman" w:hAnsi="Times New Roman" w:cs="Times New Roman"/>
        </w:rPr>
      </w:pPr>
      <w:r>
        <w:rPr>
          <w:rFonts w:ascii="Times New Roman" w:hAnsi="Times New Roman" w:cs="Times New Roman"/>
        </w:rPr>
        <w:t xml:space="preserve"> </w:t>
      </w:r>
      <w:r w:rsidRPr="004F72EC">
        <w:rPr>
          <w:rFonts w:ascii="Times New Roman" w:hAnsi="Times New Roman" w:cs="Times New Roman"/>
        </w:rPr>
        <w:t xml:space="preserve">Las transformaciones que atraviesan las universidades públicas en el siglo XXI las convocan a asumirse como actores clave en los procesos de desarrollo social, cultural y político de sus entornos. En este escenario, la relación entre la universidad y el territorio no puede pensarse como un mero canal unidireccional de transferencia de conocimientos listos para el consumo, sino como un vínculo multicausal, polisémico, situado y esencialmente dinámico a lo largo del tiempo. La extensión universitaria, concebida desde una perspectiva crítica, emerge como el dispositivo pedagógico y político privilegiado para materializar esta articulación. Lejos de las viejas concepciones asistencialistas o difusionistas, la extensión crítica propone un diálogo de saberes horizontal, donde la academia se ve interpelada por las realidades complejas de sus territorios y, a su vez, contribuye a la </w:t>
      </w:r>
      <w:proofErr w:type="spellStart"/>
      <w:r w:rsidRPr="004F72EC">
        <w:rPr>
          <w:rFonts w:ascii="Times New Roman" w:hAnsi="Times New Roman" w:cs="Times New Roman"/>
        </w:rPr>
        <w:t>co-construcción</w:t>
      </w:r>
      <w:proofErr w:type="spellEnd"/>
      <w:r w:rsidRPr="004F72EC">
        <w:rPr>
          <w:rFonts w:ascii="Times New Roman" w:hAnsi="Times New Roman" w:cs="Times New Roman"/>
        </w:rPr>
        <w:t xml:space="preserve"> de demandas y soluciones junto a las comunidades locales, instituciones y movimientos sociales.</w:t>
      </w:r>
    </w:p>
    <w:p w14:paraId="17A74E15"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Para comprender el alcance transformador de este enfoque, resulta indispensable inscribir la práctica extensionista dentro de un marco teórico conceptual preciso. Siguiendo las conceptualizaciones fundantes de la extensión universitaria crítica (</w:t>
      </w:r>
      <w:proofErr w:type="spellStart"/>
      <w:r w:rsidRPr="004F72EC">
        <w:rPr>
          <w:rFonts w:ascii="Times New Roman" w:hAnsi="Times New Roman" w:cs="Times New Roman"/>
        </w:rPr>
        <w:t>Tommasino</w:t>
      </w:r>
      <w:proofErr w:type="spellEnd"/>
      <w:r w:rsidRPr="004F72EC">
        <w:rPr>
          <w:rFonts w:ascii="Times New Roman" w:hAnsi="Times New Roman" w:cs="Times New Roman"/>
        </w:rPr>
        <w:t xml:space="preserve"> y Cano, 2016), esta no se reduce a un acto técnico de divulgación, sino a un proceso pedagógico-político dialógico, inspirado en la pedagogía liberadora de Paulo Freire. La extensión crítica asume que el conocimiento no es patrimonio exclusivo de la academia; por el contrario, propicia una ecología de saberes que reconoce la validez de los conocimientos populares, tradicionales y comunitarios (De Sousa Santos, 2010). Bajo este prisma, la universidad no "lleva" el saber al territorio, sino que se dispone a ser transformada por él, promoviendo una formación integral de los y las estudiantes mediante una praxis que articula de manera indisociable la docencia, la investigación y la intervención social. Esta perspectiva exige deconstruir el rol del científico o profesional tecnocrático para dar paso a un sujeto comprometido con la justicia social, capaz de </w:t>
      </w:r>
      <w:proofErr w:type="spellStart"/>
      <w:r w:rsidRPr="004F72EC">
        <w:rPr>
          <w:rFonts w:ascii="Times New Roman" w:hAnsi="Times New Roman" w:cs="Times New Roman"/>
        </w:rPr>
        <w:t>co-construir</w:t>
      </w:r>
      <w:proofErr w:type="spellEnd"/>
      <w:r w:rsidRPr="004F72EC">
        <w:rPr>
          <w:rFonts w:ascii="Times New Roman" w:hAnsi="Times New Roman" w:cs="Times New Roman"/>
        </w:rPr>
        <w:t xml:space="preserve"> con la comunidad respuestas emancipatorias ante las </w:t>
      </w:r>
      <w:proofErr w:type="spellStart"/>
      <w:r w:rsidRPr="004F72EC">
        <w:rPr>
          <w:rFonts w:ascii="Times New Roman" w:hAnsi="Times New Roman" w:cs="Times New Roman"/>
        </w:rPr>
        <w:t>opresiones</w:t>
      </w:r>
      <w:proofErr w:type="spellEnd"/>
      <w:r w:rsidRPr="004F72EC">
        <w:rPr>
          <w:rFonts w:ascii="Times New Roman" w:hAnsi="Times New Roman" w:cs="Times New Roman"/>
        </w:rPr>
        <w:t xml:space="preserve"> estructurales del capitalismo, el patriarcado y el colonialismo cultural.</w:t>
      </w:r>
    </w:p>
    <w:p w14:paraId="086B3B3F"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En el caso de las facultades de ciencias exactas, naturales y médicas, estos vínculos territoriales suelen estar mediados por discursos de fuerte impronta positivista. Históricamente, el sistema científico-académico ha construido su legitimidad sobre los pilares de la neutralidad, la objetividad y la imparcialidad del conocimiento producido (López </w:t>
      </w:r>
      <w:proofErr w:type="spellStart"/>
      <w:r w:rsidRPr="004F72EC">
        <w:rPr>
          <w:rFonts w:ascii="Times New Roman" w:hAnsi="Times New Roman" w:cs="Times New Roman"/>
        </w:rPr>
        <w:lastRenderedPageBreak/>
        <w:t>Gimenez</w:t>
      </w:r>
      <w:proofErr w:type="spellEnd"/>
      <w:r w:rsidRPr="004F72EC">
        <w:rPr>
          <w:rFonts w:ascii="Times New Roman" w:hAnsi="Times New Roman" w:cs="Times New Roman"/>
        </w:rPr>
        <w:t>, 2022). Sin embargo, la epistemología feminista y los estudios sociales de la ciencia han demostrado de manera contundente que la actividad científica no está desvinculada de su contexto de producción (Fausto-</w:t>
      </w:r>
      <w:proofErr w:type="spellStart"/>
      <w:r w:rsidRPr="004F72EC">
        <w:rPr>
          <w:rFonts w:ascii="Times New Roman" w:hAnsi="Times New Roman" w:cs="Times New Roman"/>
        </w:rPr>
        <w:t>Sterling</w:t>
      </w:r>
      <w:proofErr w:type="spellEnd"/>
      <w:r w:rsidRPr="004F72EC">
        <w:rPr>
          <w:rFonts w:ascii="Times New Roman" w:hAnsi="Times New Roman" w:cs="Times New Roman"/>
        </w:rPr>
        <w:t xml:space="preserve">, 2000). Las condiciones materiales de trabajo, las visiones del mundo de quienes investigan y las estructuras institucionales tiñen indefectiblemente el saber científico y las prácticas profesionales, perpetuando sesgos sexistas, racistas y androcéntricos (López </w:t>
      </w:r>
      <w:proofErr w:type="spellStart"/>
      <w:r w:rsidRPr="004F72EC">
        <w:rPr>
          <w:rFonts w:ascii="Times New Roman" w:hAnsi="Times New Roman" w:cs="Times New Roman"/>
        </w:rPr>
        <w:t>Gimenez</w:t>
      </w:r>
      <w:proofErr w:type="spellEnd"/>
      <w:r w:rsidRPr="004F72EC">
        <w:rPr>
          <w:rFonts w:ascii="Times New Roman" w:hAnsi="Times New Roman" w:cs="Times New Roman"/>
        </w:rPr>
        <w:t xml:space="preserve">, 2022). </w:t>
      </w:r>
    </w:p>
    <w:p w14:paraId="14CC9B88"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Es precisamente en este intersticio entre la ciencia experimental, la formación profesional y el entramado social donde la Educación Sexual Integral (ESI) se constituye como una herramienta pedagógica, didáctica y profundamente política de transformación institucional. En Argentina, el derecho a recibir ESI está consagrado por la Ley Nacional 26.150 desde el año 2006. No obstante, el alcance de la normativa se diseñó con preeminencia para los niveles educativos inicial, primario, secundario y de formación docente, dejando a la Universidad en un régimen de excepcionalidad relativo, dada su autonomía para diseñar sus planes de estudio. Esta vacancia normativa e institucional ha favorecido que las carreras de grado científico-tecnológicas sostengan </w:t>
      </w:r>
      <w:proofErr w:type="spellStart"/>
      <w:r w:rsidRPr="004F72EC">
        <w:rPr>
          <w:rFonts w:ascii="Times New Roman" w:hAnsi="Times New Roman" w:cs="Times New Roman"/>
        </w:rPr>
        <w:t>currículas</w:t>
      </w:r>
      <w:proofErr w:type="spellEnd"/>
      <w:r w:rsidRPr="004F72EC">
        <w:rPr>
          <w:rFonts w:ascii="Times New Roman" w:hAnsi="Times New Roman" w:cs="Times New Roman"/>
        </w:rPr>
        <w:t xml:space="preserve"> absolutamente carentes de contenidos vinculados al género, la diversidad y la afectividad, naturalizando la reducción de la sexualidad a un enfoque meramente biomédico, anatomista y </w:t>
      </w:r>
      <w:proofErr w:type="spellStart"/>
      <w:r w:rsidRPr="004F72EC">
        <w:rPr>
          <w:rFonts w:ascii="Times New Roman" w:hAnsi="Times New Roman" w:cs="Times New Roman"/>
        </w:rPr>
        <w:t>patologizante</w:t>
      </w:r>
      <w:proofErr w:type="spellEnd"/>
      <w:r w:rsidRPr="004F72EC">
        <w:rPr>
          <w:rFonts w:ascii="Times New Roman" w:hAnsi="Times New Roman" w:cs="Times New Roman"/>
        </w:rPr>
        <w:t xml:space="preserve">. </w:t>
      </w:r>
    </w:p>
    <w:p w14:paraId="08777A5D"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justificación de la obligatoriedad de la ESI en el nivel universitario no solo responde a una necesidad pedagógica y ética actual, sino que </w:t>
      </w:r>
      <w:proofErr w:type="spellStart"/>
      <w:r w:rsidRPr="004F72EC">
        <w:rPr>
          <w:rFonts w:ascii="Times New Roman" w:hAnsi="Times New Roman" w:cs="Times New Roman"/>
        </w:rPr>
        <w:t>halla</w:t>
      </w:r>
      <w:proofErr w:type="spellEnd"/>
      <w:r w:rsidRPr="004F72EC">
        <w:rPr>
          <w:rFonts w:ascii="Times New Roman" w:hAnsi="Times New Roman" w:cs="Times New Roman"/>
        </w:rPr>
        <w:t xml:space="preserve"> un sustento indiscutible en el andamiaje legal y normativo vigente del país. Si bien la Ley 26.150 no reguló explícitamente los trayectos de grado, la posterior sanción de normativas transversales como la Ley de Identidad de Género (Ley 26.743), la Ley de Protección Integral a las Mujeres (Ley 26.485) y, fundamentalmente, la Ley Micaela (Ley 27.499) —que establece la capacitación obligatoria en género y violencia de género para todas las personas que integran los tres poderes del Estado, incluidas las universidades públicas— configuran un bloque de constitucionalidad y legalidad ineludible. Este marco legal exige que las instituciones de educación superior asuman la responsabilidad de formar profesionales con perspectiva de género y derechos humanos. Sostener la exclusión de la ESI bajo el argumento de la neutralidad científica o la libertad de cátedra no solo constituye un anacronismo pedagógico, sino también un incumplimiento de los tratados internacionales de derechos humanos con jerarquía constitucional, privando a los futuros profesionales de las competencias críticas necesarias para intervenir éticamente en sociedades plurales y democráticas.</w:t>
      </w:r>
    </w:p>
    <w:p w14:paraId="6A9DFFF9"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ausencia de la ESI en las aulas universitarias no solo empobrece la formación técnica de las y los profesionales de la salud y la ciencia, sino que también invisibiliza las dinámicas cotidianas de poder y las desigualdades estructurales que regulan la vida comunitaria dentro de las propias instituciones académicas. Las jerarquías formales, el trato entre pares, el acceso a recursos de prestigio —como subsidios y redes de contactos— y la precarización en las primeras etapas de la carrera científica (</w:t>
      </w:r>
      <w:proofErr w:type="spellStart"/>
      <w:r w:rsidRPr="004F72EC">
        <w:rPr>
          <w:rFonts w:ascii="Times New Roman" w:hAnsi="Times New Roman" w:cs="Times New Roman"/>
        </w:rPr>
        <w:t>tesinistas</w:t>
      </w:r>
      <w:proofErr w:type="spellEnd"/>
      <w:r w:rsidRPr="004F72EC">
        <w:rPr>
          <w:rFonts w:ascii="Times New Roman" w:hAnsi="Times New Roman" w:cs="Times New Roman"/>
        </w:rPr>
        <w:t>, pasantes y becarios/as) configuran un terreno propenso a microviolencias y abusos de poder (</w:t>
      </w:r>
      <w:r w:rsidRPr="004F72EC">
        <w:rPr>
          <w:rFonts w:ascii="Times New Roman" w:hAnsi="Times New Roman" w:cs="Times New Roman"/>
          <w:sz w:val="22"/>
          <w:szCs w:val="22"/>
        </w:rPr>
        <w:t>Blázquez Graf, 2017</w:t>
      </w:r>
      <w:r w:rsidRPr="004F72EC">
        <w:rPr>
          <w:rFonts w:ascii="Times New Roman" w:hAnsi="Times New Roman" w:cs="Times New Roman"/>
        </w:rPr>
        <w:t xml:space="preserve">). Estas asimetrías impactan de manera diferencial sobre las mujeres y las disidencias sexuales, quienes continúan subrepresentadas en las máximas posiciones de </w:t>
      </w:r>
      <w:r w:rsidRPr="004F72EC">
        <w:rPr>
          <w:rFonts w:ascii="Times New Roman" w:hAnsi="Times New Roman" w:cs="Times New Roman"/>
        </w:rPr>
        <w:lastRenderedPageBreak/>
        <w:t>poder y toma de decisiones del sistema científico, sufriendo fenómenos de segregación vertical y horizontal (</w:t>
      </w:r>
      <w:r w:rsidRPr="004F72EC">
        <w:rPr>
          <w:rFonts w:ascii="Times New Roman" w:hAnsi="Times New Roman" w:cs="Times New Roman"/>
          <w:sz w:val="22"/>
          <w:szCs w:val="22"/>
        </w:rPr>
        <w:t>Blázquez Graf, 2017</w:t>
      </w:r>
      <w:r w:rsidRPr="004F72EC">
        <w:rPr>
          <w:rFonts w:ascii="Times New Roman" w:hAnsi="Times New Roman" w:cs="Times New Roman"/>
        </w:rPr>
        <w:t xml:space="preserve">). </w:t>
      </w:r>
    </w:p>
    <w:p w14:paraId="4A71EA85"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Frente a este diagnóstico, resulta indispensable recuperar el valor del protagonismo estudiantil en la educación superior. Cuando los proyectos de extensión crítica son ideados, proyectados y llevados a cabo de manera directa por estudiantes en formación, adquieren una potencia disruptiva singular. Las y los estudiantes, al transitar simultáneamente el rol de aprendices dentro del aula y de agentes de transformación en el territorio, logran identificar con mayor sensibilidad las contradicciones de su propia formación disciplinar. Sus propuestas no se imponen "desde arriba" por las burocracias académicas, sino que nacen de las vivencias compartidas, las incomodidades comunes y el deseo genuino de democratizar los espacios que habitan cotidianamente. El diseño estudiantil garantiza lenguajes accesibles, instancias de debate horizontal auténticas y una complicidad generacional que rompe con las rigideces y los temores impuestos por las jerarquías institucionales tradicionales. </w:t>
      </w:r>
    </w:p>
    <w:p w14:paraId="0F3EBBD9"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El presente trabajo se propone visibilizar y problematizar estas dinámicas a través del análisis sistemático de dos experiencias de extensión universitaria desarrolladas de forma consecutiva por estudiantes en la Facultad de Ciencias Bioquímicas y Farmacéuticas (</w:t>
      </w:r>
      <w:proofErr w:type="spellStart"/>
      <w:r w:rsidRPr="004F72EC">
        <w:rPr>
          <w:rFonts w:ascii="Times New Roman" w:hAnsi="Times New Roman" w:cs="Times New Roman"/>
        </w:rPr>
        <w:t>FBioyF</w:t>
      </w:r>
      <w:proofErr w:type="spellEnd"/>
      <w:r w:rsidRPr="004F72EC">
        <w:rPr>
          <w:rFonts w:ascii="Times New Roman" w:hAnsi="Times New Roman" w:cs="Times New Roman"/>
        </w:rPr>
        <w:t>) de la Universidad Nacional de Rosario (UNR). Ambas iniciativas surgieron en el marco de una asignatura electiva orientadas a repensar la práctica científica y profesional bajo el prisma de la ESI: “ESI en la práctica científica”.</w:t>
      </w:r>
    </w:p>
    <w:p w14:paraId="74B92AE7"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primera de estas experiencias consistió en la planificación y ejecución de la actividad "Repensando las Relaciones de Poder (</w:t>
      </w:r>
      <w:proofErr w:type="spellStart"/>
      <w:r w:rsidRPr="004F72EC">
        <w:rPr>
          <w:rFonts w:ascii="Times New Roman" w:hAnsi="Times New Roman" w:cs="Times New Roman"/>
        </w:rPr>
        <w:t>RdP</w:t>
      </w:r>
      <w:proofErr w:type="spellEnd"/>
      <w:r w:rsidRPr="004F72EC">
        <w:rPr>
          <w:rFonts w:ascii="Times New Roman" w:hAnsi="Times New Roman" w:cs="Times New Roman"/>
        </w:rPr>
        <w:t xml:space="preserve">) en nuestro espacio laboral", un taller horizontal desarrollado en el Instituto de Biología Molecular y Celular de Rosario (IBR, CONICET-UNR) durante el segundo cuatrimestre de 2023. Esta propuesta estuvo dirigida a becarios/as, </w:t>
      </w:r>
      <w:proofErr w:type="spellStart"/>
      <w:r w:rsidRPr="004F72EC">
        <w:rPr>
          <w:rFonts w:ascii="Times New Roman" w:hAnsi="Times New Roman" w:cs="Times New Roman"/>
        </w:rPr>
        <w:t>tesinistas</w:t>
      </w:r>
      <w:proofErr w:type="spellEnd"/>
      <w:r w:rsidRPr="004F72EC">
        <w:rPr>
          <w:rFonts w:ascii="Times New Roman" w:hAnsi="Times New Roman" w:cs="Times New Roman"/>
        </w:rPr>
        <w:t xml:space="preserve">, pasantes y personal de apoyo del instituto, con el objetivo explícito de reflexionar colectivamente en torno a las violencias cotidianas, la discriminación de género y nacionalidad, y la urgencia de </w:t>
      </w:r>
      <w:proofErr w:type="spellStart"/>
      <w:r w:rsidRPr="004F72EC">
        <w:rPr>
          <w:rFonts w:ascii="Times New Roman" w:hAnsi="Times New Roman" w:cs="Times New Roman"/>
        </w:rPr>
        <w:t>co-construir</w:t>
      </w:r>
      <w:proofErr w:type="spellEnd"/>
      <w:r w:rsidRPr="004F72EC">
        <w:rPr>
          <w:rFonts w:ascii="Times New Roman" w:hAnsi="Times New Roman" w:cs="Times New Roman"/>
        </w:rPr>
        <w:t xml:space="preserve"> redes de apoyo institucionales frente a las exigencias desalentadoras de las jerarquías científicas. </w:t>
      </w:r>
    </w:p>
    <w:p w14:paraId="7EAFCD29"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segunda experiencia se tradujo en un taller implementado durante el primer cuatrimestre de 2024, específicamente diseñado por y para estudiantes avanzados del sexto año de la carrera de Bioquímica en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Esta intervención se propuso descentrar la mirada técnico-analítica de la profesión para interpelar el modo en que la ESI atraviesa el ejercicio bioquímico diario, problematizando la interpretación y comunicación de resultados en campañas de salud pública vinculadas a infecciones de transmisión sexual (ITS) como el VIH, así como la violencia epistémica y el androcentrismo presentes en los protocolos vigentes frente a personas intersex y trans. </w:t>
      </w:r>
    </w:p>
    <w:p w14:paraId="395E97CE"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A través de la sistematización de estas dos intervenciones, este escrito busca demostrar que la incorporación de la ESI en las carreras científicas y sus institutos asociados no representa una adición temática superflua, sino una necesidad epistemológica y política ineludible. Asimismo, se pretende argumentar que estas prácticas deben dejar de ser esfuerzos electivos o periféricos para transformarse en políticas institucionales permanentes en la educación superior, asumiendo que la construcción de comunidades académicas más </w:t>
      </w:r>
      <w:r w:rsidRPr="004F72EC">
        <w:rPr>
          <w:rFonts w:ascii="Times New Roman" w:hAnsi="Times New Roman" w:cs="Times New Roman"/>
        </w:rPr>
        <w:lastRenderedPageBreak/>
        <w:t xml:space="preserve">justas, igualitarias y conscientes de su responsabilidad social requiere, de manera prioritaria, habitar y transformar críticamente nuestros propios territorios científico-educativos. </w:t>
      </w:r>
    </w:p>
    <w:p w14:paraId="2FD138AD" w14:textId="65FB0755" w:rsidR="005F3B2E" w:rsidRPr="004F72EC" w:rsidRDefault="005F3B2E" w:rsidP="007B5B5F">
      <w:pPr>
        <w:spacing w:line="240" w:lineRule="auto"/>
        <w:rPr>
          <w:rFonts w:ascii="Times New Roman" w:hAnsi="Times New Roman" w:cs="Times New Roman"/>
          <w:b/>
          <w:bCs/>
          <w:lang w:val="es-AR"/>
        </w:rPr>
      </w:pPr>
      <w:r w:rsidRPr="004F72EC">
        <w:rPr>
          <w:rFonts w:ascii="Times New Roman" w:hAnsi="Times New Roman" w:cs="Times New Roman"/>
          <w:b/>
          <w:bCs/>
          <w:lang w:val="es-AR"/>
        </w:rPr>
        <w:t>Desarrollo</w:t>
      </w:r>
    </w:p>
    <w:p w14:paraId="007021FA"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Crónica y Metodología de las Intervenciones Territoriales</w:t>
      </w:r>
    </w:p>
    <w:p w14:paraId="68D4317C"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Para analizar los puntos de convergencia y las rupturas institucionales que propician las prácticas pedagógicas basadas en la Educación Sexual Integral (ESI) dentro de comunidades con fuerte arraigo positivista, resulta indispensable caracterizar minuciosamente la arquitectura metodológica y el contexto de ejecución de ambas experiencias extensionistas. Concebidas desde la horizontalidad y el protagonismo estudiantil, estas intervenciones se estructuraron como talleres reflexivos, distanciándose explícitamente del formato magistral y directivo predominante en la formación en ciencias exactas y experimentales. </w:t>
      </w:r>
    </w:p>
    <w:p w14:paraId="2F7B4EB2"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1. El Taller en el Instituto de Biología Molecular y Celular de Rosario (IBR): "Repensando las Relaciones de Poder en nuestro espacio laboral"</w:t>
      </w:r>
    </w:p>
    <w:p w14:paraId="2886D024"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El Instituto de Biología Molecular y Celular de Rosario (IBR), un centro de investigación de doble dependencia entre el Consejo Nacional de Investigaciones Científicas y Técnicas (CONICET) y la Universidad Nacional de Rosario (UNR), constituye un polo de referencia científica regional y nacional. No obstante, sus dinámicas sociolaborales se encuentran regidas por una estructura piramidal fuertemente jerarquizada, donde la productividad medida en publicaciones de alto impacto y la obtención de subsidios operan como los principales reguladores del prestigio y la estabilidad institucional. En este ecosistema, quienes transitan las etapas iniciales y formativas de la carrera científica —como estudiantes de grado realizando sus tesinas, pasantes y becarias/os doctorales y postdoctorales—, así como el Personal de Apoyo a la Investigación y Desarrollo (CPA), suelen ocupar los eslabones de mayor vulnerabilidad material y simbólica. </w:t>
      </w:r>
    </w:p>
    <w:p w14:paraId="56EBC7DF"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intervención, implementada durante el segundo cuatrimestre del año 2023, nació como una propuesta colectiva y situada ante la identificación de malestares recurrentes vinculados al avasallamiento subjetivo, la precarización y la ausencia de canales institucionales democratizados para la resolución de conflictos interpersonales. El taller se tituló "Repensando las Relaciones de Poder (</w:t>
      </w:r>
      <w:proofErr w:type="spellStart"/>
      <w:r w:rsidRPr="004F72EC">
        <w:rPr>
          <w:rFonts w:ascii="Times New Roman" w:hAnsi="Times New Roman" w:cs="Times New Roman"/>
        </w:rPr>
        <w:t>RdP</w:t>
      </w:r>
      <w:proofErr w:type="spellEnd"/>
      <w:r w:rsidRPr="004F72EC">
        <w:rPr>
          <w:rFonts w:ascii="Times New Roman" w:hAnsi="Times New Roman" w:cs="Times New Roman"/>
        </w:rPr>
        <w:t xml:space="preserve">) en nuestro espacio laboral" y se estructuró a partir de una convocatoria abierta que priorizó la participación horizontal del estamento de becarias/os, </w:t>
      </w:r>
      <w:proofErr w:type="spellStart"/>
      <w:r w:rsidRPr="004F72EC">
        <w:rPr>
          <w:rFonts w:ascii="Times New Roman" w:hAnsi="Times New Roman" w:cs="Times New Roman"/>
        </w:rPr>
        <w:t>tesinistas</w:t>
      </w:r>
      <w:proofErr w:type="spellEnd"/>
      <w:r w:rsidRPr="004F72EC">
        <w:rPr>
          <w:rFonts w:ascii="Times New Roman" w:hAnsi="Times New Roman" w:cs="Times New Roman"/>
        </w:rPr>
        <w:t xml:space="preserve"> y CPA, logrando una concurrencia diversa que enriqueció el debate. </w:t>
      </w:r>
    </w:p>
    <w:p w14:paraId="2E5FAB33"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Desde el punto de vista metodológico, el taller se diseñó bajo los preceptos de la educación popular y las técnicas de taller participativo (Medina &amp; Torres, 2021), dividiéndose en tres momentos correlativos y sinérgicos:</w:t>
      </w:r>
    </w:p>
    <w:p w14:paraId="2737A0AA" w14:textId="77777777" w:rsidR="004F72EC" w:rsidRPr="004F72EC" w:rsidRDefault="004F72EC" w:rsidP="004F72EC">
      <w:pPr>
        <w:numPr>
          <w:ilvl w:val="0"/>
          <w:numId w:val="1"/>
        </w:numPr>
        <w:spacing w:line="240" w:lineRule="auto"/>
        <w:jc w:val="both"/>
        <w:rPr>
          <w:rFonts w:ascii="Times New Roman" w:hAnsi="Times New Roman" w:cs="Times New Roman"/>
        </w:rPr>
      </w:pPr>
      <w:r w:rsidRPr="004F72EC">
        <w:rPr>
          <w:rFonts w:ascii="Times New Roman" w:hAnsi="Times New Roman" w:cs="Times New Roman"/>
          <w:b/>
          <w:bCs/>
        </w:rPr>
        <w:t>Momento de Desnaturalización (El Diagnóstico Colectivo):</w:t>
      </w:r>
      <w:r w:rsidRPr="004F72EC">
        <w:rPr>
          <w:rFonts w:ascii="Times New Roman" w:hAnsi="Times New Roman" w:cs="Times New Roman"/>
        </w:rPr>
        <w:t xml:space="preserve"> En lugar de iniciar con una exposición teórica sobre las asimetrías de poder, la dinámica comenzó con la técnica de "frases disparadoras" y la proyección de viñetas situacionales que recuperaban fragmentos anónimos de experiencias reales dentro de los laboratorios. Frases asociadas a la </w:t>
      </w:r>
      <w:proofErr w:type="spellStart"/>
      <w:r w:rsidRPr="004F72EC">
        <w:rPr>
          <w:rFonts w:ascii="Times New Roman" w:hAnsi="Times New Roman" w:cs="Times New Roman"/>
        </w:rPr>
        <w:t>sobreexigencia</w:t>
      </w:r>
      <w:proofErr w:type="spellEnd"/>
      <w:r w:rsidRPr="004F72EC">
        <w:rPr>
          <w:rFonts w:ascii="Times New Roman" w:hAnsi="Times New Roman" w:cs="Times New Roman"/>
        </w:rPr>
        <w:t xml:space="preserve"> horaria, la minimización del </w:t>
      </w:r>
      <w:r w:rsidRPr="004F72EC">
        <w:rPr>
          <w:rFonts w:ascii="Times New Roman" w:hAnsi="Times New Roman" w:cs="Times New Roman"/>
        </w:rPr>
        <w:lastRenderedPageBreak/>
        <w:t xml:space="preserve">sufrimiento psíquico bajo el lema del "sacrificio científico", y comentarios sutiles o manifiestos de discriminación por razones de género, orientación sexual y nacionalidad —este último punto de especial relevancia debido a la presencia de investigadoras/es en formación provenientes de otras regiones— sirvieron para romper el aislamiento. La exteriorización de estas vivencias individuales permitió transformarlas en un diagnóstico colectivo, evidenciando que lo percibido como una "falla personal" o una "incompatibilidad de caracteres" con un director o directora era, en realidad, el síntoma de una matriz estructural de opresión institucional. </w:t>
      </w:r>
    </w:p>
    <w:p w14:paraId="1C1B6B22" w14:textId="77777777" w:rsidR="004F72EC" w:rsidRPr="004F72EC" w:rsidRDefault="004F72EC" w:rsidP="004F72EC">
      <w:pPr>
        <w:numPr>
          <w:ilvl w:val="0"/>
          <w:numId w:val="1"/>
        </w:numPr>
        <w:spacing w:line="240" w:lineRule="auto"/>
        <w:jc w:val="both"/>
        <w:rPr>
          <w:rFonts w:ascii="Times New Roman" w:hAnsi="Times New Roman" w:cs="Times New Roman"/>
        </w:rPr>
      </w:pPr>
      <w:r w:rsidRPr="004F72EC">
        <w:rPr>
          <w:rFonts w:ascii="Times New Roman" w:hAnsi="Times New Roman" w:cs="Times New Roman"/>
          <w:b/>
          <w:bCs/>
        </w:rPr>
        <w:t>Momento de Conceptualización (Cruce con la ESI):</w:t>
      </w:r>
      <w:r w:rsidRPr="004F72EC">
        <w:rPr>
          <w:rFonts w:ascii="Times New Roman" w:hAnsi="Times New Roman" w:cs="Times New Roman"/>
        </w:rPr>
        <w:t xml:space="preserve"> En la segunda instancia del taller, se introdujeron de manera dialógica herramientas teóricas ligadas a la perspectiva de género y los derechos humanos en el ámbito laboral. Se problematizaron los conceptos de violencia laboral, acoso psicológico (</w:t>
      </w:r>
      <w:proofErr w:type="spellStart"/>
      <w:r w:rsidRPr="004F72EC">
        <w:rPr>
          <w:rFonts w:ascii="Times New Roman" w:hAnsi="Times New Roman" w:cs="Times New Roman"/>
          <w:i/>
          <w:iCs/>
        </w:rPr>
        <w:t>mobbing</w:t>
      </w:r>
      <w:proofErr w:type="spellEnd"/>
      <w:r w:rsidRPr="004F72EC">
        <w:rPr>
          <w:rFonts w:ascii="Times New Roman" w:hAnsi="Times New Roman" w:cs="Times New Roman"/>
        </w:rPr>
        <w:t xml:space="preserve">) y micropolíticas del poder, articulándolos con los ejes conceptuales de la ESI, específicamente el respeto por la diversidad, la valoración de la afectividad y el cuidado del cuerpo y la salud. Se debatió cómo el modelo hegemónico de hacer ciencia exige una escisión tajante entre la vida afectiva/reproductiva y la producción intelectual, un sesgo androcéntrico que penaliza sistemáticamente a las identidades feminizadas y a quienes asumen tareas de cuidado fuera del laboratorio. </w:t>
      </w:r>
    </w:p>
    <w:p w14:paraId="62E9B4DE" w14:textId="77777777" w:rsidR="004F72EC" w:rsidRPr="004F72EC" w:rsidRDefault="004F72EC" w:rsidP="004F72EC">
      <w:pPr>
        <w:numPr>
          <w:ilvl w:val="0"/>
          <w:numId w:val="1"/>
        </w:numPr>
        <w:spacing w:line="240" w:lineRule="auto"/>
        <w:jc w:val="both"/>
        <w:rPr>
          <w:rFonts w:ascii="Times New Roman" w:hAnsi="Times New Roman" w:cs="Times New Roman"/>
        </w:rPr>
      </w:pPr>
      <w:r w:rsidRPr="004F72EC">
        <w:rPr>
          <w:rFonts w:ascii="Times New Roman" w:hAnsi="Times New Roman" w:cs="Times New Roman"/>
          <w:b/>
          <w:bCs/>
        </w:rPr>
        <w:t>Momento de Alianza y Organización (</w:t>
      </w:r>
      <w:proofErr w:type="spellStart"/>
      <w:r w:rsidRPr="004F72EC">
        <w:rPr>
          <w:rFonts w:ascii="Times New Roman" w:hAnsi="Times New Roman" w:cs="Times New Roman"/>
          <w:b/>
          <w:bCs/>
        </w:rPr>
        <w:t>Co-construcción</w:t>
      </w:r>
      <w:proofErr w:type="spellEnd"/>
      <w:r w:rsidRPr="004F72EC">
        <w:rPr>
          <w:rFonts w:ascii="Times New Roman" w:hAnsi="Times New Roman" w:cs="Times New Roman"/>
          <w:b/>
          <w:bCs/>
        </w:rPr>
        <w:t xml:space="preserve"> de Redes):</w:t>
      </w:r>
      <w:r w:rsidRPr="004F72EC">
        <w:rPr>
          <w:rFonts w:ascii="Times New Roman" w:hAnsi="Times New Roman" w:cs="Times New Roman"/>
        </w:rPr>
        <w:t xml:space="preserve"> El taller concluyó con una instancia de asamblea focalizada en la producción de propuestas de resistencia y cuidado mutuo. Las/os participantes manifestaron de forma unánime el desamparo institucional que experimentan ante los canales formales de denuncia, los cuales suelen ser percibidos como burocráticos, </w:t>
      </w:r>
      <w:proofErr w:type="spellStart"/>
      <w:r w:rsidRPr="004F72EC">
        <w:rPr>
          <w:rFonts w:ascii="Times New Roman" w:hAnsi="Times New Roman" w:cs="Times New Roman"/>
        </w:rPr>
        <w:t>revictimizantes</w:t>
      </w:r>
      <w:proofErr w:type="spellEnd"/>
      <w:r w:rsidRPr="004F72EC">
        <w:rPr>
          <w:rFonts w:ascii="Times New Roman" w:hAnsi="Times New Roman" w:cs="Times New Roman"/>
        </w:rPr>
        <w:t xml:space="preserve"> o sesgados a favor de las jerarquías consolidadas. Como contrapropuesta, se delineó el diseño de una red comunitaria informal e interna de acompañamiento ante situaciones de violencia, la redacción de un </w:t>
      </w:r>
      <w:proofErr w:type="spellStart"/>
      <w:r w:rsidRPr="004F72EC">
        <w:rPr>
          <w:rFonts w:ascii="Times New Roman" w:hAnsi="Times New Roman" w:cs="Times New Roman"/>
        </w:rPr>
        <w:t>recursero</w:t>
      </w:r>
      <w:proofErr w:type="spellEnd"/>
      <w:r w:rsidRPr="004F72EC">
        <w:rPr>
          <w:rFonts w:ascii="Times New Roman" w:hAnsi="Times New Roman" w:cs="Times New Roman"/>
        </w:rPr>
        <w:t xml:space="preserve"> con protocolos vigentes accesibles y la exigencia compartida de activar comisiones de género y condiciones de trabajo con representación efectiva de los estamentos precarizados. </w:t>
      </w:r>
    </w:p>
    <w:p w14:paraId="3ACC875C"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2. El Taller en la Facultad de Ciencias Bioquímicas y Farmacéuticas (</w:t>
      </w:r>
      <w:proofErr w:type="spellStart"/>
      <w:r w:rsidRPr="004F72EC">
        <w:rPr>
          <w:rFonts w:ascii="Times New Roman" w:hAnsi="Times New Roman" w:cs="Times New Roman"/>
          <w:b/>
          <w:bCs/>
        </w:rPr>
        <w:t>FBioyF</w:t>
      </w:r>
      <w:proofErr w:type="spellEnd"/>
      <w:r w:rsidRPr="004F72EC">
        <w:rPr>
          <w:rFonts w:ascii="Times New Roman" w:hAnsi="Times New Roman" w:cs="Times New Roman"/>
          <w:b/>
          <w:bCs/>
        </w:rPr>
        <w:t>): "ESI en nuestra práctica profesional"</w:t>
      </w:r>
    </w:p>
    <w:p w14:paraId="53719EAD"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A diferencia de la intervención en el IBR, enfocada primordialmente en el espacio sociolaboral del ámbito de investigación, la experiencia desarrollada en la Facultad de Ciencias Bioquímicas y Farmacéuticas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durante el primer cuatrimestre de 2024 se inscribió en el trayecto curricular formal de la carrera de Bioquímica. Específicamente, se corporizó como un taller diseñado e implementado por y para estudiantes avanzados del sexto año, nucleados en el espacio de la asignatura electiva "ESI en la práctica científica". Esta inserción curricular reviste una importancia estratégica singular: implicó disputar el sentido ético y epistémico de la formación bioquímica en sus instancias finales, justo antes del egreso al campo profesional e institucional. </w:t>
      </w:r>
    </w:p>
    <w:p w14:paraId="48E12CE9"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bioquímica, concebida tradicionalmente bajo el paradigma de la exactitud numérica, el control analítico y la automatización instrumental, tiende a vaciar el rol profesional de </w:t>
      </w:r>
      <w:r w:rsidRPr="004F72EC">
        <w:rPr>
          <w:rFonts w:ascii="Times New Roman" w:hAnsi="Times New Roman" w:cs="Times New Roman"/>
        </w:rPr>
        <w:lastRenderedPageBreak/>
        <w:t xml:space="preserve">su dimensión humana y comunitaria. El laboratorio clínico suele ser representado como una aduana técnica despersonalizada donde ingresan muestras biológicas (sangre, orina, fluidos) y egresan informes validados. El propósito medular de este taller estudiantil fue fracturar esa mirada mecanicista e interpelar de qué manera las prácticas bioquímicas cotidianas reproducen o, por el contrario, pueden subvertir la violencia epistémica y el biologicismo </w:t>
      </w:r>
      <w:proofErr w:type="spellStart"/>
      <w:r w:rsidRPr="004F72EC">
        <w:rPr>
          <w:rFonts w:ascii="Times New Roman" w:hAnsi="Times New Roman" w:cs="Times New Roman"/>
        </w:rPr>
        <w:t>cisheteronormativo</w:t>
      </w:r>
      <w:proofErr w:type="spellEnd"/>
      <w:r w:rsidRPr="004F72EC">
        <w:rPr>
          <w:rFonts w:ascii="Times New Roman" w:hAnsi="Times New Roman" w:cs="Times New Roman"/>
        </w:rPr>
        <w:t xml:space="preserve">. </w:t>
      </w:r>
    </w:p>
    <w:p w14:paraId="0184CD3A"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metodología adoptada para esta intervención se estructuró mediante la modalidad de "estudio de casos clínicos integrales", organizando el trabajo en comisiones interactivas centradas en dos problemáticas críticas de salud colectiva:</w:t>
      </w:r>
    </w:p>
    <w:p w14:paraId="5EC1D0BB" w14:textId="77777777" w:rsidR="004F72EC" w:rsidRPr="004F72EC" w:rsidRDefault="004F72EC" w:rsidP="004F72EC">
      <w:pPr>
        <w:numPr>
          <w:ilvl w:val="0"/>
          <w:numId w:val="2"/>
        </w:numPr>
        <w:spacing w:line="240" w:lineRule="auto"/>
        <w:jc w:val="both"/>
        <w:rPr>
          <w:rFonts w:ascii="Times New Roman" w:hAnsi="Times New Roman" w:cs="Times New Roman"/>
        </w:rPr>
      </w:pPr>
      <w:r w:rsidRPr="004F72EC">
        <w:rPr>
          <w:rFonts w:ascii="Times New Roman" w:hAnsi="Times New Roman" w:cs="Times New Roman"/>
          <w:b/>
          <w:bCs/>
        </w:rPr>
        <w:t>Abordaje de Infecciones de Transmisión Sexual (ITS) y Campañas de Salud Pública:</w:t>
      </w:r>
      <w:r w:rsidRPr="004F72EC">
        <w:rPr>
          <w:rFonts w:ascii="Times New Roman" w:hAnsi="Times New Roman" w:cs="Times New Roman"/>
        </w:rPr>
        <w:t xml:space="preserve"> Se presentó a las/os estudiantes el caso ficticio pero hiperrealista del procesamiento de muestras y la entrega de resultados reactivos para VIH y sífilis en el marco de un operativo territorial de salud comunitaria. El análisis no se limitó a los fundamentos metodológicos del ensayo </w:t>
      </w:r>
      <w:proofErr w:type="spellStart"/>
      <w:r w:rsidRPr="004F72EC">
        <w:rPr>
          <w:rFonts w:ascii="Times New Roman" w:hAnsi="Times New Roman" w:cs="Times New Roman"/>
        </w:rPr>
        <w:t>inmunoenzimático</w:t>
      </w:r>
      <w:proofErr w:type="spellEnd"/>
      <w:r w:rsidRPr="004F72EC">
        <w:rPr>
          <w:rFonts w:ascii="Times New Roman" w:hAnsi="Times New Roman" w:cs="Times New Roman"/>
        </w:rPr>
        <w:t xml:space="preserve"> (ELISA) o la carga viral, sino que se enfocó en el acto de la comunicación y el resguardo de la confidencialidad. Se debatieron los sesgos morales y estigmatizantes que aún persisten en el personal de laboratorio al clasificar a las/os usuarias/os según "grupos de riesgo", y cómo la falta de una perspectiva de derechos consagrada por la ESI puede transformar la entrega de un resultado en una experiencia expulsiva y traumática, obturando la retención del consultante en el sistema de salud. </w:t>
      </w:r>
    </w:p>
    <w:p w14:paraId="4C718BA6" w14:textId="77777777" w:rsidR="004F72EC" w:rsidRPr="004F72EC" w:rsidRDefault="004F72EC" w:rsidP="004F72EC">
      <w:pPr>
        <w:numPr>
          <w:ilvl w:val="0"/>
          <w:numId w:val="2"/>
        </w:numPr>
        <w:spacing w:line="240" w:lineRule="auto"/>
        <w:jc w:val="both"/>
        <w:rPr>
          <w:rFonts w:ascii="Times New Roman" w:hAnsi="Times New Roman" w:cs="Times New Roman"/>
        </w:rPr>
      </w:pPr>
      <w:r w:rsidRPr="004F72EC">
        <w:rPr>
          <w:rFonts w:ascii="Times New Roman" w:hAnsi="Times New Roman" w:cs="Times New Roman"/>
          <w:b/>
          <w:bCs/>
        </w:rPr>
        <w:t>Protocolos Clínicos, Androcentrismo y Violencia Epistémica:</w:t>
      </w:r>
      <w:r w:rsidRPr="004F72EC">
        <w:rPr>
          <w:rFonts w:ascii="Times New Roman" w:hAnsi="Times New Roman" w:cs="Times New Roman"/>
        </w:rPr>
        <w:t xml:space="preserve"> El segundo caso interpeló los valores de referencia clínicos y los protocolos analíticos estándar automatizados ante identidades no binarias, trans e intersex. Se analizó críticamente cómo la rigidez de los sistemas informáticos de los laboratorios —que obligan a </w:t>
      </w:r>
      <w:proofErr w:type="spellStart"/>
      <w:r w:rsidRPr="004F72EC">
        <w:rPr>
          <w:rFonts w:ascii="Times New Roman" w:hAnsi="Times New Roman" w:cs="Times New Roman"/>
        </w:rPr>
        <w:t>binarizar</w:t>
      </w:r>
      <w:proofErr w:type="spellEnd"/>
      <w:r w:rsidRPr="004F72EC">
        <w:rPr>
          <w:rFonts w:ascii="Times New Roman" w:hAnsi="Times New Roman" w:cs="Times New Roman"/>
        </w:rPr>
        <w:t xml:space="preserve"> el sexo del paciente bajo criterios estrictamente cromosómicos o gonadales para asignar intervalos de referencia (por ejemplo, en perfiles hormonales o aclaramiento de creatinina)— invisibiliza los procesos de </w:t>
      </w:r>
      <w:proofErr w:type="spellStart"/>
      <w:r w:rsidRPr="004F72EC">
        <w:rPr>
          <w:rFonts w:ascii="Times New Roman" w:hAnsi="Times New Roman" w:cs="Times New Roman"/>
        </w:rPr>
        <w:t>hormonización</w:t>
      </w:r>
      <w:proofErr w:type="spellEnd"/>
      <w:r w:rsidRPr="004F72EC">
        <w:rPr>
          <w:rFonts w:ascii="Times New Roman" w:hAnsi="Times New Roman" w:cs="Times New Roman"/>
        </w:rPr>
        <w:t xml:space="preserve"> y patologiza las corporalidades diversas. Las/os estudiantes problematizaron que los valores "normales" de la bioquímica clínica fueron estandarizados históricamente tomando como modelo universal al varón cisgénero, blanco y europeo, lo que constituye una forma de violencia epistémica que sesga el diagnóstico y vulnera el derecho a la salud identitaria consagrado por la Ley 26.743 (Pérez, 2019).</w:t>
      </w:r>
    </w:p>
    <w:p w14:paraId="3B072BF5"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El cierre de este taller se materializó en una puesta en común donde cobró centralidad la noción de la "bioquímica situada". Las/os futuras/os profesionales concluyeron que el informe de laboratorio no es un dato neutral desprovisto de consecuencias políticas, sino un eslabón determinante en el acceso a la salud y en la soberanía de los cuerpos. El protagonismo estudiantil funcionó aquí como un dinamizador de la empatía y la autocrítica curricular, habilitando preguntas que las asignaturas troncales de la carrera —congeladas en el tecnicismo analítico— sistemáticamente eluden. </w:t>
      </w:r>
    </w:p>
    <w:p w14:paraId="1D2E28E1"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Puntos de Contacto, Tensiones Comunes y Discusión Teórica</w:t>
      </w:r>
    </w:p>
    <w:p w14:paraId="0EE2EF2C"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El análisis comparativo y la sistematización cruzada de las experiencias desarrolladas en el Instituto de Biología Molecular y Celular de Rosario (IBR) y en la Facultad de Ciencias </w:t>
      </w:r>
      <w:r w:rsidRPr="004F72EC">
        <w:rPr>
          <w:rFonts w:ascii="Times New Roman" w:hAnsi="Times New Roman" w:cs="Times New Roman"/>
        </w:rPr>
        <w:lastRenderedPageBreak/>
        <w:t>Bioquímicas y Farmacéuticas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permiten trazar un mapa de inteligibilidad compartida sobre cómo la Educación Sexual Integral (ESI) interpela las estructuras tradicionales de las ciencias experimentales. Aunque a primera vista ambos dispositivos metodológicos e institucionales parecen operar en órbitas disímiles —uno anclado en la sociología laboral de un instituto de investigación de doble dependencia y el otro incorporado en el trayecto de formación curricular final de una carrera de grado—, una mirada decolonial y feminista de la ciencia revela que ambas intervenciones se topan con la misma matriz de opresión epistémica y política. En esta segunda sección del desarrollo, nos proponemos desglosar los puntos de convergencia, las tensiones transversales y los núcleos de discusión teórica que emergieron al tensionar el campo cientificista a través de la praxis estudiantil y la extensión crítica. </w:t>
      </w:r>
    </w:p>
    <w:p w14:paraId="32FE1DA3"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1. La ruptura de la ilusión de neutralidad y la emergencia de la "Ciencia Situada"</w:t>
      </w:r>
    </w:p>
    <w:p w14:paraId="59C3C7F6"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El primer y más potente punto de contacto entre el taller del IBR y el de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es la impugnación colectiva y situada de la supuesta neutralidad ideológica, política y de género de las disciplinas experimentales. El positivismo lógico que impregna la cultura institucional de los laboratorios científicos y de salud pública postula que el conocimiento se produce en un vacío social, donde el sujeto que investiga o analiza se desprende de sus afectos, su corporalidad, su género y sus coordenadas de clase para transformarse en un ojo objetivo </w:t>
      </w:r>
      <w:proofErr w:type="spellStart"/>
      <w:r w:rsidRPr="004F72EC">
        <w:rPr>
          <w:rFonts w:ascii="Times New Roman" w:hAnsi="Times New Roman" w:cs="Times New Roman"/>
        </w:rPr>
        <w:t>e</w:t>
      </w:r>
      <w:proofErr w:type="spellEnd"/>
      <w:r w:rsidRPr="004F72EC">
        <w:rPr>
          <w:rFonts w:ascii="Times New Roman" w:hAnsi="Times New Roman" w:cs="Times New Roman"/>
        </w:rPr>
        <w:t xml:space="preserve"> infalible. (Blázquez Graf, 2017; </w:t>
      </w:r>
      <w:proofErr w:type="spellStart"/>
      <w:r w:rsidRPr="004F72EC">
        <w:rPr>
          <w:rFonts w:ascii="Times New Roman" w:hAnsi="Times New Roman" w:cs="Times New Roman"/>
        </w:rPr>
        <w:t>Guil</w:t>
      </w:r>
      <w:proofErr w:type="spellEnd"/>
      <w:r w:rsidRPr="004F72EC">
        <w:rPr>
          <w:rFonts w:ascii="Times New Roman" w:hAnsi="Times New Roman" w:cs="Times New Roman"/>
        </w:rPr>
        <w:t xml:space="preserve"> Bozal, 2016)</w:t>
      </w:r>
    </w:p>
    <w:p w14:paraId="46DB08BA" w14:textId="77777777" w:rsidR="004F72EC" w:rsidRPr="004F72EC" w:rsidRDefault="004F72EC" w:rsidP="004F72EC">
      <w:pPr>
        <w:numPr>
          <w:ilvl w:val="0"/>
          <w:numId w:val="3"/>
        </w:numPr>
        <w:spacing w:line="240" w:lineRule="auto"/>
        <w:jc w:val="both"/>
        <w:rPr>
          <w:rFonts w:ascii="Times New Roman" w:hAnsi="Times New Roman" w:cs="Times New Roman"/>
        </w:rPr>
      </w:pPr>
      <w:r w:rsidRPr="004F72EC">
        <w:rPr>
          <w:rFonts w:ascii="Times New Roman" w:hAnsi="Times New Roman" w:cs="Times New Roman"/>
        </w:rPr>
        <w:t xml:space="preserve">En el taller del IBR, esta ilusión de asepsia se desmoronó al evidenciar que las decisiones metodológicas cotidianas, los ritmos exigidos para las publicaciones y la evaluación del mérito académico están profundamente mediados por lógicas androcéntricas y productivistas. Las y los participantes reconocieron que el laboratorio no es una burbuja de pura racionalidad, sino un espacio jerárquico cruzado por el sufrimiento psíquico, la competitividad individualista y microviolencias sutiles que penalizan a los cuerpos feminizados y precarizados. </w:t>
      </w:r>
    </w:p>
    <w:p w14:paraId="5BEA91AC" w14:textId="77777777" w:rsidR="004F72EC" w:rsidRPr="004F72EC" w:rsidRDefault="004F72EC" w:rsidP="004F72EC">
      <w:pPr>
        <w:numPr>
          <w:ilvl w:val="0"/>
          <w:numId w:val="3"/>
        </w:numPr>
        <w:spacing w:line="240" w:lineRule="auto"/>
        <w:jc w:val="both"/>
        <w:rPr>
          <w:rFonts w:ascii="Times New Roman" w:hAnsi="Times New Roman" w:cs="Times New Roman"/>
        </w:rPr>
      </w:pPr>
      <w:r w:rsidRPr="004F72EC">
        <w:rPr>
          <w:rFonts w:ascii="Times New Roman" w:hAnsi="Times New Roman" w:cs="Times New Roman"/>
        </w:rPr>
        <w:t xml:space="preserve">En perfecta consonancia, el taller de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desmontó la neutralidad del dato analítico clínico al demostrar cómo el diseño de los intervalos de referencia automatizados y la binarización obligatoria en los sistemas de carga de datos invisibilizan la diversidad corporal de las identidades trans, no binarias e intersex. </w:t>
      </w:r>
    </w:p>
    <w:p w14:paraId="50E365F9"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Ambas experiencias demostraron empíricamente que la ciencia y la práctica profesional son siempre "situadas" (</w:t>
      </w:r>
      <w:proofErr w:type="spellStart"/>
      <w:r w:rsidRPr="004F72EC">
        <w:rPr>
          <w:rFonts w:ascii="Times New Roman" w:hAnsi="Times New Roman" w:cs="Times New Roman"/>
        </w:rPr>
        <w:t>Haraway</w:t>
      </w:r>
      <w:proofErr w:type="spellEnd"/>
      <w:r w:rsidRPr="004F72EC">
        <w:rPr>
          <w:rFonts w:ascii="Times New Roman" w:hAnsi="Times New Roman" w:cs="Times New Roman"/>
        </w:rPr>
        <w:t xml:space="preserve">, 1988). No existe el "ojo de Dios" que todo lo ve desde la nada; el conocimiento siempre se produce desde un cuerpo y un territorio institucional concreto. Al introducir los ejes de la ESI, la extensión universitaria crítica funcionó como un espejo incómodo que obligó a los laboratorios a mirarse a sí mismos ya no como templos del saber puro, sino como espacios de reproducción de asimetrías de poder que requieren una urgente revisión ética y epistemológica. </w:t>
      </w:r>
    </w:p>
    <w:p w14:paraId="3ECBF047"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2. El cuerpo y la afectividad como categorías políticas en el territorio de la razón</w:t>
      </w:r>
    </w:p>
    <w:p w14:paraId="30CDA012"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Un segundo eje transversal que unifica ambas intervenciones es la reintroducción deliberada del cuerpo, la afectividad y las dinámicas de cuidado en ámbitos institucionales que históricamente se constituyeron negando dichas dimensiones. El modelo cartesiano </w:t>
      </w:r>
      <w:r w:rsidRPr="004F72EC">
        <w:rPr>
          <w:rFonts w:ascii="Times New Roman" w:hAnsi="Times New Roman" w:cs="Times New Roman"/>
        </w:rPr>
        <w:lastRenderedPageBreak/>
        <w:t xml:space="preserve">occidental sobre el cual se edificó el método científico exige la separación tajante entre la mente (asociada a la masculinidad, la razón y la producción científica) y el cuerpo (asociado a la feminidad, la reproducción, las emociones y el cuidado). </w:t>
      </w:r>
    </w:p>
    <w:p w14:paraId="5B82A8EE"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Las dos propuestas estudiantiles operaron como actos de desacato pedagógico frente a esta división binaria:</w:t>
      </w:r>
    </w:p>
    <w:p w14:paraId="3E979CDC" w14:textId="77777777" w:rsidR="004F72EC" w:rsidRPr="004F72EC" w:rsidRDefault="004F72EC" w:rsidP="004F72EC">
      <w:pPr>
        <w:numPr>
          <w:ilvl w:val="0"/>
          <w:numId w:val="4"/>
        </w:numPr>
        <w:spacing w:line="240" w:lineRule="auto"/>
        <w:jc w:val="both"/>
        <w:rPr>
          <w:rFonts w:ascii="Times New Roman" w:hAnsi="Times New Roman" w:cs="Times New Roman"/>
        </w:rPr>
      </w:pPr>
      <w:r w:rsidRPr="004F72EC">
        <w:rPr>
          <w:rFonts w:ascii="Times New Roman" w:hAnsi="Times New Roman" w:cs="Times New Roman"/>
        </w:rPr>
        <w:t xml:space="preserve">En la experiencia del IBR, el taller brindó un espacio legítimo para hacer público el malestar privado. El agotamiento físico provocado por las jornadas de trabajo que exceden las ocho horas, la ansiedad frente a la inestabilidad de las becas y la culpa por intentar conciliar la vida reproductiva con las exigencias del CONICET dejaron de ser tabúes individuales para constituirse en demandas colectivas. La afectividad y el cuidado mutuo emergieron allí como estrategias urgentes de resistencia política frente al </w:t>
      </w:r>
      <w:proofErr w:type="spellStart"/>
      <w:r w:rsidRPr="004F72EC">
        <w:rPr>
          <w:rFonts w:ascii="Times New Roman" w:hAnsi="Times New Roman" w:cs="Times New Roman"/>
        </w:rPr>
        <w:t>imperfeccionismo</w:t>
      </w:r>
      <w:proofErr w:type="spellEnd"/>
      <w:r w:rsidRPr="004F72EC">
        <w:rPr>
          <w:rFonts w:ascii="Times New Roman" w:hAnsi="Times New Roman" w:cs="Times New Roman"/>
        </w:rPr>
        <w:t xml:space="preserve"> científico. </w:t>
      </w:r>
    </w:p>
    <w:p w14:paraId="59697B10" w14:textId="77777777" w:rsidR="004F72EC" w:rsidRPr="004F72EC" w:rsidRDefault="004F72EC" w:rsidP="004F72EC">
      <w:pPr>
        <w:numPr>
          <w:ilvl w:val="0"/>
          <w:numId w:val="4"/>
        </w:numPr>
        <w:spacing w:line="240" w:lineRule="auto"/>
        <w:jc w:val="both"/>
        <w:rPr>
          <w:rFonts w:ascii="Times New Roman" w:hAnsi="Times New Roman" w:cs="Times New Roman"/>
        </w:rPr>
      </w:pPr>
      <w:r w:rsidRPr="004F72EC">
        <w:rPr>
          <w:rFonts w:ascii="Times New Roman" w:hAnsi="Times New Roman" w:cs="Times New Roman"/>
        </w:rPr>
        <w:t xml:space="preserve">Por su parte, el taller de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reintrodujo la dimensión del cuerpo doliente y gozoso en el centro de la práctica bioquímica diagnóstica. Al analizar los casos de entrega de resultados reactivos para VIH y sífilis en operativos territoriales, las y los estudiantes comprendieron que detrás del "tubo de ensayo" hay una subjetividad que puede ser profundamente vulnerada por la estigmatización moral del personal de salud. </w:t>
      </w:r>
    </w:p>
    <w:p w14:paraId="3EA2F82B"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De este modo, la ESI no se limitó a ser un listado de contenidos conceptuales sobre anatomía o diversidad sexual, sino que se desplegó como un enfoque político-pedagógico integral que sitúa la vulnerabilidad, el consentimiento, el respeto por la alteridad y la interdependencia como valores indispensables de la práctica científica y profesional en el territorio. </w:t>
      </w:r>
    </w:p>
    <w:p w14:paraId="0D175DEB"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 xml:space="preserve">3. Del individualismo meritocrático a la </w:t>
      </w:r>
      <w:proofErr w:type="spellStart"/>
      <w:r w:rsidRPr="004F72EC">
        <w:rPr>
          <w:rFonts w:ascii="Times New Roman" w:hAnsi="Times New Roman" w:cs="Times New Roman"/>
          <w:b/>
          <w:bCs/>
        </w:rPr>
        <w:t>co-construcción</w:t>
      </w:r>
      <w:proofErr w:type="spellEnd"/>
      <w:r w:rsidRPr="004F72EC">
        <w:rPr>
          <w:rFonts w:ascii="Times New Roman" w:hAnsi="Times New Roman" w:cs="Times New Roman"/>
          <w:b/>
          <w:bCs/>
        </w:rPr>
        <w:t xml:space="preserve"> de redes de cuidado</w:t>
      </w:r>
    </w:p>
    <w:p w14:paraId="547AC11C"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Un tercer punto de contacto crítico reside en la necesidad compartida de subvertir la lógica del individualismo meritocrático, característica tanto de las trayectorias de investigación como del tramo final de las carreras universitarias de grado, para dar paso a la organización comunitaria e institucional. </w:t>
      </w:r>
    </w:p>
    <w:p w14:paraId="044F269E"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Tanto el sistema de becas doctorales como el tramo de egreso de la carrera de Bioquímica están estructurados bajo dinámicas </w:t>
      </w:r>
      <w:proofErr w:type="spellStart"/>
      <w:r w:rsidRPr="004F72EC">
        <w:rPr>
          <w:rFonts w:ascii="Times New Roman" w:hAnsi="Times New Roman" w:cs="Times New Roman"/>
        </w:rPr>
        <w:t>hipercompetitivas</w:t>
      </w:r>
      <w:proofErr w:type="spellEnd"/>
      <w:r w:rsidRPr="004F72EC">
        <w:rPr>
          <w:rFonts w:ascii="Times New Roman" w:hAnsi="Times New Roman" w:cs="Times New Roman"/>
        </w:rPr>
        <w:t xml:space="preserve">. En la investigación, se compite por la autoría de los artículos científicos, el puntaje en los comités de evaluación y el financiamiento de subsidios. En el grado académico, se compite por los promedios, las becas de iniciación y el prestigio dentro de las cátedras. Esta cultura institucional promueve el aislamiento: si un/a investigador/a en formación sufre violencia o si un/a estudiante se siente expulsado/a por la rigidez de un protocolo, la gramática institucional dominante tiende a codificarlo como un fracaso personal ("no </w:t>
      </w:r>
      <w:proofErr w:type="spellStart"/>
      <w:r w:rsidRPr="004F72EC">
        <w:rPr>
          <w:rFonts w:ascii="Times New Roman" w:hAnsi="Times New Roman" w:cs="Times New Roman"/>
        </w:rPr>
        <w:t>sos</w:t>
      </w:r>
      <w:proofErr w:type="spellEnd"/>
      <w:r w:rsidRPr="004F72EC">
        <w:rPr>
          <w:rFonts w:ascii="Times New Roman" w:hAnsi="Times New Roman" w:cs="Times New Roman"/>
        </w:rPr>
        <w:t xml:space="preserve"> lo suficientemente apto/a para la ciencia" o "no </w:t>
      </w:r>
      <w:proofErr w:type="spellStart"/>
      <w:r w:rsidRPr="004F72EC">
        <w:rPr>
          <w:rFonts w:ascii="Times New Roman" w:hAnsi="Times New Roman" w:cs="Times New Roman"/>
        </w:rPr>
        <w:t>tenés</w:t>
      </w:r>
      <w:proofErr w:type="spellEnd"/>
      <w:r w:rsidRPr="004F72EC">
        <w:rPr>
          <w:rFonts w:ascii="Times New Roman" w:hAnsi="Times New Roman" w:cs="Times New Roman"/>
        </w:rPr>
        <w:t xml:space="preserve"> la fortaleza para esta profesión") (Blázquez Graf, 2022; Vidal &amp; </w:t>
      </w:r>
      <w:proofErr w:type="spellStart"/>
      <w:r w:rsidRPr="004F72EC">
        <w:rPr>
          <w:rFonts w:ascii="Times New Roman" w:hAnsi="Times New Roman" w:cs="Times New Roman"/>
        </w:rPr>
        <w:t>Hegedüs</w:t>
      </w:r>
      <w:proofErr w:type="spellEnd"/>
      <w:r w:rsidRPr="004F72EC">
        <w:rPr>
          <w:rFonts w:ascii="Times New Roman" w:hAnsi="Times New Roman" w:cs="Times New Roman"/>
        </w:rPr>
        <w:t>, 2018).</w:t>
      </w:r>
    </w:p>
    <w:p w14:paraId="6B892DE6"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Los dos talleres quebraron este aislamiento al proponer dispositivos de escucha colectiva y asamblearia. La metodología de educación popular y estudio de casos utilizada en las </w:t>
      </w:r>
      <w:r w:rsidRPr="004F72EC">
        <w:rPr>
          <w:rFonts w:ascii="Times New Roman" w:hAnsi="Times New Roman" w:cs="Times New Roman"/>
        </w:rPr>
        <w:lastRenderedPageBreak/>
        <w:t xml:space="preserve">intervenciones propició que las y los participantes se reconocieran como pares con problemáticas comunes. </w:t>
      </w:r>
    </w:p>
    <w:p w14:paraId="08B2BABB" w14:textId="77777777" w:rsidR="004F72EC" w:rsidRPr="004F72EC" w:rsidRDefault="004F72EC" w:rsidP="004F72EC">
      <w:pPr>
        <w:numPr>
          <w:ilvl w:val="0"/>
          <w:numId w:val="5"/>
        </w:numPr>
        <w:spacing w:line="240" w:lineRule="auto"/>
        <w:jc w:val="both"/>
        <w:rPr>
          <w:rFonts w:ascii="Times New Roman" w:hAnsi="Times New Roman" w:cs="Times New Roman"/>
        </w:rPr>
      </w:pPr>
      <w:r w:rsidRPr="004F72EC">
        <w:rPr>
          <w:rFonts w:ascii="Times New Roman" w:hAnsi="Times New Roman" w:cs="Times New Roman"/>
        </w:rPr>
        <w:t xml:space="preserve">En el IBR, esto decantó de forma explícita en la propuesta organizativa de fundar una red comunitaria interna e informal de acompañamiento para becarios/as, </w:t>
      </w:r>
      <w:proofErr w:type="spellStart"/>
      <w:r w:rsidRPr="004F72EC">
        <w:rPr>
          <w:rFonts w:ascii="Times New Roman" w:hAnsi="Times New Roman" w:cs="Times New Roman"/>
        </w:rPr>
        <w:t>tesinistas</w:t>
      </w:r>
      <w:proofErr w:type="spellEnd"/>
      <w:r w:rsidRPr="004F72EC">
        <w:rPr>
          <w:rFonts w:ascii="Times New Roman" w:hAnsi="Times New Roman" w:cs="Times New Roman"/>
        </w:rPr>
        <w:t xml:space="preserve"> y personal de apoyo que mitigue la burocratización y desconfianza hacia los comités institucionales formales. </w:t>
      </w:r>
    </w:p>
    <w:p w14:paraId="4BB25A3F" w14:textId="77777777" w:rsidR="004F72EC" w:rsidRPr="004F72EC" w:rsidRDefault="004F72EC" w:rsidP="004F72EC">
      <w:pPr>
        <w:numPr>
          <w:ilvl w:val="0"/>
          <w:numId w:val="5"/>
        </w:numPr>
        <w:spacing w:line="240" w:lineRule="auto"/>
        <w:jc w:val="both"/>
        <w:rPr>
          <w:rFonts w:ascii="Times New Roman" w:hAnsi="Times New Roman" w:cs="Times New Roman"/>
        </w:rPr>
      </w:pPr>
      <w:r w:rsidRPr="004F72EC">
        <w:rPr>
          <w:rFonts w:ascii="Times New Roman" w:hAnsi="Times New Roman" w:cs="Times New Roman"/>
        </w:rPr>
        <w:t xml:space="preserve">En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la deliberación colectiva permitió vislumbrar la necesidad de una "bioquímica militante o situada", donde los futuros egresados se organicen para presionar a las instituciones de salud y a los comités de ética en </w:t>
      </w:r>
      <w:proofErr w:type="spellStart"/>
      <w:r w:rsidRPr="004F72EC">
        <w:rPr>
          <w:rFonts w:ascii="Times New Roman" w:hAnsi="Times New Roman" w:cs="Times New Roman"/>
        </w:rPr>
        <w:t>pos</w:t>
      </w:r>
      <w:proofErr w:type="spellEnd"/>
      <w:r w:rsidRPr="004F72EC">
        <w:rPr>
          <w:rFonts w:ascii="Times New Roman" w:hAnsi="Times New Roman" w:cs="Times New Roman"/>
        </w:rPr>
        <w:t xml:space="preserve"> de reformar los sistemas informáticos binarios y los manuales de procedimiento androcéntricos. </w:t>
      </w:r>
    </w:p>
    <w:p w14:paraId="143CF336"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La extensión crítica, por lo tanto, no se limitó a diagnosticar la opresión, sino que catalizó procesos de subjetivación política colectiva dentro del propio territorio universitario e investigativo. </w:t>
      </w:r>
    </w:p>
    <w:p w14:paraId="014B2DAC" w14:textId="77777777" w:rsidR="004F72EC" w:rsidRPr="004F72EC" w:rsidRDefault="004F72EC" w:rsidP="004F72EC">
      <w:pPr>
        <w:spacing w:line="240" w:lineRule="auto"/>
        <w:jc w:val="both"/>
        <w:rPr>
          <w:rFonts w:ascii="Times New Roman" w:hAnsi="Times New Roman" w:cs="Times New Roman"/>
          <w:b/>
          <w:bCs/>
        </w:rPr>
      </w:pPr>
      <w:r w:rsidRPr="004F72EC">
        <w:rPr>
          <w:rFonts w:ascii="Times New Roman" w:hAnsi="Times New Roman" w:cs="Times New Roman"/>
          <w:b/>
          <w:bCs/>
        </w:rPr>
        <w:t>4. Tensiones y resistencias en el territorio científico: El cuestionamiento de la idoneidad estudiantil</w:t>
      </w:r>
    </w:p>
    <w:p w14:paraId="3C23C4CD"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A pesar de los logros y de la potencia transformadora descrita, la implementación de ambos talleres no estuvo exenta de tensiones, fricciones y resistencias institucionales latentes que merecen ser analizadas de cara a los debates actuales sobre la educación superior. El obstáculo principal que compartieron ambas experiencias radica en la tensión de legitimidad que sufre el protagonismo estudiantil cuando intenta intervenir en campos altamente tecnocráticos y jerarquizados. </w:t>
      </w:r>
    </w:p>
    <w:p w14:paraId="4341B17C" w14:textId="77777777"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En las facultades y centros científicos regidos por el canon positivista, opera una jerarquía epistémica muy estricta, basada en la acumulación de títulos, antigüedad y antecedentes de publicación. Cuando un grupo de estudiantes de grado, o investigadoras/es noveles en formación, asume el rol de coordinadores de un taller para interpelar el funcionamiento de un instituto o la validez ética de los protocolos clínicos de una carrera, se activa de forma automática una resistencia corporativa e institucional que tiende a deslegitimar sus voces. Esta resistencia suele manifestarse bajo la acusación velada de "falta de idoneidad técnica" o a través de la sospecha de que se está "ideologizando" o introduciendo debates "anticientíficos" o meramente políticos en espacios que deberían preservarse puros (Blázquez Graf, 2022; </w:t>
      </w:r>
      <w:proofErr w:type="spellStart"/>
      <w:r w:rsidRPr="004F72EC">
        <w:rPr>
          <w:rFonts w:ascii="Times New Roman" w:hAnsi="Times New Roman" w:cs="Times New Roman"/>
        </w:rPr>
        <w:t>Mendonça</w:t>
      </w:r>
      <w:proofErr w:type="spellEnd"/>
      <w:r w:rsidRPr="004F72EC">
        <w:rPr>
          <w:rFonts w:ascii="Times New Roman" w:hAnsi="Times New Roman" w:cs="Times New Roman"/>
        </w:rPr>
        <w:t xml:space="preserve"> &amp; </w:t>
      </w:r>
      <w:proofErr w:type="spellStart"/>
      <w:r w:rsidRPr="004F72EC">
        <w:rPr>
          <w:rFonts w:ascii="Times New Roman" w:hAnsi="Times New Roman" w:cs="Times New Roman"/>
        </w:rPr>
        <w:t>Croso</w:t>
      </w:r>
      <w:proofErr w:type="spellEnd"/>
      <w:r w:rsidRPr="004F72EC">
        <w:rPr>
          <w:rFonts w:ascii="Times New Roman" w:hAnsi="Times New Roman" w:cs="Times New Roman"/>
        </w:rPr>
        <w:t xml:space="preserve">, 2025). </w:t>
      </w:r>
    </w:p>
    <w:p w14:paraId="4A42AC27" w14:textId="77777777" w:rsidR="004F72EC" w:rsidRPr="004F72EC" w:rsidRDefault="004F72EC" w:rsidP="004F72EC">
      <w:pPr>
        <w:numPr>
          <w:ilvl w:val="0"/>
          <w:numId w:val="6"/>
        </w:numPr>
        <w:spacing w:line="240" w:lineRule="auto"/>
        <w:jc w:val="both"/>
        <w:rPr>
          <w:rFonts w:ascii="Times New Roman" w:hAnsi="Times New Roman" w:cs="Times New Roman"/>
        </w:rPr>
      </w:pPr>
      <w:r w:rsidRPr="004F72EC">
        <w:rPr>
          <w:rFonts w:ascii="Times New Roman" w:hAnsi="Times New Roman" w:cs="Times New Roman"/>
        </w:rPr>
        <w:t xml:space="preserve">En el caso del IBR, esta tensión se tradujo en la baja participación o el abierto ausentismo de los estamentos de investigadores principales y directores de grupo en las instancias de debate directo sobre las relaciones de poder, delegando el espacio como si fuera un asunto exclusivo del personal precarizado y de menor jerarquía. Esto demuestra que las jerarquías consolidadas perciben la democratización de los espacios de laboratorio y la aplicación de los principios éticos de la ESI como una amenaza directa a sus privilegios de dirección y evaluación. </w:t>
      </w:r>
    </w:p>
    <w:p w14:paraId="7AD3204B" w14:textId="77777777" w:rsidR="004F72EC" w:rsidRPr="004F72EC" w:rsidRDefault="004F72EC" w:rsidP="004F72EC">
      <w:pPr>
        <w:numPr>
          <w:ilvl w:val="0"/>
          <w:numId w:val="6"/>
        </w:numPr>
        <w:spacing w:line="240" w:lineRule="auto"/>
        <w:jc w:val="both"/>
        <w:rPr>
          <w:rFonts w:ascii="Times New Roman" w:hAnsi="Times New Roman" w:cs="Times New Roman"/>
        </w:rPr>
      </w:pPr>
      <w:r w:rsidRPr="004F72EC">
        <w:rPr>
          <w:rFonts w:ascii="Times New Roman" w:hAnsi="Times New Roman" w:cs="Times New Roman"/>
        </w:rPr>
        <w:lastRenderedPageBreak/>
        <w:t xml:space="preserve">En el caso de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la tensión se observó en la dificultad inicial de los propios estudiantes de sexto año para </w:t>
      </w:r>
      <w:proofErr w:type="spellStart"/>
      <w:r w:rsidRPr="004F72EC">
        <w:rPr>
          <w:rFonts w:ascii="Times New Roman" w:hAnsi="Times New Roman" w:cs="Times New Roman"/>
        </w:rPr>
        <w:t>autopercibirse</w:t>
      </w:r>
      <w:proofErr w:type="spellEnd"/>
      <w:r w:rsidRPr="004F72EC">
        <w:rPr>
          <w:rFonts w:ascii="Times New Roman" w:hAnsi="Times New Roman" w:cs="Times New Roman"/>
        </w:rPr>
        <w:t xml:space="preserve"> con el derecho y la autoridad epistémica de cuestionar los valores de referencia bioquímicos impresos en los libros de texto tradicionales. El peso de la formación bancaria y mecanicista es tan profundo que el estudiantado internaliza que el dato analítico es incuestionable, requiriendo un esfuerzo pedagógico extra por parte de las coordinadoras de la electiva para desnaturalizar que los manuales clínicos también son construcciones históricas provisorias cruzadas por sesgos androcéntricos. </w:t>
      </w:r>
    </w:p>
    <w:p w14:paraId="108ACC11" w14:textId="7A58A1E3" w:rsidR="004F72EC" w:rsidRPr="004F72EC" w:rsidRDefault="004F72EC" w:rsidP="004F72EC">
      <w:pPr>
        <w:spacing w:line="240" w:lineRule="auto"/>
        <w:jc w:val="both"/>
        <w:rPr>
          <w:rFonts w:ascii="Times New Roman" w:hAnsi="Times New Roman" w:cs="Times New Roman"/>
        </w:rPr>
      </w:pPr>
      <w:r w:rsidRPr="004F72EC">
        <w:rPr>
          <w:rFonts w:ascii="Times New Roman" w:hAnsi="Times New Roman" w:cs="Times New Roman"/>
        </w:rPr>
        <w:t xml:space="preserve"> Estas tensiones ponen de manifiesto que la verdadera extensión crítica no es un proceso armónico ni de pacífica convivencia, sino un territorio de disputa política y cultural. La incorporación de la ESI en las ciencias experimentales rasga los velos del poder institucional, y es precisamente en la gestión pedagógica de esas tensiones donde radica la posibilidad de transformar de raíz las universidades públicas y los organismos de ciencia y tecnología.</w:t>
      </w:r>
    </w:p>
    <w:p w14:paraId="12CE0BCB" w14:textId="6A82741F" w:rsidR="005F3B2E" w:rsidRPr="004F72EC" w:rsidRDefault="005F3B2E" w:rsidP="007B5B5F">
      <w:pPr>
        <w:spacing w:line="240" w:lineRule="auto"/>
        <w:rPr>
          <w:rFonts w:ascii="Times New Roman" w:hAnsi="Times New Roman" w:cs="Times New Roman"/>
          <w:b/>
          <w:bCs/>
          <w:lang w:val="es-AR"/>
        </w:rPr>
      </w:pPr>
      <w:r w:rsidRPr="004F72EC">
        <w:rPr>
          <w:rFonts w:ascii="Times New Roman" w:hAnsi="Times New Roman" w:cs="Times New Roman"/>
          <w:b/>
          <w:bCs/>
          <w:lang w:val="es-AR"/>
        </w:rPr>
        <w:t>Conclusiones</w:t>
      </w:r>
    </w:p>
    <w:p w14:paraId="61C5DD09" w14:textId="7BFB7953" w:rsidR="004F72EC" w:rsidRPr="004F72EC" w:rsidRDefault="004F72EC" w:rsidP="004F72EC">
      <w:pPr>
        <w:spacing w:line="240" w:lineRule="auto"/>
        <w:jc w:val="both"/>
        <w:rPr>
          <w:rFonts w:ascii="Times New Roman" w:hAnsi="Times New Roman" w:cs="Times New Roman"/>
        </w:rPr>
      </w:pPr>
      <w:r>
        <w:rPr>
          <w:rFonts w:ascii="Times New Roman" w:hAnsi="Times New Roman" w:cs="Times New Roman"/>
        </w:rPr>
        <w:t xml:space="preserve"> </w:t>
      </w:r>
      <w:r w:rsidRPr="004F72EC">
        <w:rPr>
          <w:rFonts w:ascii="Times New Roman" w:hAnsi="Times New Roman" w:cs="Times New Roman"/>
        </w:rPr>
        <w:t xml:space="preserve">A modo de cierre, la sistematización y el análisis comparativo de las experiencias desarrolladas en el IBR y en la </w:t>
      </w:r>
      <w:proofErr w:type="spellStart"/>
      <w:r w:rsidRPr="004F72EC">
        <w:rPr>
          <w:rFonts w:ascii="Times New Roman" w:hAnsi="Times New Roman" w:cs="Times New Roman"/>
        </w:rPr>
        <w:t>FBioyF</w:t>
      </w:r>
      <w:proofErr w:type="spellEnd"/>
      <w:r w:rsidRPr="004F72EC">
        <w:rPr>
          <w:rFonts w:ascii="Times New Roman" w:hAnsi="Times New Roman" w:cs="Times New Roman"/>
        </w:rPr>
        <w:t xml:space="preserve"> de la Universidad Nacional de Rosario (UNR) confirman que la Educación Sexual Integral (ESI) y la extensión universitaria crítica constituyen un binomio pedagógico y político con una potencia disruptiva singular en el campo de las ciencias experimentales. Ambas intervenciones lograron fisurar la histórica ilusión de neutralidad y asepsia analítica que hegemoniza a los laboratorios de investigación y de salud pública, demostrando que detrás de cada dato analítico, de cada manual de procedimiento y de cada jornada de trabajo existen corporalidades, afectos y micropolíticas de poder que requieren una profunda revisión ética y epistemológica. </w:t>
      </w:r>
    </w:p>
    <w:p w14:paraId="7EBD809A" w14:textId="77FE6216" w:rsidR="004F72EC" w:rsidRPr="004F72EC" w:rsidRDefault="004F72EC" w:rsidP="004F72EC">
      <w:pPr>
        <w:spacing w:line="240" w:lineRule="auto"/>
        <w:jc w:val="both"/>
        <w:rPr>
          <w:rFonts w:ascii="Times New Roman" w:hAnsi="Times New Roman" w:cs="Times New Roman"/>
        </w:rPr>
      </w:pPr>
      <w:r>
        <w:rPr>
          <w:rFonts w:ascii="Times New Roman" w:hAnsi="Times New Roman" w:cs="Times New Roman"/>
        </w:rPr>
        <w:t xml:space="preserve"> </w:t>
      </w:r>
      <w:r w:rsidRPr="004F72EC">
        <w:rPr>
          <w:rFonts w:ascii="Times New Roman" w:hAnsi="Times New Roman" w:cs="Times New Roman"/>
        </w:rPr>
        <w:t xml:space="preserve">El protagonismo estudiantil emergió en ambos escenarios como el principal motor de desnaturalización. La capacidad de las y los estudiantes y jóvenes investigadores para habitar simultáneamente la vulnerabilidad del trayecto formativo o laboral y el compromiso con la transformación social les permitió identificar con agudeza las contradicciones de una matriz científica androcéntrica, productivista y </w:t>
      </w:r>
      <w:proofErr w:type="spellStart"/>
      <w:r w:rsidRPr="004F72EC">
        <w:rPr>
          <w:rFonts w:ascii="Times New Roman" w:hAnsi="Times New Roman" w:cs="Times New Roman"/>
        </w:rPr>
        <w:t>cisheteronormativa</w:t>
      </w:r>
      <w:proofErr w:type="spellEnd"/>
      <w:r w:rsidRPr="004F72EC">
        <w:rPr>
          <w:rFonts w:ascii="Times New Roman" w:hAnsi="Times New Roman" w:cs="Times New Roman"/>
        </w:rPr>
        <w:t xml:space="preserve">. Al desplazar el individualismo meritocrático que impera en el sistema académico, los talleres habilitaron instancias de escucha asamblearia donde el malestar privado se transformó en diagnóstico colectivo, catalizando la </w:t>
      </w:r>
      <w:proofErr w:type="spellStart"/>
      <w:r w:rsidRPr="004F72EC">
        <w:rPr>
          <w:rFonts w:ascii="Times New Roman" w:hAnsi="Times New Roman" w:cs="Times New Roman"/>
        </w:rPr>
        <w:t>co-construcción</w:t>
      </w:r>
      <w:proofErr w:type="spellEnd"/>
      <w:r w:rsidRPr="004F72EC">
        <w:rPr>
          <w:rFonts w:ascii="Times New Roman" w:hAnsi="Times New Roman" w:cs="Times New Roman"/>
        </w:rPr>
        <w:t xml:space="preserve"> de redes de cuidado comunitarias e informales ante las violencias y asimetrías de poder. </w:t>
      </w:r>
    </w:p>
    <w:p w14:paraId="46FB8816" w14:textId="7505D64F" w:rsidR="004F72EC" w:rsidRPr="004F72EC" w:rsidRDefault="004F72EC" w:rsidP="004F72EC">
      <w:pPr>
        <w:spacing w:line="240" w:lineRule="auto"/>
        <w:jc w:val="both"/>
        <w:rPr>
          <w:rFonts w:ascii="Times New Roman" w:hAnsi="Times New Roman" w:cs="Times New Roman"/>
        </w:rPr>
      </w:pPr>
      <w:r>
        <w:rPr>
          <w:rFonts w:ascii="Times New Roman" w:hAnsi="Times New Roman" w:cs="Times New Roman"/>
        </w:rPr>
        <w:t xml:space="preserve"> </w:t>
      </w:r>
      <w:r w:rsidRPr="004F72EC">
        <w:rPr>
          <w:rFonts w:ascii="Times New Roman" w:hAnsi="Times New Roman" w:cs="Times New Roman"/>
        </w:rPr>
        <w:t xml:space="preserve">Sin embargo, las tensiones metodológicas e institucionales observadas —como el ausentismo corporativo de las jerarquías consolidadas y las resistencias epistémicas a los saberes situados— evidencian que la incorporación de la ESI en estos territorios científico-educativos no es un proceso armónico, sino un campo de disputa cultural. Para que estas intervenciones dejen de ser esfuerzos periféricos, electivos o aislados, resulta urgente avanzar hacia la institucionalización y transversalización efectiva de la ESI en las </w:t>
      </w:r>
      <w:proofErr w:type="spellStart"/>
      <w:r w:rsidRPr="004F72EC">
        <w:rPr>
          <w:rFonts w:ascii="Times New Roman" w:hAnsi="Times New Roman" w:cs="Times New Roman"/>
        </w:rPr>
        <w:t>currículas</w:t>
      </w:r>
      <w:proofErr w:type="spellEnd"/>
      <w:r w:rsidRPr="004F72EC">
        <w:rPr>
          <w:rFonts w:ascii="Times New Roman" w:hAnsi="Times New Roman" w:cs="Times New Roman"/>
        </w:rPr>
        <w:t xml:space="preserve"> de las carreras exactas y naturales, en consonancia con las exigencias del marco normativo nacional e internacional vigente. Solo mediante políticas institucionales permanentes que reconozcan el valor de la extensión crítica y democraticen las relaciones de </w:t>
      </w:r>
      <w:r w:rsidRPr="004F72EC">
        <w:rPr>
          <w:rFonts w:ascii="Times New Roman" w:hAnsi="Times New Roman" w:cs="Times New Roman"/>
        </w:rPr>
        <w:lastRenderedPageBreak/>
        <w:t xml:space="preserve">poder en los laboratorios será posible construir una universidad pública verdaderamente justa, inclusiva y comprometida con la soberanía de los cuerpos y los territorios. </w:t>
      </w:r>
    </w:p>
    <w:p w14:paraId="544B704F" w14:textId="77777777" w:rsidR="00BC236F" w:rsidRPr="004F72EC" w:rsidRDefault="00BC236F"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6CEBF3E9" w14:textId="77777777" w:rsidR="00B560F4" w:rsidRPr="00B560F4" w:rsidRDefault="00B560F4" w:rsidP="00B560F4">
      <w:pPr>
        <w:rPr>
          <w:rFonts w:ascii="Times New Roman" w:hAnsi="Times New Roman" w:cs="Times New Roman"/>
        </w:rPr>
      </w:pPr>
      <w:r w:rsidRPr="00B560F4">
        <w:rPr>
          <w:rFonts w:ascii="Times New Roman" w:hAnsi="Times New Roman" w:cs="Times New Roman"/>
        </w:rPr>
        <w:t xml:space="preserve">Blázquez Graf, N. (2017). </w:t>
      </w:r>
      <w:r w:rsidRPr="00B560F4">
        <w:rPr>
          <w:rFonts w:ascii="Times New Roman" w:hAnsi="Times New Roman" w:cs="Times New Roman"/>
          <w:i/>
          <w:iCs/>
        </w:rPr>
        <w:t>Investigación feminista</w:t>
      </w:r>
      <w:r w:rsidRPr="00B560F4">
        <w:rPr>
          <w:rFonts w:ascii="Times New Roman" w:hAnsi="Times New Roman" w:cs="Times New Roman"/>
        </w:rPr>
        <w:t>. CEIICH-UNAM y CLACSO.</w:t>
      </w:r>
    </w:p>
    <w:p w14:paraId="32F91B38" w14:textId="77777777" w:rsidR="00B560F4" w:rsidRPr="00B560F4" w:rsidRDefault="00B560F4" w:rsidP="00B560F4">
      <w:pPr>
        <w:rPr>
          <w:rFonts w:ascii="Times New Roman" w:hAnsi="Times New Roman" w:cs="Times New Roman"/>
        </w:rPr>
      </w:pPr>
      <w:r w:rsidRPr="00B560F4">
        <w:rPr>
          <w:rFonts w:ascii="Times New Roman" w:hAnsi="Times New Roman" w:cs="Times New Roman"/>
        </w:rPr>
        <w:t xml:space="preserve">De Sousa Santos, B. (2010). </w:t>
      </w:r>
      <w:r w:rsidRPr="00B560F4">
        <w:rPr>
          <w:rFonts w:ascii="Times New Roman" w:hAnsi="Times New Roman" w:cs="Times New Roman"/>
          <w:i/>
          <w:iCs/>
        </w:rPr>
        <w:t>Para una pedagogía de las ausencias y las emergencias</w:t>
      </w:r>
      <w:r w:rsidRPr="00B560F4">
        <w:rPr>
          <w:rFonts w:ascii="Times New Roman" w:hAnsi="Times New Roman" w:cs="Times New Roman"/>
        </w:rPr>
        <w:t>. CLACSO.</w:t>
      </w:r>
    </w:p>
    <w:p w14:paraId="19960AA3" w14:textId="77777777" w:rsidR="00B560F4" w:rsidRPr="00B560F4" w:rsidRDefault="00B560F4" w:rsidP="00B560F4">
      <w:pPr>
        <w:rPr>
          <w:rFonts w:ascii="Times New Roman" w:hAnsi="Times New Roman" w:cs="Times New Roman"/>
        </w:rPr>
      </w:pPr>
      <w:r w:rsidRPr="00B560F4">
        <w:rPr>
          <w:rFonts w:ascii="Times New Roman" w:hAnsi="Times New Roman" w:cs="Times New Roman"/>
        </w:rPr>
        <w:t>Fausto-</w:t>
      </w:r>
      <w:proofErr w:type="spellStart"/>
      <w:r w:rsidRPr="00B560F4">
        <w:rPr>
          <w:rFonts w:ascii="Times New Roman" w:hAnsi="Times New Roman" w:cs="Times New Roman"/>
        </w:rPr>
        <w:t>Sterling</w:t>
      </w:r>
      <w:proofErr w:type="spellEnd"/>
      <w:r w:rsidRPr="00B560F4">
        <w:rPr>
          <w:rFonts w:ascii="Times New Roman" w:hAnsi="Times New Roman" w:cs="Times New Roman"/>
        </w:rPr>
        <w:t xml:space="preserve">, A. (2000). </w:t>
      </w:r>
      <w:r w:rsidRPr="00B560F4">
        <w:rPr>
          <w:rFonts w:ascii="Times New Roman" w:hAnsi="Times New Roman" w:cs="Times New Roman"/>
          <w:i/>
          <w:iCs/>
        </w:rPr>
        <w:t>Cuerpos sexuados: La política de género y la construcción de la sexualidad</w:t>
      </w:r>
      <w:r w:rsidRPr="00B560F4">
        <w:rPr>
          <w:rFonts w:ascii="Times New Roman" w:hAnsi="Times New Roman" w:cs="Times New Roman"/>
        </w:rPr>
        <w:t xml:space="preserve">. </w:t>
      </w:r>
      <w:proofErr w:type="spellStart"/>
      <w:r w:rsidRPr="00B560F4">
        <w:rPr>
          <w:rFonts w:ascii="Times New Roman" w:hAnsi="Times New Roman" w:cs="Times New Roman"/>
        </w:rPr>
        <w:t>Melusina</w:t>
      </w:r>
      <w:proofErr w:type="spellEnd"/>
      <w:r w:rsidRPr="00B560F4">
        <w:rPr>
          <w:rFonts w:ascii="Times New Roman" w:hAnsi="Times New Roman" w:cs="Times New Roman"/>
        </w:rPr>
        <w:t>.</w:t>
      </w:r>
    </w:p>
    <w:p w14:paraId="2C22DA25" w14:textId="77777777" w:rsidR="00B560F4" w:rsidRPr="00B560F4" w:rsidRDefault="00B560F4" w:rsidP="00B560F4">
      <w:pPr>
        <w:rPr>
          <w:rFonts w:ascii="Times New Roman" w:hAnsi="Times New Roman" w:cs="Times New Roman"/>
          <w:lang w:val="en-GB"/>
        </w:rPr>
      </w:pPr>
      <w:proofErr w:type="spellStart"/>
      <w:r w:rsidRPr="00B560F4">
        <w:rPr>
          <w:rFonts w:ascii="Times New Roman" w:hAnsi="Times New Roman" w:cs="Times New Roman"/>
        </w:rPr>
        <w:t>Guil</w:t>
      </w:r>
      <w:proofErr w:type="spellEnd"/>
      <w:r w:rsidRPr="00B560F4">
        <w:rPr>
          <w:rFonts w:ascii="Times New Roman" w:hAnsi="Times New Roman" w:cs="Times New Roman"/>
        </w:rPr>
        <w:t xml:space="preserve"> Bozal, A. (2016). Género y construcción científica del conocimiento. </w:t>
      </w:r>
      <w:proofErr w:type="spellStart"/>
      <w:r w:rsidRPr="00B560F4">
        <w:rPr>
          <w:rFonts w:ascii="Times New Roman" w:hAnsi="Times New Roman" w:cs="Times New Roman"/>
          <w:i/>
          <w:iCs/>
          <w:lang w:val="en-GB"/>
        </w:rPr>
        <w:t>Revista</w:t>
      </w:r>
      <w:proofErr w:type="spellEnd"/>
      <w:r w:rsidRPr="00B560F4">
        <w:rPr>
          <w:rFonts w:ascii="Times New Roman" w:hAnsi="Times New Roman" w:cs="Times New Roman"/>
          <w:i/>
          <w:iCs/>
          <w:lang w:val="en-GB"/>
        </w:rPr>
        <w:t xml:space="preserve"> Historia de la </w:t>
      </w:r>
      <w:proofErr w:type="spellStart"/>
      <w:r w:rsidRPr="00B560F4">
        <w:rPr>
          <w:rFonts w:ascii="Times New Roman" w:hAnsi="Times New Roman" w:cs="Times New Roman"/>
          <w:i/>
          <w:iCs/>
          <w:lang w:val="en-GB"/>
        </w:rPr>
        <w:t>Educación</w:t>
      </w:r>
      <w:proofErr w:type="spellEnd"/>
      <w:r w:rsidRPr="00B560F4">
        <w:rPr>
          <w:rFonts w:ascii="Times New Roman" w:hAnsi="Times New Roman" w:cs="Times New Roman"/>
          <w:i/>
          <w:iCs/>
          <w:lang w:val="en-GB"/>
        </w:rPr>
        <w:t xml:space="preserve"> Latinoamericana, 18</w:t>
      </w:r>
      <w:r w:rsidRPr="00B560F4">
        <w:rPr>
          <w:rFonts w:ascii="Times New Roman" w:hAnsi="Times New Roman" w:cs="Times New Roman"/>
          <w:lang w:val="en-GB"/>
        </w:rPr>
        <w:t>(27), 263–288.</w:t>
      </w:r>
    </w:p>
    <w:p w14:paraId="5017897E" w14:textId="77777777" w:rsidR="00B560F4" w:rsidRPr="00B560F4" w:rsidRDefault="00B560F4" w:rsidP="00B560F4">
      <w:pPr>
        <w:rPr>
          <w:rFonts w:ascii="Times New Roman" w:hAnsi="Times New Roman" w:cs="Times New Roman"/>
        </w:rPr>
      </w:pPr>
      <w:r w:rsidRPr="00B560F4">
        <w:rPr>
          <w:rFonts w:ascii="Times New Roman" w:hAnsi="Times New Roman" w:cs="Times New Roman"/>
          <w:lang w:val="en-GB"/>
        </w:rPr>
        <w:t xml:space="preserve">Haraway, D. (1988). Situated knowledges: The science question in feminism and the privilege of partial perspective. </w:t>
      </w:r>
      <w:proofErr w:type="spellStart"/>
      <w:r w:rsidRPr="00B560F4">
        <w:rPr>
          <w:rFonts w:ascii="Times New Roman" w:hAnsi="Times New Roman" w:cs="Times New Roman"/>
          <w:i/>
          <w:iCs/>
        </w:rPr>
        <w:t>Feminist</w:t>
      </w:r>
      <w:proofErr w:type="spellEnd"/>
      <w:r w:rsidRPr="00B560F4">
        <w:rPr>
          <w:rFonts w:ascii="Times New Roman" w:hAnsi="Times New Roman" w:cs="Times New Roman"/>
          <w:i/>
          <w:iCs/>
        </w:rPr>
        <w:t xml:space="preserve"> </w:t>
      </w:r>
      <w:proofErr w:type="spellStart"/>
      <w:r w:rsidRPr="00B560F4">
        <w:rPr>
          <w:rFonts w:ascii="Times New Roman" w:hAnsi="Times New Roman" w:cs="Times New Roman"/>
          <w:i/>
          <w:iCs/>
        </w:rPr>
        <w:t>Studies</w:t>
      </w:r>
      <w:proofErr w:type="spellEnd"/>
      <w:r w:rsidRPr="00B560F4">
        <w:rPr>
          <w:rFonts w:ascii="Times New Roman" w:hAnsi="Times New Roman" w:cs="Times New Roman"/>
        </w:rPr>
        <w:t xml:space="preserve">, </w:t>
      </w:r>
      <w:r w:rsidRPr="00B560F4">
        <w:rPr>
          <w:rFonts w:ascii="Times New Roman" w:hAnsi="Times New Roman" w:cs="Times New Roman"/>
          <w:i/>
          <w:iCs/>
        </w:rPr>
        <w:t>14</w:t>
      </w:r>
      <w:r w:rsidRPr="00B560F4">
        <w:rPr>
          <w:rFonts w:ascii="Times New Roman" w:hAnsi="Times New Roman" w:cs="Times New Roman"/>
        </w:rPr>
        <w:t>(3), 575-599.</w:t>
      </w:r>
    </w:p>
    <w:p w14:paraId="32028EA0" w14:textId="77777777" w:rsidR="00B560F4" w:rsidRPr="00B560F4" w:rsidRDefault="00B560F4" w:rsidP="00B560F4">
      <w:pPr>
        <w:rPr>
          <w:rFonts w:ascii="Times New Roman" w:hAnsi="Times New Roman" w:cs="Times New Roman"/>
        </w:rPr>
      </w:pPr>
      <w:r w:rsidRPr="00B560F4">
        <w:rPr>
          <w:rFonts w:ascii="Times New Roman" w:hAnsi="Times New Roman" w:cs="Times New Roman"/>
        </w:rPr>
        <w:t xml:space="preserve">López Giménez, M. R. (2022). El enfoque de género en la investigación en ciencias de la salud. ¿Diferencias o desigualdades? </w:t>
      </w:r>
      <w:r w:rsidRPr="00B560F4">
        <w:rPr>
          <w:rFonts w:ascii="Times New Roman" w:hAnsi="Times New Roman" w:cs="Times New Roman"/>
          <w:i/>
          <w:iCs/>
        </w:rPr>
        <w:t>Encuentros Multidisciplinares, 24</w:t>
      </w:r>
      <w:r w:rsidRPr="00B560F4">
        <w:rPr>
          <w:rFonts w:ascii="Times New Roman" w:hAnsi="Times New Roman" w:cs="Times New Roman"/>
        </w:rPr>
        <w:t>(70).</w:t>
      </w:r>
    </w:p>
    <w:p w14:paraId="27266086" w14:textId="77777777" w:rsidR="00B560F4" w:rsidRPr="00B560F4" w:rsidRDefault="00B560F4" w:rsidP="00B560F4">
      <w:pPr>
        <w:rPr>
          <w:rFonts w:ascii="Times New Roman" w:hAnsi="Times New Roman" w:cs="Times New Roman"/>
        </w:rPr>
      </w:pPr>
      <w:r w:rsidRPr="00B560F4">
        <w:rPr>
          <w:rFonts w:ascii="Times New Roman" w:hAnsi="Times New Roman" w:cs="Times New Roman"/>
        </w:rPr>
        <w:t xml:space="preserve">Medina, M. A., &amp; Torres, J. C. (2021). El taller participativo como dispositivo de la educación popular: Herramientas para la </w:t>
      </w:r>
      <w:proofErr w:type="spellStart"/>
      <w:r w:rsidRPr="00B560F4">
        <w:rPr>
          <w:rFonts w:ascii="Times New Roman" w:hAnsi="Times New Roman" w:cs="Times New Roman"/>
        </w:rPr>
        <w:t>co-construcción</w:t>
      </w:r>
      <w:proofErr w:type="spellEnd"/>
      <w:r w:rsidRPr="00B560F4">
        <w:rPr>
          <w:rFonts w:ascii="Times New Roman" w:hAnsi="Times New Roman" w:cs="Times New Roman"/>
        </w:rPr>
        <w:t xml:space="preserve"> de saberes. </w:t>
      </w:r>
      <w:r w:rsidRPr="00B560F4">
        <w:rPr>
          <w:rFonts w:ascii="Times New Roman" w:hAnsi="Times New Roman" w:cs="Times New Roman"/>
          <w:i/>
          <w:iCs/>
        </w:rPr>
        <w:t>Cuadernos de Pedagogía Crítica</w:t>
      </w:r>
      <w:r w:rsidRPr="00B560F4">
        <w:rPr>
          <w:rFonts w:ascii="Times New Roman" w:hAnsi="Times New Roman" w:cs="Times New Roman"/>
        </w:rPr>
        <w:t xml:space="preserve">, </w:t>
      </w:r>
      <w:r w:rsidRPr="00B560F4">
        <w:rPr>
          <w:rFonts w:ascii="Times New Roman" w:hAnsi="Times New Roman" w:cs="Times New Roman"/>
          <w:i/>
          <w:iCs/>
        </w:rPr>
        <w:t>8</w:t>
      </w:r>
      <w:r w:rsidRPr="00B560F4">
        <w:rPr>
          <w:rFonts w:ascii="Times New Roman" w:hAnsi="Times New Roman" w:cs="Times New Roman"/>
        </w:rPr>
        <w:t>(2), 45-61.</w:t>
      </w:r>
    </w:p>
    <w:p w14:paraId="0651CAB4" w14:textId="77777777" w:rsidR="00B560F4" w:rsidRPr="00B560F4" w:rsidRDefault="00B560F4" w:rsidP="00B560F4">
      <w:pPr>
        <w:rPr>
          <w:rFonts w:ascii="Times New Roman" w:hAnsi="Times New Roman" w:cs="Times New Roman"/>
        </w:rPr>
      </w:pPr>
      <w:proofErr w:type="spellStart"/>
      <w:r w:rsidRPr="00B560F4">
        <w:rPr>
          <w:rFonts w:ascii="Times New Roman" w:hAnsi="Times New Roman" w:cs="Times New Roman"/>
        </w:rPr>
        <w:t>Mendonça</w:t>
      </w:r>
      <w:proofErr w:type="spellEnd"/>
      <w:r w:rsidRPr="00B560F4">
        <w:rPr>
          <w:rFonts w:ascii="Times New Roman" w:hAnsi="Times New Roman" w:cs="Times New Roman"/>
        </w:rPr>
        <w:t xml:space="preserve">, A., &amp; </w:t>
      </w:r>
      <w:proofErr w:type="spellStart"/>
      <w:r w:rsidRPr="00B560F4">
        <w:rPr>
          <w:rFonts w:ascii="Times New Roman" w:hAnsi="Times New Roman" w:cs="Times New Roman"/>
        </w:rPr>
        <w:t>Croso</w:t>
      </w:r>
      <w:proofErr w:type="spellEnd"/>
      <w:r w:rsidRPr="00B560F4">
        <w:rPr>
          <w:rFonts w:ascii="Times New Roman" w:hAnsi="Times New Roman" w:cs="Times New Roman"/>
        </w:rPr>
        <w:t xml:space="preserve">, C. (2025). Libertad académica, género e integración regional: fundamentos para una universidad democrática. </w:t>
      </w:r>
      <w:r w:rsidRPr="00B560F4">
        <w:rPr>
          <w:rFonts w:ascii="Times New Roman" w:hAnsi="Times New Roman" w:cs="Times New Roman"/>
          <w:i/>
          <w:iCs/>
        </w:rPr>
        <w:t>Integración y Conocimiento: Revista del Núcleo de Estudios e Investigaciones en Educación Superior de Mercosur, 14</w:t>
      </w:r>
      <w:r w:rsidRPr="00B560F4">
        <w:rPr>
          <w:rFonts w:ascii="Times New Roman" w:hAnsi="Times New Roman" w:cs="Times New Roman"/>
        </w:rPr>
        <w:t>(2), 23–37.</w:t>
      </w:r>
    </w:p>
    <w:p w14:paraId="0AD9FC96" w14:textId="77777777" w:rsidR="00B560F4" w:rsidRPr="00B560F4" w:rsidRDefault="00B560F4" w:rsidP="00B560F4">
      <w:pPr>
        <w:rPr>
          <w:rFonts w:ascii="Times New Roman" w:hAnsi="Times New Roman" w:cs="Times New Roman"/>
        </w:rPr>
      </w:pPr>
      <w:r w:rsidRPr="00B560F4">
        <w:rPr>
          <w:rFonts w:ascii="Times New Roman" w:hAnsi="Times New Roman" w:cs="Times New Roman"/>
        </w:rPr>
        <w:t xml:space="preserve">Pérez, M. (2019). Violencia epistémica y cuerpos disidentes: Las lógicas de exclusión en la producción de conocimiento científico y médico. </w:t>
      </w:r>
      <w:r w:rsidRPr="00B560F4">
        <w:rPr>
          <w:rFonts w:ascii="Times New Roman" w:hAnsi="Times New Roman" w:cs="Times New Roman"/>
          <w:i/>
          <w:iCs/>
        </w:rPr>
        <w:t>Revista de Filosofía y Género</w:t>
      </w:r>
      <w:r w:rsidRPr="00B560F4">
        <w:rPr>
          <w:rFonts w:ascii="Times New Roman" w:hAnsi="Times New Roman" w:cs="Times New Roman"/>
        </w:rPr>
        <w:t xml:space="preserve">, </w:t>
      </w:r>
      <w:r w:rsidRPr="00B560F4">
        <w:rPr>
          <w:rFonts w:ascii="Times New Roman" w:hAnsi="Times New Roman" w:cs="Times New Roman"/>
          <w:i/>
          <w:iCs/>
        </w:rPr>
        <w:t>12</w:t>
      </w:r>
      <w:r w:rsidRPr="00B560F4">
        <w:rPr>
          <w:rFonts w:ascii="Times New Roman" w:hAnsi="Times New Roman" w:cs="Times New Roman"/>
        </w:rPr>
        <w:t>(2), 89-107.</w:t>
      </w:r>
    </w:p>
    <w:p w14:paraId="67BBCBE0" w14:textId="77777777" w:rsidR="00B560F4" w:rsidRPr="00B560F4" w:rsidRDefault="00B560F4" w:rsidP="00B560F4">
      <w:pPr>
        <w:rPr>
          <w:rFonts w:ascii="Times New Roman" w:hAnsi="Times New Roman" w:cs="Times New Roman"/>
        </w:rPr>
      </w:pPr>
      <w:proofErr w:type="spellStart"/>
      <w:r w:rsidRPr="00B560F4">
        <w:rPr>
          <w:rFonts w:ascii="Times New Roman" w:hAnsi="Times New Roman" w:cs="Times New Roman"/>
        </w:rPr>
        <w:t>Tommasino</w:t>
      </w:r>
      <w:proofErr w:type="spellEnd"/>
      <w:r w:rsidRPr="00B560F4">
        <w:rPr>
          <w:rFonts w:ascii="Times New Roman" w:hAnsi="Times New Roman" w:cs="Times New Roman"/>
        </w:rPr>
        <w:t xml:space="preserve">, H., &amp; Cano, A. (2016). Modelos de extensión universitaria en las universidades latinoamericanas en el siglo XXI: Tendencias y controversias. </w:t>
      </w:r>
      <w:r w:rsidRPr="00B560F4">
        <w:rPr>
          <w:rFonts w:ascii="Times New Roman" w:hAnsi="Times New Roman" w:cs="Times New Roman"/>
          <w:i/>
          <w:iCs/>
        </w:rPr>
        <w:t>Universidades</w:t>
      </w:r>
      <w:r w:rsidRPr="00B560F4">
        <w:rPr>
          <w:rFonts w:ascii="Times New Roman" w:hAnsi="Times New Roman" w:cs="Times New Roman"/>
        </w:rPr>
        <w:t>, (67), 7-24.</w:t>
      </w:r>
    </w:p>
    <w:p w14:paraId="23CA62C6" w14:textId="67254509" w:rsidR="00C802F5" w:rsidRPr="00B560F4" w:rsidRDefault="00B560F4" w:rsidP="00B560F4">
      <w:pPr>
        <w:rPr>
          <w:rFonts w:ascii="Times New Roman" w:hAnsi="Times New Roman" w:cs="Times New Roman"/>
        </w:rPr>
      </w:pPr>
      <w:r w:rsidRPr="00B560F4">
        <w:rPr>
          <w:rFonts w:ascii="Times New Roman" w:hAnsi="Times New Roman" w:cs="Times New Roman"/>
        </w:rPr>
        <w:t xml:space="preserve">Vidal, L., &amp; </w:t>
      </w:r>
      <w:proofErr w:type="spellStart"/>
      <w:r w:rsidRPr="00B560F4">
        <w:rPr>
          <w:rFonts w:ascii="Times New Roman" w:hAnsi="Times New Roman" w:cs="Times New Roman"/>
        </w:rPr>
        <w:t>Hegedüs</w:t>
      </w:r>
      <w:proofErr w:type="spellEnd"/>
      <w:r w:rsidRPr="00B560F4">
        <w:rPr>
          <w:rFonts w:ascii="Times New Roman" w:hAnsi="Times New Roman" w:cs="Times New Roman"/>
        </w:rPr>
        <w:t xml:space="preserve">, M. (2018). </w:t>
      </w:r>
      <w:proofErr w:type="spellStart"/>
      <w:r w:rsidRPr="00B560F4">
        <w:rPr>
          <w:rFonts w:ascii="Times New Roman" w:hAnsi="Times New Roman" w:cs="Times New Roman"/>
        </w:rPr>
        <w:t>Hipercompetitividade</w:t>
      </w:r>
      <w:proofErr w:type="spellEnd"/>
      <w:r w:rsidRPr="00B560F4">
        <w:rPr>
          <w:rFonts w:ascii="Times New Roman" w:hAnsi="Times New Roman" w:cs="Times New Roman"/>
        </w:rPr>
        <w:t xml:space="preserve"> e </w:t>
      </w:r>
      <w:proofErr w:type="spellStart"/>
      <w:r w:rsidRPr="00B560F4">
        <w:rPr>
          <w:rFonts w:ascii="Times New Roman" w:hAnsi="Times New Roman" w:cs="Times New Roman"/>
        </w:rPr>
        <w:t>integridade</w:t>
      </w:r>
      <w:proofErr w:type="spellEnd"/>
      <w:r w:rsidRPr="00B560F4">
        <w:rPr>
          <w:rFonts w:ascii="Times New Roman" w:hAnsi="Times New Roman" w:cs="Times New Roman"/>
        </w:rPr>
        <w:t xml:space="preserve"> em pesquisa. </w:t>
      </w:r>
      <w:proofErr w:type="spellStart"/>
      <w:r w:rsidRPr="00B560F4">
        <w:rPr>
          <w:rFonts w:ascii="Times New Roman" w:hAnsi="Times New Roman" w:cs="Times New Roman"/>
          <w:i/>
          <w:iCs/>
        </w:rPr>
        <w:t>Ciência</w:t>
      </w:r>
      <w:proofErr w:type="spellEnd"/>
      <w:r w:rsidRPr="00B560F4">
        <w:rPr>
          <w:rFonts w:ascii="Times New Roman" w:hAnsi="Times New Roman" w:cs="Times New Roman"/>
          <w:i/>
          <w:iCs/>
        </w:rPr>
        <w:t xml:space="preserve"> &amp; </w:t>
      </w:r>
      <w:proofErr w:type="spellStart"/>
      <w:r w:rsidRPr="00B560F4">
        <w:rPr>
          <w:rFonts w:ascii="Times New Roman" w:hAnsi="Times New Roman" w:cs="Times New Roman"/>
          <w:i/>
          <w:iCs/>
        </w:rPr>
        <w:t>Saúde</w:t>
      </w:r>
      <w:proofErr w:type="spellEnd"/>
      <w:r w:rsidRPr="00B560F4">
        <w:rPr>
          <w:rFonts w:ascii="Times New Roman" w:hAnsi="Times New Roman" w:cs="Times New Roman"/>
          <w:i/>
          <w:iCs/>
        </w:rPr>
        <w:t xml:space="preserve"> </w:t>
      </w:r>
      <w:proofErr w:type="spellStart"/>
      <w:r w:rsidRPr="00B560F4">
        <w:rPr>
          <w:rFonts w:ascii="Times New Roman" w:hAnsi="Times New Roman" w:cs="Times New Roman"/>
          <w:i/>
          <w:iCs/>
        </w:rPr>
        <w:t>Coletiva</w:t>
      </w:r>
      <w:proofErr w:type="spellEnd"/>
      <w:r w:rsidRPr="00B560F4">
        <w:rPr>
          <w:rFonts w:ascii="Times New Roman" w:hAnsi="Times New Roman" w:cs="Times New Roman"/>
          <w:i/>
          <w:iCs/>
        </w:rPr>
        <w:t>, 23</w:t>
      </w:r>
      <w:r w:rsidRPr="00B560F4">
        <w:rPr>
          <w:rFonts w:ascii="Times New Roman" w:hAnsi="Times New Roman" w:cs="Times New Roman"/>
        </w:rPr>
        <w:t>(2), 609–618. https://doi.org/10.1590/1413-81232018232.20412017</w:t>
      </w:r>
    </w:p>
    <w:p w14:paraId="7E83515B" w14:textId="796A6341"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D5C27" w14:textId="77777777" w:rsidR="0087747D" w:rsidRPr="00BA642E" w:rsidRDefault="0087747D" w:rsidP="00C802F5">
      <w:pPr>
        <w:spacing w:after="0" w:line="240" w:lineRule="auto"/>
      </w:pPr>
      <w:r w:rsidRPr="00BA642E">
        <w:separator/>
      </w:r>
    </w:p>
  </w:endnote>
  <w:endnote w:type="continuationSeparator" w:id="0">
    <w:p w14:paraId="6EEB3C91" w14:textId="77777777" w:rsidR="0087747D" w:rsidRPr="00BA642E" w:rsidRDefault="0087747D"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09436" w14:textId="77777777" w:rsidR="0087747D" w:rsidRPr="00BA642E" w:rsidRDefault="0087747D" w:rsidP="00C802F5">
      <w:pPr>
        <w:spacing w:after="0" w:line="240" w:lineRule="auto"/>
      </w:pPr>
      <w:r w:rsidRPr="00BA642E">
        <w:separator/>
      </w:r>
    </w:p>
  </w:footnote>
  <w:footnote w:type="continuationSeparator" w:id="0">
    <w:p w14:paraId="14A34FF2" w14:textId="77777777" w:rsidR="0087747D" w:rsidRPr="00BA642E" w:rsidRDefault="0087747D"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FB3"/>
    <w:multiLevelType w:val="multilevel"/>
    <w:tmpl w:val="0C36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9E3257"/>
    <w:multiLevelType w:val="multilevel"/>
    <w:tmpl w:val="FA5C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F8064E"/>
    <w:multiLevelType w:val="multilevel"/>
    <w:tmpl w:val="0856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E55211"/>
    <w:multiLevelType w:val="multilevel"/>
    <w:tmpl w:val="1802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712832"/>
    <w:multiLevelType w:val="multilevel"/>
    <w:tmpl w:val="6FD6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822F21"/>
    <w:multiLevelType w:val="multilevel"/>
    <w:tmpl w:val="7A68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1609550">
    <w:abstractNumId w:val="4"/>
  </w:num>
  <w:num w:numId="2" w16cid:durableId="214657173">
    <w:abstractNumId w:val="0"/>
  </w:num>
  <w:num w:numId="3" w16cid:durableId="1336150095">
    <w:abstractNumId w:val="2"/>
  </w:num>
  <w:num w:numId="4" w16cid:durableId="2082635321">
    <w:abstractNumId w:val="5"/>
  </w:num>
  <w:num w:numId="5" w16cid:durableId="1330476196">
    <w:abstractNumId w:val="3"/>
  </w:num>
  <w:num w:numId="6" w16cid:durableId="1621185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D7104"/>
    <w:rsid w:val="002327C3"/>
    <w:rsid w:val="00312392"/>
    <w:rsid w:val="004040C0"/>
    <w:rsid w:val="00437E9C"/>
    <w:rsid w:val="004F72EC"/>
    <w:rsid w:val="00550766"/>
    <w:rsid w:val="005F3B2E"/>
    <w:rsid w:val="00701F64"/>
    <w:rsid w:val="007B5B5F"/>
    <w:rsid w:val="007D233B"/>
    <w:rsid w:val="0085070B"/>
    <w:rsid w:val="0087747D"/>
    <w:rsid w:val="00A17247"/>
    <w:rsid w:val="00B560F4"/>
    <w:rsid w:val="00BA642E"/>
    <w:rsid w:val="00BC236F"/>
    <w:rsid w:val="00C802F5"/>
    <w:rsid w:val="00C96B2C"/>
    <w:rsid w:val="00CA54F2"/>
    <w:rsid w:val="00CC04C1"/>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5812</Words>
  <Characters>31970</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Alcides Leguto</cp:lastModifiedBy>
  <cp:revision>2</cp:revision>
  <dcterms:created xsi:type="dcterms:W3CDTF">2026-07-01T00:22:00Z</dcterms:created>
  <dcterms:modified xsi:type="dcterms:W3CDTF">2026-07-01T00:22:00Z</dcterms:modified>
</cp:coreProperties>
</file>