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1569B" w:rsidRDefault="00C802F5" w:rsidP="001923DC">
      <w:pPr>
        <w:jc w:val="center"/>
        <w:rPr>
          <w:rFonts w:ascii="Times New Roman" w:hAnsi="Times New Roman" w:cs="Times New Roman"/>
        </w:rPr>
      </w:pPr>
    </w:p>
    <w:p w14:paraId="43C49479" w14:textId="30D71729" w:rsidR="005F3B2E" w:rsidRPr="007A03CB" w:rsidRDefault="00B1569B" w:rsidP="001923DC">
      <w:pPr>
        <w:jc w:val="center"/>
        <w:rPr>
          <w:rFonts w:ascii="Times New Roman" w:hAnsi="Times New Roman" w:cs="Times New Roman"/>
        </w:rPr>
      </w:pPr>
      <w:r w:rsidRPr="007A03CB">
        <w:rPr>
          <w:rFonts w:ascii="Times New Roman" w:hAnsi="Times New Roman" w:cs="Times New Roman"/>
          <w:b/>
          <w:bCs/>
        </w:rPr>
        <w:t>Las tensiones del diseño matricial en las nuevas universidades del conurbano bonaerense</w:t>
      </w:r>
    </w:p>
    <w:p w14:paraId="5A3C0F55" w14:textId="77777777" w:rsidR="00B1569B" w:rsidRPr="007A03CB" w:rsidRDefault="00B1569B" w:rsidP="00B1569B">
      <w:pPr>
        <w:spacing w:after="0" w:line="240" w:lineRule="auto"/>
        <w:jc w:val="right"/>
        <w:rPr>
          <w:rFonts w:ascii="Times New Roman" w:hAnsi="Times New Roman" w:cs="Times New Roman"/>
        </w:rPr>
      </w:pPr>
      <w:r w:rsidRPr="007A03CB">
        <w:rPr>
          <w:rFonts w:ascii="Times New Roman" w:hAnsi="Times New Roman" w:cs="Times New Roman"/>
        </w:rPr>
        <w:t>Gelonch, Guillermo Francisco</w:t>
      </w:r>
    </w:p>
    <w:p w14:paraId="4D2515A2" w14:textId="77777777" w:rsidR="00B1569B" w:rsidRPr="007A03CB" w:rsidRDefault="00B1569B" w:rsidP="00B1569B">
      <w:pPr>
        <w:spacing w:after="0" w:line="240" w:lineRule="auto"/>
        <w:jc w:val="right"/>
        <w:rPr>
          <w:rFonts w:ascii="Times New Roman" w:hAnsi="Times New Roman" w:cs="Times New Roman"/>
        </w:rPr>
      </w:pPr>
      <w:r w:rsidRPr="007A03CB">
        <w:rPr>
          <w:rFonts w:ascii="Times New Roman" w:hAnsi="Times New Roman" w:cs="Times New Roman"/>
        </w:rPr>
        <w:t>Instituto Tecnológico de Buenos Aires</w:t>
      </w:r>
    </w:p>
    <w:p w14:paraId="1FA0F857" w14:textId="22BBB4F4" w:rsidR="005F3B2E" w:rsidRPr="007A03CB" w:rsidRDefault="00B1569B" w:rsidP="00B1569B">
      <w:pPr>
        <w:spacing w:after="0" w:line="240" w:lineRule="auto"/>
        <w:jc w:val="right"/>
        <w:rPr>
          <w:rFonts w:ascii="Times New Roman" w:hAnsi="Times New Roman" w:cs="Times New Roman"/>
        </w:rPr>
      </w:pPr>
      <w:r w:rsidRPr="007A03CB">
        <w:rPr>
          <w:rFonts w:ascii="Times New Roman" w:hAnsi="Times New Roman" w:cs="Times New Roman"/>
        </w:rPr>
        <w:t>ggelonch@itba.edu.ar</w:t>
      </w:r>
    </w:p>
    <w:p w14:paraId="59F911DE" w14:textId="77777777" w:rsidR="00B1569B" w:rsidRPr="007A03CB" w:rsidRDefault="00B1569B" w:rsidP="007B5B5F">
      <w:pPr>
        <w:spacing w:line="240" w:lineRule="auto"/>
        <w:jc w:val="both"/>
        <w:rPr>
          <w:rFonts w:ascii="Times New Roman" w:hAnsi="Times New Roman" w:cs="Times New Roman"/>
          <w:b/>
          <w:bCs/>
        </w:rPr>
      </w:pPr>
    </w:p>
    <w:p w14:paraId="35A6682C" w14:textId="02859959" w:rsidR="00BA642E" w:rsidRPr="007A03CB" w:rsidRDefault="00BA642E" w:rsidP="007B5B5F">
      <w:pPr>
        <w:spacing w:line="240" w:lineRule="auto"/>
        <w:jc w:val="both"/>
        <w:rPr>
          <w:rFonts w:ascii="Times New Roman" w:hAnsi="Times New Roman" w:cs="Times New Roman"/>
          <w:b/>
          <w:bCs/>
        </w:rPr>
      </w:pPr>
      <w:r w:rsidRPr="007A03CB">
        <w:rPr>
          <w:rFonts w:ascii="Times New Roman" w:hAnsi="Times New Roman" w:cs="Times New Roman"/>
          <w:b/>
          <w:bCs/>
        </w:rPr>
        <w:t>Resumen:</w:t>
      </w:r>
      <w:r w:rsidR="007B5B5F" w:rsidRPr="007A03CB">
        <w:rPr>
          <w:rFonts w:ascii="Times New Roman" w:hAnsi="Times New Roman" w:cs="Times New Roman"/>
          <w:b/>
          <w:bCs/>
        </w:rPr>
        <w:t xml:space="preserve"> </w:t>
      </w:r>
      <w:r w:rsidR="00B1569B" w:rsidRPr="007A03CB">
        <w:rPr>
          <w:rFonts w:ascii="Times New Roman" w:hAnsi="Times New Roman" w:cs="Times New Roman"/>
        </w:rPr>
        <w:t>El proceso de creación de las nuevas universidades públicas en el conurbano bonaerense, a partir de la expansión del sistema universitario argentino en la década del 90, junto con la sanción de la nueva Ley de Educación Superior, estuvo acompañado por propuestas organizacionales que buscaron diferenciarse del modelo tradicional basado en facultades. Entre estas innovaciones, el diseño matricial estructurado en departamentos, institutos y escuelas (entre otras denominaciones adoptadas por cada institución) se presentó como una alternativa orientada a favorecer la interdisciplinariedad dentro de la universidad y promover la articulación entre las funciones de docencia, investigación y extensión, así como evitar la fragmentación disciplinar propia de las universidades tradicionales. Este trabajo analiza las tensiones emergentes en la implementación de dicho diseño a partir de un estudio de caso múltiple centrado en universidades del conurbano bonaerense. La investigación combina análisis documental de los estatutos universitarios, organigramas institucionales, reglamentaciones internas con el análisis de las evaluaciones institucionales realizadas por organismos de aseguramiento de la calidad (CONEAU) y bibliografía especializada. Desde un enfoque situado en la innovación y el pensamiento sistémico aplicado a instituciones de educación superior, se analiza la arquitectura formal diseñada en la normativa de creación de cada universidad (y sus modificaciones) y las dinámicas informales que se desarrollan en las lógicas cotidianas de gestión, y tienden a establecer prácticas y roles específicos, generando centros de gobierno y poder particulares. Los recientes hallazgos muestran que, si bien el diseño matricial buscó promover la articulación transversal, la cooperación interdisciplinaria y una mayor eficiencia administrativa, su implementación produjo diversas tensiones organizacionales, vinculadas a la distribución de autoridad, la gestión del plantel docente y la coordinación académica. En este sentido, se argumenta que estas tensiones no constituyen necesariamente fallas en los modelos diseñados, sino expresiones propias de procesos de innovación organizacional en contextos institucionales jóvenes y territorialmente situados. Por lo tanto, estos procesos no constituyen meras desviaciones respecto de los modelos formales, sino que pueden ser interpretados como mecanismos de adaptación institucional en universidades que se encuentran aún en un proceso de consolidación y maduración organizacional. El estudio permite así reflexionar sobre los límites y las potencialidades de este tipo de arquitectura institucional, aportando elementos para comprender en qué condiciones el diseño matricial puede contribuir efectivamente a articular la eficiencia organizacional, la interdisciplinariedad académica y el compromiso territorial en el desarrollo de las universidades públicas del conurbano bonaerense.</w:t>
      </w:r>
    </w:p>
    <w:p w14:paraId="2994BAB3" w14:textId="09D4198E" w:rsidR="00BA642E" w:rsidRPr="007A03CB" w:rsidRDefault="00BA642E" w:rsidP="007B5B5F">
      <w:pPr>
        <w:spacing w:line="240" w:lineRule="auto"/>
        <w:jc w:val="both"/>
        <w:rPr>
          <w:rFonts w:ascii="Times New Roman" w:hAnsi="Times New Roman" w:cs="Times New Roman"/>
          <w:b/>
          <w:bCs/>
        </w:rPr>
      </w:pPr>
      <w:r w:rsidRPr="007A03CB">
        <w:rPr>
          <w:rFonts w:ascii="Times New Roman" w:hAnsi="Times New Roman" w:cs="Times New Roman"/>
          <w:b/>
          <w:bCs/>
        </w:rPr>
        <w:lastRenderedPageBreak/>
        <w:t xml:space="preserve">Palabras clave: </w:t>
      </w:r>
      <w:r w:rsidR="00B1569B" w:rsidRPr="007A03CB">
        <w:rPr>
          <w:rFonts w:ascii="Times New Roman" w:hAnsi="Times New Roman" w:cs="Times New Roman"/>
        </w:rPr>
        <w:t>Innovación sistémica, Diseño Organizacional, Conurbano Bonaerense, Universidad</w:t>
      </w:r>
      <w:r w:rsidRPr="007A03CB">
        <w:rPr>
          <w:rFonts w:ascii="Times New Roman" w:hAnsi="Times New Roman" w:cs="Times New Roman"/>
        </w:rPr>
        <w:t xml:space="preserve">. </w:t>
      </w:r>
    </w:p>
    <w:p w14:paraId="6A5547A1" w14:textId="36B7FAC2" w:rsidR="00BA642E" w:rsidRPr="007A03CB" w:rsidRDefault="00BA642E" w:rsidP="007B5B5F">
      <w:pPr>
        <w:spacing w:line="240" w:lineRule="auto"/>
        <w:rPr>
          <w:rFonts w:ascii="Times New Roman" w:hAnsi="Times New Roman" w:cs="Times New Roman"/>
          <w:b/>
          <w:bCs/>
        </w:rPr>
      </w:pPr>
      <w:r w:rsidRPr="007A03CB">
        <w:rPr>
          <w:rFonts w:ascii="Times New Roman" w:hAnsi="Times New Roman" w:cs="Times New Roman"/>
          <w:b/>
          <w:bCs/>
        </w:rPr>
        <w:t>Introducción</w:t>
      </w:r>
    </w:p>
    <w:p w14:paraId="780C411D" w14:textId="77777777" w:rsidR="00B1569B" w:rsidRPr="007A03CB" w:rsidRDefault="00B1569B" w:rsidP="00B1569B">
      <w:pPr>
        <w:spacing w:line="240" w:lineRule="auto"/>
        <w:jc w:val="both"/>
        <w:rPr>
          <w:rFonts w:ascii="Times New Roman" w:hAnsi="Times New Roman" w:cs="Times New Roman"/>
        </w:rPr>
      </w:pPr>
      <w:r w:rsidRPr="007A03CB">
        <w:rPr>
          <w:rFonts w:ascii="Times New Roman" w:hAnsi="Times New Roman" w:cs="Times New Roman"/>
        </w:rPr>
        <w:t>En las últimas décadas, el conurbano bonaerense se convirtió en un territorio que experimentó una expansión importante del sistema universitario argentino a partir de la radicación de varias universidades nuevas en la zona. En dos oleadas fundacionales diferenciadas, la primera entre 1989 y 1995, y la segunda a partir de 2009, se crearon sucesivamente doce universidades nacionales en el territorio más densamente poblado de la República Argentina (De Angelis, 2013). Todas ellas expresaron como principio fundacional el constituirse en proyectos educativos orientados a atender las necesidades sociales y económicas de la región (Accinelli, Losio y Macri, 2016).</w:t>
      </w:r>
    </w:p>
    <w:p w14:paraId="092AEBB3" w14:textId="77777777" w:rsidR="00B1569B" w:rsidRPr="007A03CB" w:rsidRDefault="00B1569B" w:rsidP="00B1569B">
      <w:pPr>
        <w:spacing w:line="240" w:lineRule="auto"/>
        <w:jc w:val="both"/>
        <w:rPr>
          <w:rFonts w:ascii="Times New Roman" w:hAnsi="Times New Roman" w:cs="Times New Roman"/>
        </w:rPr>
      </w:pPr>
      <w:r w:rsidRPr="007A03CB">
        <w:rPr>
          <w:rFonts w:ascii="Times New Roman" w:hAnsi="Times New Roman" w:cs="Times New Roman"/>
        </w:rPr>
        <w:t>Este proceso de expansión no fue, sin embargo, meramente cuantitativo. Las nuevas instituciones se diferenciaron de las universidades tradicionales, la Universidad de Buenos Aires (UBA) y la Universidad Nacional de La Plata (UNLP), entre otras, mediante la adopción de un diseño organizacional innovador, que articuló la oferta disciplinar, la estructura académica y el gobierno universitario en torno a unidades interdisciplinarias denominadas departamentos, institutos o escuelas, según la denominación adoptada por cada institución (Rovelli y Atairo, 2005). Este diseño matricial se presentó como una alternativa a la fragmentación disciplinar del modelo de facultades, apuntando a promover no sólo la articulación entre docencia, investigación y extensión, sino también entre saberes provenientes de diferentes campos disciplinares.</w:t>
      </w:r>
    </w:p>
    <w:p w14:paraId="4EA0F6BC" w14:textId="77777777" w:rsidR="00B1569B" w:rsidRPr="007A03CB" w:rsidRDefault="00B1569B" w:rsidP="00B1569B">
      <w:pPr>
        <w:spacing w:line="240" w:lineRule="auto"/>
        <w:jc w:val="both"/>
        <w:rPr>
          <w:rFonts w:ascii="Times New Roman" w:hAnsi="Times New Roman" w:cs="Times New Roman"/>
        </w:rPr>
      </w:pPr>
      <w:r w:rsidRPr="007A03CB">
        <w:rPr>
          <w:rFonts w:ascii="Times New Roman" w:hAnsi="Times New Roman" w:cs="Times New Roman"/>
        </w:rPr>
        <w:t>La hipótesis que orienta este trabajo sostiene que dicho diseño matricial emergió como una respuesta institucional deliberada a las limitaciones del modelo de facultades tradicional, pero que su implementación estuvo atravesada por tensiones propias de la innovación organizacional en contextos de masificación y presupuestos acotados. En este sentido, se plantea que la estructura de un sistema (el conjunto de relaciones, reglas y ciclos de retroalimentación que lo componen) produce su comportamiento, con independencia de las intenciones de los individuos que lo integran (Senge, 1990; Sterman, 2000). Esta premisa permite explicar por qué universidades con equipos de gestión y comunidades académicas tan disímiles producen, de todos modos, un patrón recurrente de tensión entre matriz y práctica.</w:t>
      </w:r>
    </w:p>
    <w:p w14:paraId="102679CB" w14:textId="192EB63F" w:rsidR="00B1569B" w:rsidRPr="007A03CB" w:rsidRDefault="00B1569B" w:rsidP="00B1569B">
      <w:pPr>
        <w:spacing w:line="240" w:lineRule="auto"/>
        <w:jc w:val="both"/>
        <w:rPr>
          <w:rFonts w:ascii="Times New Roman" w:hAnsi="Times New Roman" w:cs="Times New Roman"/>
        </w:rPr>
      </w:pPr>
      <w:r w:rsidRPr="007A03CB">
        <w:rPr>
          <w:rFonts w:ascii="Times New Roman" w:hAnsi="Times New Roman" w:cs="Times New Roman"/>
        </w:rPr>
        <w:t>Este marco se nutre, asimismo, de desarrollos más recientes del pensamiento sistémico aplicados al análisis organizacional. Midgley (2000) sostiene que buena parte de las tensiones en el diseño de sistemas sociales no derivan de errores de diseño, sino de juicios de frontera implícitos</w:t>
      </w:r>
      <w:r w:rsidR="007A03CB" w:rsidRPr="007A03CB">
        <w:rPr>
          <w:rFonts w:ascii="Times New Roman" w:hAnsi="Times New Roman" w:cs="Times New Roman"/>
        </w:rPr>
        <w:t>,</w:t>
      </w:r>
      <w:r w:rsidRPr="007A03CB">
        <w:rPr>
          <w:rFonts w:ascii="Times New Roman" w:hAnsi="Times New Roman" w:cs="Times New Roman"/>
        </w:rPr>
        <w:t xml:space="preserve"> decisiones muchas veces no explicitadas sobre qué actores, funciones y problemáticas quedan dentro o fuera de una unidad organizacional dada. Desde esta perspectiva, la convivencia entre la lógica departamental y la lógica de las carreras que se documenta en este trabajo puede leerse como una disputa recurrente por dónde trazar esa frontera. En un sentido complementario, el marco DSRP (Distinciones, Sistemas, Relaciones y Perspectivas) de Cabrera y Cabrera (2015), permite señalar que el diseño matricial define nuevas distinciones (departamentos/carreras), nuevos sistemas (unidades que integran docencia, investigación y extensión) y nuevas relaciones de </w:t>
      </w:r>
      <w:r w:rsidRPr="007A03CB">
        <w:rPr>
          <w:rFonts w:ascii="Times New Roman" w:hAnsi="Times New Roman" w:cs="Times New Roman"/>
        </w:rPr>
        <w:lastRenderedPageBreak/>
        <w:t xml:space="preserve">interdependencia, pero no garantiza por sí mismo que los actores adopten las perspectivas necesarias para sostenerlas en la práctica cotidiana. Por último, Midgley y </w:t>
      </w:r>
      <w:proofErr w:type="spellStart"/>
      <w:r w:rsidRPr="007A03CB">
        <w:rPr>
          <w:rFonts w:ascii="Times New Roman" w:hAnsi="Times New Roman" w:cs="Times New Roman"/>
        </w:rPr>
        <w:t>Lindhult</w:t>
      </w:r>
      <w:proofErr w:type="spellEnd"/>
      <w:r w:rsidRPr="007A03CB">
        <w:rPr>
          <w:rFonts w:ascii="Times New Roman" w:hAnsi="Times New Roman" w:cs="Times New Roman"/>
        </w:rPr>
        <w:t xml:space="preserve"> (2021) proponen distinguir la innovación sistémica centrada en el rediseño de estructuras formales de aquella centrada en los procesos por los cuales las personas modifican su pensamiento, sus relaciones y sus acciones; esta distinción resulta central para interpretar por qué universidades con arquitecturas formales similares exhiben trayectorias de implementación tan diferentes.</w:t>
      </w:r>
    </w:p>
    <w:p w14:paraId="13C27DE8" w14:textId="21E52847" w:rsidR="00BA642E" w:rsidRPr="007A03CB" w:rsidRDefault="00B1569B" w:rsidP="00B1569B">
      <w:pPr>
        <w:spacing w:line="240" w:lineRule="auto"/>
        <w:jc w:val="both"/>
        <w:rPr>
          <w:rFonts w:ascii="Times New Roman" w:hAnsi="Times New Roman" w:cs="Times New Roman"/>
        </w:rPr>
      </w:pPr>
      <w:r w:rsidRPr="007A03CB">
        <w:rPr>
          <w:rFonts w:ascii="Times New Roman" w:hAnsi="Times New Roman" w:cs="Times New Roman"/>
        </w:rPr>
        <w:t>El trabajo se organiza en cuatro secciones. La primera analiza comparativamente los estatutos y estructuras organizacionales de las universidades creadas en el período 1989-1995. La segunda analiza comparativamente los estatutos y estructuras organizacionales de las universidades creadas en el período 2009-2015. La tercera compara ambos períodos identificando continuidades, rupturas y aprendizajes institucionales. La cuarta presenta las conclusiones derivadas del análisis</w:t>
      </w:r>
      <w:r w:rsidRPr="007A03CB">
        <w:rPr>
          <w:rFonts w:ascii="Times New Roman" w:hAnsi="Times New Roman" w:cs="Times New Roman"/>
        </w:rPr>
        <w:t xml:space="preserve"> realizado</w:t>
      </w:r>
      <w:r w:rsidRPr="007A03CB">
        <w:rPr>
          <w:rFonts w:ascii="Times New Roman" w:hAnsi="Times New Roman" w:cs="Times New Roman"/>
        </w:rPr>
        <w:t>.</w:t>
      </w:r>
    </w:p>
    <w:p w14:paraId="4600824A" w14:textId="77777777" w:rsidR="00B1569B" w:rsidRPr="007A03CB" w:rsidRDefault="00B1569B" w:rsidP="00B1569B">
      <w:pPr>
        <w:spacing w:before="280" w:line="240" w:lineRule="auto"/>
        <w:rPr>
          <w:rFonts w:ascii="Times New Roman" w:hAnsi="Times New Roman" w:cs="Times New Roman"/>
        </w:rPr>
      </w:pPr>
      <w:r w:rsidRPr="007A03CB">
        <w:rPr>
          <w:rFonts w:ascii="Times New Roman" w:hAnsi="Times New Roman" w:cs="Times New Roman"/>
          <w:b/>
        </w:rPr>
        <w:t>Primer período fundacional (1989-1995)</w:t>
      </w:r>
    </w:p>
    <w:p w14:paraId="1C9330A5" w14:textId="77777777" w:rsidR="00B1569B" w:rsidRPr="007A03CB" w:rsidRDefault="00B1569B" w:rsidP="00B1569B">
      <w:pPr>
        <w:spacing w:before="160" w:line="240" w:lineRule="auto"/>
        <w:rPr>
          <w:rFonts w:ascii="Times New Roman" w:hAnsi="Times New Roman" w:cs="Times New Roman"/>
        </w:rPr>
      </w:pPr>
      <w:r w:rsidRPr="007A03CB">
        <w:rPr>
          <w:rFonts w:ascii="Times New Roman" w:hAnsi="Times New Roman" w:cs="Times New Roman"/>
          <w:b/>
        </w:rPr>
        <w:t>Contexto político y fundacional</w:t>
      </w:r>
    </w:p>
    <w:p w14:paraId="55BDE2A9" w14:textId="77777777" w:rsidR="00B1569B" w:rsidRPr="007A03CB" w:rsidRDefault="00B1569B" w:rsidP="00B1569B">
      <w:pPr>
        <w:spacing w:line="240" w:lineRule="auto"/>
        <w:jc w:val="both"/>
        <w:rPr>
          <w:rFonts w:ascii="Times New Roman" w:hAnsi="Times New Roman" w:cs="Times New Roman"/>
        </w:rPr>
      </w:pPr>
      <w:r w:rsidRPr="007A03CB">
        <w:rPr>
          <w:rFonts w:ascii="Times New Roman" w:hAnsi="Times New Roman" w:cs="Times New Roman"/>
        </w:rPr>
        <w:t>La primera ola de universidades del conurbano se desarrolló durante el gobierno de Carlos Menem, en un contexto de reforma del Estado, expansión del mercado universitario y tensiones entre una lógica de planeamiento educativo y una lógica mercantilista (Accinelli, Losio y Macri, 2016). Entre 1989 y 1995 se crearon seis universidades nacionales en el conurbano: la Universidad Nacional de Quilmes (UNQ - 1989), la Universidad Nacional de La Matanza (UNLaM - 1989), la Universidad Nacional de General Sarmiento (UNGS - 1992), la Universidad Nacional de General San Martín (UNSAM - 1992), la Universidad Nacional de Tres de Febrero (UNTREF - 1995) y la Universidad Nacional de Lanús (UNLa - 1995) (Buchbinder, 2010; De Angelis, 2013).</w:t>
      </w:r>
    </w:p>
    <w:p w14:paraId="70AD5A7D" w14:textId="77777777" w:rsidR="00B1569B" w:rsidRPr="007A03CB" w:rsidRDefault="00B1569B" w:rsidP="00B1569B">
      <w:pPr>
        <w:spacing w:line="240" w:lineRule="auto"/>
        <w:jc w:val="both"/>
        <w:rPr>
          <w:rFonts w:ascii="Times New Roman" w:hAnsi="Times New Roman" w:cs="Times New Roman"/>
        </w:rPr>
      </w:pPr>
      <w:r w:rsidRPr="007A03CB">
        <w:rPr>
          <w:rFonts w:ascii="Times New Roman" w:hAnsi="Times New Roman" w:cs="Times New Roman"/>
        </w:rPr>
        <w:t>Estas instituciones compartieron un principio fundacional explícito en sus estatutos: constituirse en universidades que respondieran a las demandas económicas, sociales y culturales de sus comunidades locales, diferenciándose de los grandes centros universitarios nacionales. Tal como señalan Rovelli y Atairo (2005), este formato se articuló con un innovador diseño de la organización académica, la oferta disciplinar y el gobierno universitario que en su conjunto configuró un nuevo modelo institucional.</w:t>
      </w:r>
    </w:p>
    <w:p w14:paraId="4575593B" w14:textId="77777777" w:rsidR="00B1569B" w:rsidRPr="007A03CB" w:rsidRDefault="00B1569B" w:rsidP="00B1569B">
      <w:pPr>
        <w:spacing w:before="160" w:line="240" w:lineRule="auto"/>
        <w:rPr>
          <w:rFonts w:ascii="Times New Roman" w:hAnsi="Times New Roman" w:cs="Times New Roman"/>
        </w:rPr>
      </w:pPr>
      <w:r w:rsidRPr="007A03CB">
        <w:rPr>
          <w:rFonts w:ascii="Times New Roman" w:hAnsi="Times New Roman" w:cs="Times New Roman"/>
          <w:b/>
        </w:rPr>
        <w:t>Los nuevos modos de organización</w:t>
      </w:r>
    </w:p>
    <w:p w14:paraId="41ED14F5" w14:textId="77777777" w:rsidR="00B1569B" w:rsidRPr="007A03CB" w:rsidRDefault="00B1569B" w:rsidP="00B1569B">
      <w:pPr>
        <w:spacing w:line="240" w:lineRule="auto"/>
        <w:jc w:val="both"/>
        <w:rPr>
          <w:rFonts w:ascii="Times New Roman" w:hAnsi="Times New Roman" w:cs="Times New Roman"/>
        </w:rPr>
      </w:pPr>
      <w:r w:rsidRPr="007A03CB">
        <w:rPr>
          <w:rFonts w:ascii="Times New Roman" w:hAnsi="Times New Roman" w:cs="Times New Roman"/>
        </w:rPr>
        <w:t>El rasgo organizacional más distintivo de este primer período fue la adopción del modelo departamental o matricial, es decir, una estructura organizativa en la que las unidades académicas de base se definen por campos disciplinares afines o por problemáticas territoriales, y no por facultades profesionales, integrando en un mismo espacio de gestión la docencia, la investigación y la extensión, en reemplazo del modelo de facultades. Aunque con variantes significativas entre las instituciones, todas ellas estructuraron sus actividades académicas en torno a unidades interdisciplinarias que integraban docencia, investigación y extensión. A continuación, se presenta cada caso siguiendo el orden cronológico de creación de la universidad respectiva.</w:t>
      </w:r>
    </w:p>
    <w:p w14:paraId="3F49E3C1" w14:textId="77777777" w:rsidR="00B1569B" w:rsidRPr="007A03CB" w:rsidRDefault="00B1569B" w:rsidP="00B1569B">
      <w:pPr>
        <w:spacing w:line="240" w:lineRule="auto"/>
        <w:jc w:val="both"/>
        <w:rPr>
          <w:rFonts w:ascii="Times New Roman" w:hAnsi="Times New Roman" w:cs="Times New Roman"/>
        </w:rPr>
      </w:pPr>
      <w:r w:rsidRPr="007A03CB">
        <w:rPr>
          <w:rFonts w:ascii="Times New Roman" w:hAnsi="Times New Roman" w:cs="Times New Roman"/>
        </w:rPr>
        <w:lastRenderedPageBreak/>
        <w:t>La UNQ adoptó una estructura departamental basada en tres Departamentos: Ciencias Sociales, Ciencia y Tecnología, y Economía y Administración, complementados posteriormente por una Escuela Universitaria de Artes. El Estatuto define a los Departamentos como unidades académicas responsables del diseño, la planificación y la ejecución de la docencia, la investigación, el desarrollo, la transferencia y la extensión (Universidad Nacional de Quilmes, 2013), estableciendo así la integración de las tres funciones sustantivas en una misma unidad organizacional. El informe de evaluación externa CONEAU (2010a) valoró positivamente esta estructura, aunque recomendó una reestructuración departamental para fortalecer el funcionamiento de las áreas de conocimiento internas.</w:t>
      </w:r>
    </w:p>
    <w:p w14:paraId="10B33A68" w14:textId="77777777" w:rsidR="00B1569B" w:rsidRPr="007A03CB" w:rsidRDefault="00B1569B" w:rsidP="00B1569B">
      <w:pPr>
        <w:spacing w:line="240" w:lineRule="auto"/>
        <w:jc w:val="both"/>
        <w:rPr>
          <w:rFonts w:ascii="Times New Roman" w:hAnsi="Times New Roman" w:cs="Times New Roman"/>
        </w:rPr>
      </w:pPr>
      <w:r w:rsidRPr="007A03CB">
        <w:rPr>
          <w:rFonts w:ascii="Times New Roman" w:hAnsi="Times New Roman" w:cs="Times New Roman"/>
        </w:rPr>
        <w:t>La UNLaM, adoptó una organización departamental de perfil más profesionalista, orientada a las necesidades industriales y de servicios de La Matanza, con menor énfasis en la investigación básica y la interdisciplinariedad temática que caracterizó a sus pares del período (CONEAU, 2012).</w:t>
      </w:r>
    </w:p>
    <w:p w14:paraId="46D472B6" w14:textId="77777777" w:rsidR="00B1569B" w:rsidRPr="007A03CB" w:rsidRDefault="00B1569B" w:rsidP="00B1569B">
      <w:pPr>
        <w:spacing w:line="240" w:lineRule="auto"/>
        <w:jc w:val="both"/>
        <w:rPr>
          <w:rFonts w:ascii="Times New Roman" w:hAnsi="Times New Roman" w:cs="Times New Roman"/>
        </w:rPr>
      </w:pPr>
      <w:r w:rsidRPr="007A03CB">
        <w:rPr>
          <w:rFonts w:ascii="Times New Roman" w:hAnsi="Times New Roman" w:cs="Times New Roman"/>
        </w:rPr>
        <w:t>La UNGS optó por una organización radicalmente distinta: cuatro Institutos interdisciplinarios temáticos (Instituto de Ciencias, Instituto del Conurbano, Instituto de Industria y el Instituto del Desarrollo Humano) que organizan el trabajo académico en torno a problemáticas del conurbano bonaerense y no a disciplinas convencionales (Di Meglio, 2023). Esta decisión, que puede rastrearse en el Estatuto de 1992 y fue reafirmada en la reforma estatutaria de 2017 (Universidad Nacional de General Sarmiento, 2017), expresó con claridad la voluntad de romper con la lógica disciplinar fragmentada de las universidades tradicionales. La UNGS creó también el Observatorio del Conurbano Bonaerense, un dispositivo de investigación orientado al territorio.</w:t>
      </w:r>
    </w:p>
    <w:p w14:paraId="5F417C2B" w14:textId="1D4AD235" w:rsidR="00B1569B" w:rsidRPr="007A03CB" w:rsidRDefault="00B1569B" w:rsidP="00B1569B">
      <w:pPr>
        <w:spacing w:line="240" w:lineRule="auto"/>
        <w:jc w:val="both"/>
        <w:rPr>
          <w:rFonts w:ascii="Times New Roman" w:hAnsi="Times New Roman" w:cs="Times New Roman"/>
        </w:rPr>
      </w:pPr>
      <w:r w:rsidRPr="007A03CB">
        <w:rPr>
          <w:rFonts w:ascii="Times New Roman" w:hAnsi="Times New Roman" w:cs="Times New Roman"/>
        </w:rPr>
        <w:t>La UNSAM se estructuró desde sus inicios en Escuelas e Institutos Asociados como unidades académicas principales, adoptando un modelo que privilegió la investigación y la formación de posgrado. Rovelli y Atairo (2005) señalan que la UNSAM se caracterizó por una fuerte apuesta por la investigación científica y se presentó como innovadora frente al modelo tradicional. La reforma del Estatuto de 2020 ratificó la estructura de Escuelas e Institutos Asociados con la misión de articular la formación de grado, posgrado, investigación, extensión y transferencia (Universidad Nacional de San Martín, 2020). La Escuela Interdisciplinaria de Altos Estudios Sociales (IDAES), que atravesó múltiples formatos institucionales a lo largo de su historia, constituye un ejemplo de la flexibilidad y adaptación de este modelo.</w:t>
      </w:r>
    </w:p>
    <w:p w14:paraId="6E456578" w14:textId="77777777" w:rsidR="00B1569B" w:rsidRPr="007A03CB" w:rsidRDefault="00B1569B" w:rsidP="00B1569B">
      <w:pPr>
        <w:spacing w:line="240" w:lineRule="auto"/>
        <w:jc w:val="both"/>
        <w:rPr>
          <w:rFonts w:ascii="Times New Roman" w:hAnsi="Times New Roman" w:cs="Times New Roman"/>
        </w:rPr>
      </w:pPr>
      <w:r w:rsidRPr="007A03CB">
        <w:rPr>
          <w:rFonts w:ascii="Times New Roman" w:hAnsi="Times New Roman" w:cs="Times New Roman"/>
        </w:rPr>
        <w:t>La UNTREF adoptó Departamentos como unidades académicas centrales, articulados con Institutos especializados. Su perfil de especialización en artes, cultura y humanidades le permitió ofrecer carreras novedosas como Artes Electrónicas. El informe CONEAU (2010b) señaló que, si bien la estructura departamental era adecuada al proyecto institucional, era necesario fortalecer los departamentos como instancias académicas y articular mejor los institutos con las carreras de grado (Zangrossi, 2013). Esta recomendación revela una tensión que se volvería recurrente: la dificultad para que los institutos de investigación se articulen orgánicamente con la enseñanza de grado dentro del modelo matricial.</w:t>
      </w:r>
    </w:p>
    <w:p w14:paraId="7752A35A" w14:textId="638E475B" w:rsidR="00B1569B" w:rsidRPr="007A03CB" w:rsidRDefault="00B1569B" w:rsidP="00B1569B">
      <w:pPr>
        <w:spacing w:line="240" w:lineRule="auto"/>
        <w:jc w:val="both"/>
        <w:rPr>
          <w:rFonts w:ascii="Times New Roman" w:hAnsi="Times New Roman" w:cs="Times New Roman"/>
        </w:rPr>
      </w:pPr>
      <w:r w:rsidRPr="007A03CB">
        <w:rPr>
          <w:rFonts w:ascii="Times New Roman" w:hAnsi="Times New Roman" w:cs="Times New Roman"/>
        </w:rPr>
        <w:lastRenderedPageBreak/>
        <w:t xml:space="preserve">La UNLa adoptó una organización en torno a cuatro Departamentos temáticos (Humanidades y Artes; Desarrollo Productivo y Tecnológico; Planificación y Políticas Públicas; y Salud Comunitaria) que expresan la lógica de organizar la estructura académica en función de problemas sociales y no de disciplinas convencionales (Di Meglio, 2023). Este principio de organización por problemáticas representa </w:t>
      </w:r>
      <w:r w:rsidR="007A03CB">
        <w:rPr>
          <w:rFonts w:ascii="Times New Roman" w:hAnsi="Times New Roman" w:cs="Times New Roman"/>
        </w:rPr>
        <w:t>un</w:t>
      </w:r>
      <w:r w:rsidRPr="007A03CB">
        <w:rPr>
          <w:rFonts w:ascii="Times New Roman" w:hAnsi="Times New Roman" w:cs="Times New Roman"/>
        </w:rPr>
        <w:t>a apuesta explícita por la interdisciplinariedad en el primer período de creación de universidades.</w:t>
      </w:r>
    </w:p>
    <w:p w14:paraId="3851B027" w14:textId="77777777" w:rsidR="00B1569B" w:rsidRPr="007A03CB" w:rsidRDefault="00B1569B" w:rsidP="00B1569B">
      <w:pPr>
        <w:spacing w:before="160" w:line="240" w:lineRule="auto"/>
        <w:rPr>
          <w:rFonts w:ascii="Times New Roman" w:hAnsi="Times New Roman" w:cs="Times New Roman"/>
        </w:rPr>
      </w:pPr>
      <w:r w:rsidRPr="007A03CB">
        <w:rPr>
          <w:rFonts w:ascii="Times New Roman" w:hAnsi="Times New Roman" w:cs="Times New Roman"/>
          <w:b/>
        </w:rPr>
        <w:t>Otros Dispositivos de gobierno</w:t>
      </w:r>
    </w:p>
    <w:p w14:paraId="30DF96C5" w14:textId="77777777" w:rsidR="00B1569B" w:rsidRPr="007A03CB" w:rsidRDefault="00B1569B" w:rsidP="00B1569B">
      <w:pPr>
        <w:spacing w:line="240" w:lineRule="auto"/>
        <w:jc w:val="both"/>
        <w:rPr>
          <w:rFonts w:ascii="Times New Roman" w:hAnsi="Times New Roman" w:cs="Times New Roman"/>
        </w:rPr>
      </w:pPr>
      <w:r w:rsidRPr="007A03CB">
        <w:rPr>
          <w:rFonts w:ascii="Times New Roman" w:hAnsi="Times New Roman" w:cs="Times New Roman"/>
        </w:rPr>
        <w:t>Además de las estructuras académicas, el primer período introdujo innovaciones en los dispositivos de gobierno que deben ser destacadas. La UNQ incorporó un Consejo Social Comunitario (órgano de participación con representantes de actores externos) que marcó una diferencia significativa respecto del cogobierno tripartito clásico (docentes, estudiantes, no docentes). La UNLa, por su parte, incluyó en su estatuto artículos específicos referidos a la inclusión de estudiantes de bajos recursos económicos, con el Consejo Consultivo obligado a asesorar al respecto (Sturniolo, 2009). Ambas instituciones anticiparon la orientación hacia la inclusión y la equidad que se volvería un eje central del segundo período.</w:t>
      </w:r>
    </w:p>
    <w:p w14:paraId="0CA7CBCD" w14:textId="77777777" w:rsidR="00B1569B" w:rsidRPr="007A03CB" w:rsidRDefault="00B1569B" w:rsidP="00B1569B">
      <w:pPr>
        <w:spacing w:line="240" w:lineRule="auto"/>
        <w:jc w:val="both"/>
        <w:rPr>
          <w:rFonts w:ascii="Times New Roman" w:hAnsi="Times New Roman" w:cs="Times New Roman"/>
          <w:b/>
          <w:bCs/>
        </w:rPr>
      </w:pPr>
      <w:r w:rsidRPr="007A03CB">
        <w:rPr>
          <w:rFonts w:ascii="Times New Roman" w:hAnsi="Times New Roman" w:cs="Times New Roman"/>
          <w:b/>
          <w:bCs/>
        </w:rPr>
        <w:t>Estructura académica e integración de funciones en universidades del conurbano creadas entre 1989-1995</w:t>
      </w:r>
    </w:p>
    <w:tbl>
      <w:tblPr>
        <w:tblStyle w:val="Tablaconcuadrcula"/>
        <w:tblW w:w="0" w:type="auto"/>
        <w:tblLook w:val="04A0" w:firstRow="1" w:lastRow="0" w:firstColumn="1" w:lastColumn="0" w:noHBand="0" w:noVBand="1"/>
      </w:tblPr>
      <w:tblGrid>
        <w:gridCol w:w="2831"/>
        <w:gridCol w:w="2832"/>
        <w:gridCol w:w="2831"/>
      </w:tblGrid>
      <w:tr w:rsidR="00B1569B" w:rsidRPr="007A03CB" w14:paraId="0ACF34E5" w14:textId="77777777" w:rsidTr="00BE2AEA">
        <w:trPr>
          <w:cantSplit/>
        </w:trPr>
        <w:tc>
          <w:tcPr>
            <w:tcW w:w="2831" w:type="dxa"/>
          </w:tcPr>
          <w:p w14:paraId="1C422ED9" w14:textId="77777777" w:rsidR="00B1569B" w:rsidRPr="007A03CB" w:rsidRDefault="00B1569B" w:rsidP="00B067F2">
            <w:pPr>
              <w:spacing w:after="200"/>
              <w:rPr>
                <w:rFonts w:ascii="Times New Roman" w:hAnsi="Times New Roman" w:cs="Times New Roman"/>
                <w:lang w:val="es-AR"/>
              </w:rPr>
            </w:pPr>
            <w:r w:rsidRPr="007A03CB">
              <w:rPr>
                <w:rFonts w:ascii="Times New Roman" w:hAnsi="Times New Roman" w:cs="Times New Roman"/>
                <w:b/>
                <w:sz w:val="20"/>
                <w:lang w:val="es-AR"/>
              </w:rPr>
              <w:t>Universidad / Año creación</w:t>
            </w:r>
          </w:p>
        </w:tc>
        <w:tc>
          <w:tcPr>
            <w:tcW w:w="2832" w:type="dxa"/>
          </w:tcPr>
          <w:p w14:paraId="320BF73A" w14:textId="77777777" w:rsidR="00B1569B" w:rsidRPr="007A03CB" w:rsidRDefault="00B1569B" w:rsidP="00B067F2">
            <w:pPr>
              <w:spacing w:after="200"/>
              <w:rPr>
                <w:rFonts w:ascii="Times New Roman" w:hAnsi="Times New Roman" w:cs="Times New Roman"/>
                <w:lang w:val="es-AR"/>
              </w:rPr>
            </w:pPr>
            <w:r w:rsidRPr="007A03CB">
              <w:rPr>
                <w:rFonts w:ascii="Times New Roman" w:hAnsi="Times New Roman" w:cs="Times New Roman"/>
                <w:b/>
                <w:sz w:val="20"/>
                <w:lang w:val="es-AR"/>
              </w:rPr>
              <w:t>Estructura académica</w:t>
            </w:r>
          </w:p>
        </w:tc>
        <w:tc>
          <w:tcPr>
            <w:tcW w:w="2831" w:type="dxa"/>
          </w:tcPr>
          <w:p w14:paraId="10182EFC" w14:textId="77777777" w:rsidR="00B1569B" w:rsidRPr="007A03CB" w:rsidRDefault="00B1569B" w:rsidP="00B067F2">
            <w:pPr>
              <w:spacing w:after="200"/>
              <w:rPr>
                <w:rFonts w:ascii="Times New Roman" w:hAnsi="Times New Roman" w:cs="Times New Roman"/>
                <w:lang w:val="es-AR"/>
              </w:rPr>
            </w:pPr>
            <w:r w:rsidRPr="007A03CB">
              <w:rPr>
                <w:rFonts w:ascii="Times New Roman" w:hAnsi="Times New Roman" w:cs="Times New Roman"/>
                <w:b/>
                <w:sz w:val="20"/>
                <w:lang w:val="es-AR"/>
              </w:rPr>
              <w:t>Funciones docencia-investigación-extensión</w:t>
            </w:r>
          </w:p>
        </w:tc>
      </w:tr>
      <w:tr w:rsidR="00B1569B" w:rsidRPr="007A03CB" w14:paraId="3A4DD057" w14:textId="77777777" w:rsidTr="00BE2AEA">
        <w:trPr>
          <w:cantSplit/>
        </w:trPr>
        <w:tc>
          <w:tcPr>
            <w:tcW w:w="2831" w:type="dxa"/>
          </w:tcPr>
          <w:p w14:paraId="4A2CE346" w14:textId="77777777" w:rsidR="00B1569B" w:rsidRPr="007A03CB" w:rsidRDefault="00B1569B" w:rsidP="00B067F2">
            <w:pPr>
              <w:spacing w:after="200"/>
              <w:rPr>
                <w:rFonts w:ascii="Times New Roman" w:hAnsi="Times New Roman" w:cs="Times New Roman"/>
                <w:lang w:val="es-AR"/>
              </w:rPr>
            </w:pPr>
            <w:r w:rsidRPr="007A03CB">
              <w:rPr>
                <w:rFonts w:ascii="Times New Roman" w:hAnsi="Times New Roman" w:cs="Times New Roman"/>
                <w:sz w:val="20"/>
                <w:lang w:val="es-AR"/>
              </w:rPr>
              <w:t>UNQ (1989) Universidad Nacional de Quilmes</w:t>
            </w:r>
          </w:p>
        </w:tc>
        <w:tc>
          <w:tcPr>
            <w:tcW w:w="2832" w:type="dxa"/>
          </w:tcPr>
          <w:p w14:paraId="3717C31B" w14:textId="77777777" w:rsidR="00B1569B" w:rsidRPr="007A03CB" w:rsidRDefault="00B1569B" w:rsidP="00B067F2">
            <w:pPr>
              <w:spacing w:after="200"/>
              <w:rPr>
                <w:rFonts w:ascii="Times New Roman" w:hAnsi="Times New Roman" w:cs="Times New Roman"/>
                <w:lang w:val="es-AR"/>
              </w:rPr>
            </w:pPr>
            <w:r w:rsidRPr="007A03CB">
              <w:rPr>
                <w:rFonts w:ascii="Times New Roman" w:hAnsi="Times New Roman" w:cs="Times New Roman"/>
                <w:sz w:val="20"/>
                <w:lang w:val="es-AR"/>
              </w:rPr>
              <w:t>Modelo departamental (Ciencias Sociales, Ciencia y Tecnología, Economía y Administración) + Escuelas Universitarias (Artes). Áreas de conocimiento dentro de cada Departamento.</w:t>
            </w:r>
          </w:p>
        </w:tc>
        <w:tc>
          <w:tcPr>
            <w:tcW w:w="2831" w:type="dxa"/>
          </w:tcPr>
          <w:p w14:paraId="25A4B202" w14:textId="77777777" w:rsidR="00B1569B" w:rsidRPr="007A03CB" w:rsidRDefault="00B1569B" w:rsidP="00B067F2">
            <w:pPr>
              <w:spacing w:after="200"/>
              <w:rPr>
                <w:rFonts w:ascii="Times New Roman" w:hAnsi="Times New Roman" w:cs="Times New Roman"/>
                <w:lang w:val="es-AR"/>
              </w:rPr>
            </w:pPr>
            <w:r w:rsidRPr="007A03CB">
              <w:rPr>
                <w:rFonts w:ascii="Times New Roman" w:hAnsi="Times New Roman" w:cs="Times New Roman"/>
                <w:sz w:val="20"/>
                <w:lang w:val="es-AR"/>
              </w:rPr>
              <w:t>Departamentos responsables de docencia, investigación, desarrollo, transferencia y extensión de manera integrada. Articulación explícita de las tres funciones en una misma unidad.</w:t>
            </w:r>
          </w:p>
        </w:tc>
      </w:tr>
      <w:tr w:rsidR="00B1569B" w:rsidRPr="007A03CB" w14:paraId="678365F8" w14:textId="77777777" w:rsidTr="00BE2AEA">
        <w:trPr>
          <w:cantSplit/>
        </w:trPr>
        <w:tc>
          <w:tcPr>
            <w:tcW w:w="2831" w:type="dxa"/>
          </w:tcPr>
          <w:p w14:paraId="563E7CBC" w14:textId="77777777" w:rsidR="00B1569B" w:rsidRPr="007A03CB" w:rsidRDefault="00B1569B" w:rsidP="00B067F2">
            <w:pPr>
              <w:spacing w:after="200"/>
              <w:rPr>
                <w:rFonts w:ascii="Times New Roman" w:hAnsi="Times New Roman" w:cs="Times New Roman"/>
                <w:lang w:val="es-AR"/>
              </w:rPr>
            </w:pPr>
            <w:r w:rsidRPr="007A03CB">
              <w:rPr>
                <w:rFonts w:ascii="Times New Roman" w:hAnsi="Times New Roman" w:cs="Times New Roman"/>
                <w:sz w:val="20"/>
                <w:lang w:val="es-AR"/>
              </w:rPr>
              <w:t>UNLaM (1989) Universidad Nacional de La Matanza</w:t>
            </w:r>
          </w:p>
        </w:tc>
        <w:tc>
          <w:tcPr>
            <w:tcW w:w="2832" w:type="dxa"/>
          </w:tcPr>
          <w:p w14:paraId="36441E0D" w14:textId="77777777" w:rsidR="00B1569B" w:rsidRPr="007A03CB" w:rsidRDefault="00B1569B" w:rsidP="00B067F2">
            <w:pPr>
              <w:spacing w:after="200"/>
              <w:rPr>
                <w:rFonts w:ascii="Times New Roman" w:hAnsi="Times New Roman" w:cs="Times New Roman"/>
                <w:lang w:val="es-AR"/>
              </w:rPr>
            </w:pPr>
            <w:r w:rsidRPr="007A03CB">
              <w:rPr>
                <w:rFonts w:ascii="Times New Roman" w:hAnsi="Times New Roman" w:cs="Times New Roman"/>
                <w:sz w:val="20"/>
                <w:lang w:val="es-AR"/>
              </w:rPr>
              <w:t>Estructura de Departamentos. (Ciencias Económicas, Humanidades y Ciencias Sociales, Ingeniería e Investigaciones Tecnológicas, Derecho y Ciencia Política, Ciencias de la Salud, Arquitectura y Urbanismo y Odontología). Organización relativamente más cercana al modelo de facultades tradicionales.</w:t>
            </w:r>
          </w:p>
        </w:tc>
        <w:tc>
          <w:tcPr>
            <w:tcW w:w="2831" w:type="dxa"/>
          </w:tcPr>
          <w:p w14:paraId="6E41A5D2" w14:textId="77777777" w:rsidR="00B1569B" w:rsidRPr="007A03CB" w:rsidRDefault="00B1569B" w:rsidP="00B067F2">
            <w:pPr>
              <w:spacing w:after="200"/>
              <w:rPr>
                <w:rFonts w:ascii="Times New Roman" w:hAnsi="Times New Roman" w:cs="Times New Roman"/>
                <w:lang w:val="es-AR"/>
              </w:rPr>
            </w:pPr>
            <w:r w:rsidRPr="007A03CB">
              <w:rPr>
                <w:rFonts w:ascii="Times New Roman" w:hAnsi="Times New Roman" w:cs="Times New Roman"/>
                <w:sz w:val="20"/>
                <w:lang w:val="es-AR"/>
              </w:rPr>
              <w:t>Integración docencia-investigación orientada a necesidades locales industriales y de servicios. Extensión vinculada al municipio.</w:t>
            </w:r>
          </w:p>
        </w:tc>
      </w:tr>
      <w:tr w:rsidR="00B1569B" w:rsidRPr="007A03CB" w14:paraId="0947963A" w14:textId="77777777" w:rsidTr="00BE2AEA">
        <w:trPr>
          <w:cantSplit/>
        </w:trPr>
        <w:tc>
          <w:tcPr>
            <w:tcW w:w="2831" w:type="dxa"/>
          </w:tcPr>
          <w:p w14:paraId="36EBBE86" w14:textId="77777777" w:rsidR="00B1569B" w:rsidRPr="007A03CB" w:rsidRDefault="00B1569B" w:rsidP="00B067F2">
            <w:pPr>
              <w:spacing w:after="200"/>
              <w:rPr>
                <w:rFonts w:ascii="Times New Roman" w:hAnsi="Times New Roman" w:cs="Times New Roman"/>
                <w:lang w:val="es-AR"/>
              </w:rPr>
            </w:pPr>
            <w:r w:rsidRPr="007A03CB">
              <w:rPr>
                <w:rFonts w:ascii="Times New Roman" w:hAnsi="Times New Roman" w:cs="Times New Roman"/>
                <w:sz w:val="20"/>
                <w:lang w:val="es-AR"/>
              </w:rPr>
              <w:lastRenderedPageBreak/>
              <w:t>UNGS (1992) Universidad Nacional de General Sarmiento</w:t>
            </w:r>
          </w:p>
        </w:tc>
        <w:tc>
          <w:tcPr>
            <w:tcW w:w="2832" w:type="dxa"/>
          </w:tcPr>
          <w:p w14:paraId="0CF8F5F2" w14:textId="77777777" w:rsidR="00B1569B" w:rsidRPr="007A03CB" w:rsidRDefault="00B1569B" w:rsidP="00B067F2">
            <w:pPr>
              <w:spacing w:after="200"/>
              <w:rPr>
                <w:rFonts w:ascii="Times New Roman" w:hAnsi="Times New Roman" w:cs="Times New Roman"/>
                <w:lang w:val="es-AR"/>
              </w:rPr>
            </w:pPr>
            <w:r w:rsidRPr="007A03CB">
              <w:rPr>
                <w:rFonts w:ascii="Times New Roman" w:hAnsi="Times New Roman" w:cs="Times New Roman"/>
                <w:sz w:val="20"/>
                <w:lang w:val="es-AR"/>
              </w:rPr>
              <w:t>Institutos interdisciplinarios: Instituto de Ciencias, Instituto del Conurbano, Instituto de Industria, Instituto del Desarrollo Humano. Organización temática, no disciplinar.</w:t>
            </w:r>
          </w:p>
        </w:tc>
        <w:tc>
          <w:tcPr>
            <w:tcW w:w="2831" w:type="dxa"/>
          </w:tcPr>
          <w:p w14:paraId="46000188" w14:textId="77777777" w:rsidR="00B1569B" w:rsidRPr="007A03CB" w:rsidRDefault="00B1569B" w:rsidP="00B067F2">
            <w:pPr>
              <w:spacing w:after="200"/>
              <w:rPr>
                <w:rFonts w:ascii="Times New Roman" w:hAnsi="Times New Roman" w:cs="Times New Roman"/>
                <w:lang w:val="es-AR"/>
              </w:rPr>
            </w:pPr>
            <w:r w:rsidRPr="007A03CB">
              <w:rPr>
                <w:rFonts w:ascii="Times New Roman" w:hAnsi="Times New Roman" w:cs="Times New Roman"/>
                <w:sz w:val="20"/>
                <w:lang w:val="es-AR"/>
              </w:rPr>
              <w:t>Institutos integran docencia e investigación. Orientación explícita a problemáticas del conurbano. Extensión y transferencia articuladas con los institutos</w:t>
            </w:r>
          </w:p>
        </w:tc>
      </w:tr>
      <w:tr w:rsidR="00B1569B" w:rsidRPr="007A03CB" w14:paraId="5E723C2B" w14:textId="77777777" w:rsidTr="00BE2AEA">
        <w:trPr>
          <w:cantSplit/>
        </w:trPr>
        <w:tc>
          <w:tcPr>
            <w:tcW w:w="2831" w:type="dxa"/>
          </w:tcPr>
          <w:p w14:paraId="1A5ADE0E" w14:textId="77777777" w:rsidR="00B1569B" w:rsidRPr="007A03CB" w:rsidRDefault="00B1569B" w:rsidP="00B067F2">
            <w:pPr>
              <w:spacing w:after="200"/>
              <w:rPr>
                <w:rFonts w:ascii="Times New Roman" w:hAnsi="Times New Roman" w:cs="Times New Roman"/>
                <w:lang w:val="es-AR"/>
              </w:rPr>
            </w:pPr>
            <w:r w:rsidRPr="007A03CB">
              <w:rPr>
                <w:rFonts w:ascii="Times New Roman" w:hAnsi="Times New Roman" w:cs="Times New Roman"/>
                <w:sz w:val="20"/>
                <w:lang w:val="es-AR"/>
              </w:rPr>
              <w:t>UNSAM (1992) Universidad Nacional de General San Martín</w:t>
            </w:r>
          </w:p>
        </w:tc>
        <w:tc>
          <w:tcPr>
            <w:tcW w:w="2832" w:type="dxa"/>
          </w:tcPr>
          <w:p w14:paraId="2B056E4B" w14:textId="77777777" w:rsidR="00B1569B" w:rsidRPr="007A03CB" w:rsidRDefault="00B1569B" w:rsidP="00B067F2">
            <w:pPr>
              <w:spacing w:after="200"/>
              <w:rPr>
                <w:rFonts w:ascii="Times New Roman" w:hAnsi="Times New Roman" w:cs="Times New Roman"/>
                <w:lang w:val="es-AR"/>
              </w:rPr>
            </w:pPr>
            <w:r w:rsidRPr="007A03CB">
              <w:rPr>
                <w:rFonts w:ascii="Times New Roman" w:hAnsi="Times New Roman" w:cs="Times New Roman"/>
                <w:sz w:val="20"/>
                <w:lang w:val="es-AR"/>
              </w:rPr>
              <w:t>Escuelas (Ciencia y Tecnología, Economía y Negocios, Humanidades, Política y Gobierno, EIDAES, Arte y Patrimonio, Bio y Nanotecnologías, Hábitat y Sustentabilidad) e Institutos Asociados como unidades académicas principales.</w:t>
            </w:r>
          </w:p>
        </w:tc>
        <w:tc>
          <w:tcPr>
            <w:tcW w:w="2831" w:type="dxa"/>
          </w:tcPr>
          <w:p w14:paraId="0A64F75C" w14:textId="77777777" w:rsidR="00B1569B" w:rsidRPr="007A03CB" w:rsidRDefault="00B1569B" w:rsidP="00B067F2">
            <w:pPr>
              <w:spacing w:after="200"/>
              <w:rPr>
                <w:rFonts w:ascii="Times New Roman" w:hAnsi="Times New Roman" w:cs="Times New Roman"/>
                <w:lang w:val="es-AR"/>
              </w:rPr>
            </w:pPr>
            <w:r w:rsidRPr="007A03CB">
              <w:rPr>
                <w:rFonts w:ascii="Times New Roman" w:hAnsi="Times New Roman" w:cs="Times New Roman"/>
                <w:sz w:val="20"/>
                <w:lang w:val="es-AR"/>
              </w:rPr>
              <w:t>Escuelas e Institutos articulan formación de grado, posgrado, investigación, extensión y transferencia. Modelo orientado a investigación desde los inicios.</w:t>
            </w:r>
          </w:p>
        </w:tc>
      </w:tr>
      <w:tr w:rsidR="00B1569B" w:rsidRPr="007A03CB" w14:paraId="29A16F81" w14:textId="77777777" w:rsidTr="00BE2AEA">
        <w:trPr>
          <w:cantSplit/>
        </w:trPr>
        <w:tc>
          <w:tcPr>
            <w:tcW w:w="2831" w:type="dxa"/>
          </w:tcPr>
          <w:p w14:paraId="5F7B1CDA" w14:textId="77777777" w:rsidR="00B1569B" w:rsidRPr="007A03CB" w:rsidRDefault="00B1569B" w:rsidP="00B067F2">
            <w:pPr>
              <w:spacing w:after="200"/>
              <w:rPr>
                <w:rFonts w:ascii="Times New Roman" w:hAnsi="Times New Roman" w:cs="Times New Roman"/>
                <w:lang w:val="es-AR"/>
              </w:rPr>
            </w:pPr>
            <w:r w:rsidRPr="007A03CB">
              <w:rPr>
                <w:rFonts w:ascii="Times New Roman" w:hAnsi="Times New Roman" w:cs="Times New Roman"/>
                <w:sz w:val="20"/>
                <w:lang w:val="es-AR"/>
              </w:rPr>
              <w:t>UNTREF (1995) Universidad Nacional de Tres de Febrero</w:t>
            </w:r>
          </w:p>
        </w:tc>
        <w:tc>
          <w:tcPr>
            <w:tcW w:w="2832" w:type="dxa"/>
          </w:tcPr>
          <w:p w14:paraId="110ED23B" w14:textId="77777777" w:rsidR="00B1569B" w:rsidRPr="007A03CB" w:rsidRDefault="00B1569B" w:rsidP="00B067F2">
            <w:pPr>
              <w:spacing w:after="200"/>
              <w:rPr>
                <w:rFonts w:ascii="Times New Roman" w:hAnsi="Times New Roman" w:cs="Times New Roman"/>
                <w:lang w:val="es-AR"/>
              </w:rPr>
            </w:pPr>
            <w:r w:rsidRPr="007A03CB">
              <w:rPr>
                <w:rFonts w:ascii="Times New Roman" w:hAnsi="Times New Roman" w:cs="Times New Roman"/>
                <w:sz w:val="20"/>
                <w:lang w:val="es-AR"/>
              </w:rPr>
              <w:t>Departamentos (Salud y seguridad social, Metodología, estadística y matemáticas, Ciencia y Tecnología, Ciencias Sociales, Administración y economías, Arte y Cultura) como unidades académicas centrales. Institutos articulados con los departamentos.</w:t>
            </w:r>
          </w:p>
        </w:tc>
        <w:tc>
          <w:tcPr>
            <w:tcW w:w="2831" w:type="dxa"/>
          </w:tcPr>
          <w:p w14:paraId="00A3DEA7" w14:textId="77777777" w:rsidR="00B1569B" w:rsidRPr="007A03CB" w:rsidRDefault="00B1569B" w:rsidP="00B067F2">
            <w:pPr>
              <w:spacing w:after="200"/>
              <w:rPr>
                <w:rFonts w:ascii="Times New Roman" w:hAnsi="Times New Roman" w:cs="Times New Roman"/>
                <w:lang w:val="es-AR"/>
              </w:rPr>
            </w:pPr>
            <w:r w:rsidRPr="007A03CB">
              <w:rPr>
                <w:rFonts w:ascii="Times New Roman" w:hAnsi="Times New Roman" w:cs="Times New Roman"/>
                <w:sz w:val="20"/>
                <w:lang w:val="es-AR"/>
              </w:rPr>
              <w:t>Departamentos con responsabilidad sobre docencia e investigación. Extensión cultural con perfil innovador. Perfil orientado a las artes, la cultura y las humanidades.</w:t>
            </w:r>
          </w:p>
        </w:tc>
      </w:tr>
      <w:tr w:rsidR="00BE2AEA" w:rsidRPr="007A03CB" w14:paraId="56E18EE1" w14:textId="77777777" w:rsidTr="00BE2AEA">
        <w:trPr>
          <w:cantSplit/>
        </w:trPr>
        <w:tc>
          <w:tcPr>
            <w:tcW w:w="2831" w:type="dxa"/>
          </w:tcPr>
          <w:p w14:paraId="2EB568A0" w14:textId="15D12C64" w:rsidR="00BE2AEA" w:rsidRPr="00BE2AEA" w:rsidRDefault="00BE2AEA" w:rsidP="00BE2AEA">
            <w:pPr>
              <w:spacing w:after="200"/>
              <w:rPr>
                <w:rFonts w:ascii="Times New Roman" w:hAnsi="Times New Roman" w:cs="Times New Roman"/>
                <w:sz w:val="20"/>
                <w:lang w:val="es-AR"/>
              </w:rPr>
            </w:pPr>
            <w:r w:rsidRPr="00BE2AEA">
              <w:rPr>
                <w:rFonts w:ascii="Times New Roman" w:hAnsi="Times New Roman" w:cs="Times New Roman"/>
                <w:sz w:val="20"/>
                <w:lang w:val="es-AR"/>
              </w:rPr>
              <w:t>UNLa (1995) Universidad Nacional de Lanús</w:t>
            </w:r>
          </w:p>
        </w:tc>
        <w:tc>
          <w:tcPr>
            <w:tcW w:w="2832" w:type="dxa"/>
          </w:tcPr>
          <w:p w14:paraId="007B90F4" w14:textId="14A0A7E9" w:rsidR="00BE2AEA" w:rsidRPr="00BE2AEA" w:rsidRDefault="00BE2AEA" w:rsidP="00BE2AEA">
            <w:pPr>
              <w:spacing w:after="200"/>
              <w:rPr>
                <w:rFonts w:ascii="Times New Roman" w:hAnsi="Times New Roman" w:cs="Times New Roman"/>
                <w:sz w:val="20"/>
                <w:lang w:val="es-AR"/>
              </w:rPr>
            </w:pPr>
            <w:r w:rsidRPr="00BE2AEA">
              <w:rPr>
                <w:rFonts w:ascii="Times New Roman" w:hAnsi="Times New Roman" w:cs="Times New Roman"/>
                <w:sz w:val="20"/>
                <w:lang w:val="es-AR"/>
              </w:rPr>
              <w:t>Departamentos temáticos: Humanidades y Artes; Desarrollo Productivo y Tecnológico; Planificación y Políticas Públicas; Salud Comunitaria. Organización por problemáticas sociales, no por disciplinas convencionales.</w:t>
            </w:r>
          </w:p>
        </w:tc>
        <w:tc>
          <w:tcPr>
            <w:tcW w:w="2831" w:type="dxa"/>
          </w:tcPr>
          <w:p w14:paraId="1F74976A" w14:textId="7256563B" w:rsidR="00BE2AEA" w:rsidRPr="00BE2AEA" w:rsidRDefault="00BE2AEA" w:rsidP="00BE2AEA">
            <w:pPr>
              <w:spacing w:after="200"/>
              <w:rPr>
                <w:rFonts w:ascii="Times New Roman" w:hAnsi="Times New Roman" w:cs="Times New Roman"/>
                <w:sz w:val="20"/>
                <w:lang w:val="es-AR"/>
              </w:rPr>
            </w:pPr>
            <w:r w:rsidRPr="00BE2AEA">
              <w:rPr>
                <w:rFonts w:ascii="Times New Roman" w:hAnsi="Times New Roman" w:cs="Times New Roman"/>
                <w:sz w:val="20"/>
                <w:lang w:val="es-AR"/>
              </w:rPr>
              <w:t>Departamentos integran docencia, investigación y extensión en torno a problemáticas sociales del territorio. Consejo Consultivo con función de asesoramiento obligatorio en materia de inclusión de estudiantes de bajos recursos económicos.</w:t>
            </w:r>
          </w:p>
        </w:tc>
      </w:tr>
    </w:tbl>
    <w:p w14:paraId="313F829B" w14:textId="77777777" w:rsidR="00B1569B" w:rsidRPr="007A03CB" w:rsidRDefault="00B1569B" w:rsidP="00B1569B">
      <w:pPr>
        <w:spacing w:line="240" w:lineRule="auto"/>
        <w:jc w:val="center"/>
        <w:rPr>
          <w:rFonts w:ascii="Times New Roman" w:hAnsi="Times New Roman" w:cs="Times New Roman"/>
        </w:rPr>
      </w:pPr>
      <w:r w:rsidRPr="007A03CB">
        <w:rPr>
          <w:rFonts w:ascii="Times New Roman" w:hAnsi="Times New Roman" w:cs="Times New Roman"/>
          <w:i/>
          <w:sz w:val="20"/>
        </w:rPr>
        <w:t>Elaboración propia en base a Estatutos de UNGS, UNSAM, UNTREF, UNLa, UNLaM y UNQ e informes de Evaluación Externa de CONEAU.</w:t>
      </w:r>
    </w:p>
    <w:p w14:paraId="6C823202" w14:textId="77777777" w:rsidR="00B1569B" w:rsidRPr="007A03CB" w:rsidRDefault="00B1569B" w:rsidP="00B1569B">
      <w:pPr>
        <w:spacing w:before="160" w:line="240" w:lineRule="auto"/>
        <w:rPr>
          <w:rFonts w:ascii="Times New Roman" w:hAnsi="Times New Roman" w:cs="Times New Roman"/>
        </w:rPr>
      </w:pPr>
      <w:r w:rsidRPr="007A03CB">
        <w:rPr>
          <w:rFonts w:ascii="Times New Roman" w:hAnsi="Times New Roman" w:cs="Times New Roman"/>
          <w:b/>
        </w:rPr>
        <w:t>Tensiones identificadas en este período</w:t>
      </w:r>
    </w:p>
    <w:p w14:paraId="59C57A0A" w14:textId="77777777" w:rsidR="00B1569B" w:rsidRPr="007A03CB" w:rsidRDefault="00B1569B" w:rsidP="00B1569B">
      <w:pPr>
        <w:spacing w:line="240" w:lineRule="auto"/>
        <w:jc w:val="both"/>
        <w:rPr>
          <w:rFonts w:ascii="Times New Roman" w:hAnsi="Times New Roman" w:cs="Times New Roman"/>
        </w:rPr>
      </w:pPr>
      <w:r w:rsidRPr="007A03CB">
        <w:rPr>
          <w:rFonts w:ascii="Times New Roman" w:hAnsi="Times New Roman" w:cs="Times New Roman"/>
        </w:rPr>
        <w:t>Durante este primer período pueden identificarse diversas tensiones vinculadas con la implementación del diseño matricial y con la consolidación de ofertas académicas concebidas como innovadoras. Si bien las universidades analizadas adoptaron estructuras departamentales orientadas a favorecer la interdisciplinariedad, la flexibilidad curricular y la integración entre docencia, investigación y extensión, las evaluaciones institucionales muestran que dichas características convivieron con dinámicas organizacionales más cercanas al modelo tradicional basado en la centralidad de las carreras.</w:t>
      </w:r>
    </w:p>
    <w:p w14:paraId="07E7A4E2" w14:textId="6D8CE822" w:rsidR="00B1569B" w:rsidRPr="007A03CB" w:rsidRDefault="00B1569B" w:rsidP="00B1569B">
      <w:pPr>
        <w:spacing w:line="240" w:lineRule="auto"/>
        <w:jc w:val="both"/>
        <w:rPr>
          <w:rFonts w:ascii="Times New Roman" w:hAnsi="Times New Roman" w:cs="Times New Roman"/>
        </w:rPr>
      </w:pPr>
      <w:r w:rsidRPr="007A03CB">
        <w:rPr>
          <w:rFonts w:ascii="Times New Roman" w:hAnsi="Times New Roman" w:cs="Times New Roman"/>
        </w:rPr>
        <w:t xml:space="preserve">En el caso de la UNGS, entre 2006 y 2009 la matrícula del Segundo Ciclo Universitario se concentró principalmente en el Profesorado de Historia y el Profesorado de </w:t>
      </w:r>
      <w:r w:rsidRPr="007A03CB">
        <w:rPr>
          <w:rFonts w:ascii="Times New Roman" w:hAnsi="Times New Roman" w:cs="Times New Roman"/>
        </w:rPr>
        <w:lastRenderedPageBreak/>
        <w:t xml:space="preserve">Matemática, mientras que licenciaturas concebidas como propuestas innovadoras </w:t>
      </w:r>
      <w:r w:rsidR="00AE08E1">
        <w:rPr>
          <w:rFonts w:ascii="Times New Roman" w:hAnsi="Times New Roman" w:cs="Times New Roman"/>
        </w:rPr>
        <w:t>(</w:t>
      </w:r>
      <w:r w:rsidRPr="007A03CB">
        <w:rPr>
          <w:rFonts w:ascii="Times New Roman" w:hAnsi="Times New Roman" w:cs="Times New Roman"/>
        </w:rPr>
        <w:t>Ecología Urbana, Urbanismo y Economía Industrial</w:t>
      </w:r>
      <w:r w:rsidR="00AE08E1">
        <w:rPr>
          <w:rFonts w:ascii="Times New Roman" w:hAnsi="Times New Roman" w:cs="Times New Roman"/>
        </w:rPr>
        <w:t>)</w:t>
      </w:r>
      <w:r w:rsidRPr="007A03CB">
        <w:rPr>
          <w:rFonts w:ascii="Times New Roman" w:hAnsi="Times New Roman" w:cs="Times New Roman"/>
        </w:rPr>
        <w:t xml:space="preserve"> registraron promedios de apenas nueve, veinte y cuarenta y cuatro estudiantes matriculados, respectivamente, durante el período 2004-2009 (CONEAU, 2011). Este comportamiento evidencia las dificultades para consolidar nuevas propuestas académicas y sugiere que la innovación curricular no garantiza, por sí misma, su apropiación por parte de los estudiantes. La propia evaluación atribuye esta situación tanto a problemas de legitimación social de las nuevas titulaciones como a factores internos vinculados con el diseño curricular y con una duración efectiva de las carreras significativamente superior a la prevista originalmente.</w:t>
      </w:r>
    </w:p>
    <w:p w14:paraId="5CAD1E02" w14:textId="23561798" w:rsidR="00B1569B" w:rsidRPr="007A03CB" w:rsidRDefault="00B1569B" w:rsidP="00B1569B">
      <w:pPr>
        <w:spacing w:line="240" w:lineRule="auto"/>
        <w:jc w:val="both"/>
        <w:rPr>
          <w:rFonts w:ascii="Times New Roman" w:hAnsi="Times New Roman" w:cs="Times New Roman"/>
        </w:rPr>
      </w:pPr>
      <w:r w:rsidRPr="007A03CB">
        <w:rPr>
          <w:rFonts w:ascii="Times New Roman" w:hAnsi="Times New Roman" w:cs="Times New Roman"/>
        </w:rPr>
        <w:t>En la UNTREF, las autoevaluaciones institucionales identifican la necesidad de redefinir con mayor precisión la articulación entre departamentos, carreras e institutos, no desde una perspectiva meramente formal, sino en función de su contribución efectiva a las actividades de docencia, investigación y extensión (UNTREF, s.f.). En este marco, el estatus institucional de los departamentos no siempre se corresponde con las funciones que efectivamente desempeñan. La universidad señala, además, una participación limitada de los directores de departamento en decisiones que, desde la lógica del diseño organizacional, deberían formar parte de sus competencias, como la designación de docentes, la coordinación de institutos y centros o la conducción de actividades científico-tecnológicas y de extensión. Estas observaciones ponen de manifiesto las dificultades para traducir el diseño matricial previsto en el plano normativo en mecanismos efectivos de coordinación académica</w:t>
      </w:r>
      <w:r w:rsidR="00AE08E1">
        <w:rPr>
          <w:rFonts w:ascii="Times New Roman" w:hAnsi="Times New Roman" w:cs="Times New Roman"/>
        </w:rPr>
        <w:t xml:space="preserve"> (CONEAU, 2025)</w:t>
      </w:r>
      <w:r w:rsidRPr="007A03CB">
        <w:rPr>
          <w:rFonts w:ascii="Times New Roman" w:hAnsi="Times New Roman" w:cs="Times New Roman"/>
        </w:rPr>
        <w:t>.</w:t>
      </w:r>
    </w:p>
    <w:p w14:paraId="78651D7F" w14:textId="77777777" w:rsidR="00B1569B" w:rsidRPr="007A03CB" w:rsidRDefault="00B1569B" w:rsidP="00B1569B">
      <w:pPr>
        <w:spacing w:line="240" w:lineRule="auto"/>
        <w:jc w:val="both"/>
        <w:rPr>
          <w:rFonts w:ascii="Times New Roman" w:hAnsi="Times New Roman" w:cs="Times New Roman"/>
        </w:rPr>
      </w:pPr>
      <w:r w:rsidRPr="007A03CB">
        <w:rPr>
          <w:rFonts w:ascii="Times New Roman" w:hAnsi="Times New Roman" w:cs="Times New Roman"/>
        </w:rPr>
        <w:t>En la UNLa, la evaluación externa (CONEAU, 2005) advierte que la dinámica propia de las carreras constituye un factor de concentración de recursos suficientemente intenso como para limitar la transversalidad de contenidos, dificultar el trabajo interdisciplinario y obstaculizar la integración de la investigación en el ámbito de los departamentos. De este modo, aun cuando la estructura formal procura distribuir las funciones académicas en unidades departamentales, la organización efectiva continúa gravitando alrededor de las carreras de grado. Esta situación reproduce una tensión similar a la observada en la UNGS, donde la concentración de la matrícula en ofertas tradicionales termina reforzando una lógica organizacional que el propio diseño matricial buscaba superar.</w:t>
      </w:r>
    </w:p>
    <w:p w14:paraId="5A298B1E" w14:textId="04908922" w:rsidR="00B1569B" w:rsidRPr="007A03CB" w:rsidRDefault="00B1569B" w:rsidP="00B1569B">
      <w:pPr>
        <w:spacing w:line="240" w:lineRule="auto"/>
        <w:jc w:val="both"/>
        <w:rPr>
          <w:rFonts w:ascii="Times New Roman" w:hAnsi="Times New Roman" w:cs="Times New Roman"/>
        </w:rPr>
      </w:pPr>
      <w:r w:rsidRPr="007A03CB">
        <w:rPr>
          <w:rFonts w:ascii="Times New Roman" w:hAnsi="Times New Roman" w:cs="Times New Roman"/>
        </w:rPr>
        <w:t>En la UNQ, el propio diseño estatutario reconoce explícitamente la potencial tensión entre la lógica departamental y la de las carreras. En las deliberaciones de los Consejos Departamentales participan los directores de carrera y de diplomatura con voz, pero sin voto, salvo cuando las decisiones afectan directamente a las titulaciones bajo su responsabilidad (Universidad Nacional de Quilmes, 20</w:t>
      </w:r>
      <w:r w:rsidR="00AE08E1">
        <w:rPr>
          <w:rFonts w:ascii="Times New Roman" w:hAnsi="Times New Roman" w:cs="Times New Roman"/>
        </w:rPr>
        <w:t>13</w:t>
      </w:r>
      <w:r w:rsidRPr="007A03CB">
        <w:rPr>
          <w:rFonts w:ascii="Times New Roman" w:hAnsi="Times New Roman" w:cs="Times New Roman"/>
        </w:rPr>
        <w:t xml:space="preserve">). Esta disposición institucionaliza la primacía de la estructura departamental sobre la conducción de las carreras, privilegiando la coordinación disciplinar por sobre la gestión integral de las trayectorias estudiantiles. No obstante, la expansión institucional —materializada en la creación de nuevos departamentos, la Escuela Universitaria de Artes, la Escuela Técnica y el crecimiento de la educación a distancia— generó nuevas disputas en torno a la asignación de recursos entre unidades académicas. Según la propia universidad, estas tensiones fueron canalizadas mediante procesos de discusión presupuestaria concebidos </w:t>
      </w:r>
      <w:r w:rsidRPr="007A03CB">
        <w:rPr>
          <w:rFonts w:ascii="Times New Roman" w:hAnsi="Times New Roman" w:cs="Times New Roman"/>
        </w:rPr>
        <w:lastRenderedPageBreak/>
        <w:t>como instancias de planificación y construcción de consensos entre las autoridades (Universidad Nacional de Quilmes, 2019).</w:t>
      </w:r>
    </w:p>
    <w:p w14:paraId="06CAF304" w14:textId="77777777" w:rsidR="00B1569B" w:rsidRPr="007A03CB" w:rsidRDefault="00B1569B" w:rsidP="00B1569B">
      <w:pPr>
        <w:spacing w:line="240" w:lineRule="auto"/>
        <w:jc w:val="both"/>
        <w:rPr>
          <w:rFonts w:ascii="Times New Roman" w:hAnsi="Times New Roman" w:cs="Times New Roman"/>
        </w:rPr>
      </w:pPr>
      <w:r w:rsidRPr="007A03CB">
        <w:rPr>
          <w:rFonts w:ascii="Times New Roman" w:hAnsi="Times New Roman" w:cs="Times New Roman"/>
        </w:rPr>
        <w:t>En la UNSAM los institutos conviven con las escuelas y muchos de ellos (por ejemplo, el Instituto Sábato, el Instituto de Investigaciones Biotecnológicas, el Instituto Dan Beninson), fueron creados mediante convenios específicos con organismos científico-tecnológicos externos (CONICET, CNEA), lo cual introduce una heterogeneidad adicional en su origen institucional y su grado de autonomía respecto de la propia Universidad. El Informe de Autoevaluación de la Función I+D+i (UNSAM, 2014) dedica capítulos diferenciados a la gestión de la función dentro de las Escuelas y dentro de los Institutos, lo cual sugiere que ambos tipos de unidad matricial siguen dinámicas de gestión de la investigación diferentes y no siempre coordinadas entre sí.</w:t>
      </w:r>
    </w:p>
    <w:p w14:paraId="32D99042" w14:textId="1482FC6B" w:rsidR="00B1569B" w:rsidRPr="007A03CB" w:rsidRDefault="00B1569B" w:rsidP="00B1569B">
      <w:pPr>
        <w:spacing w:line="240" w:lineRule="auto"/>
        <w:jc w:val="both"/>
        <w:rPr>
          <w:rFonts w:ascii="Times New Roman" w:hAnsi="Times New Roman" w:cs="Times New Roman"/>
        </w:rPr>
      </w:pPr>
      <w:r w:rsidRPr="007A03CB">
        <w:rPr>
          <w:rFonts w:ascii="Times New Roman" w:hAnsi="Times New Roman" w:cs="Times New Roman"/>
        </w:rPr>
        <w:t>Por lo tanto, la adopción de estructuras matriciales no eliminó las lógicas organizacionales propias del modelo universitario tradicional, sino que dio lugar a una convivencia y, en ocasiones, a una competencia entre ambas racionalidades. Mientras el diseño institucional procuró fortalecer los departamentos como espacios de articulación disciplinar y de integración de las funciones sustantivas, las carreras continuaron concentrando legitimidad académica, matrícula, recursos y capacidad de coordinación de las actividades universitarias. En consecuencia, las principales tensiones de este período no parecen derivar de la existencia del diseño matricial en sí mismo, sino de las dificultades para modificar prácticas organizacionales históricamente arraigadas, que tendieron a reconfigurar el funcionamiento efectivo de estas universidades en torno a esquemas más próximos al modelo tradicional que al originalmente proyectado.</w:t>
      </w:r>
    </w:p>
    <w:p w14:paraId="5F800978" w14:textId="77777777" w:rsidR="00B1569B" w:rsidRPr="007A03CB" w:rsidRDefault="00B1569B" w:rsidP="00B1569B">
      <w:pPr>
        <w:spacing w:before="280" w:line="240" w:lineRule="auto"/>
        <w:rPr>
          <w:rFonts w:ascii="Times New Roman" w:hAnsi="Times New Roman" w:cs="Times New Roman"/>
        </w:rPr>
      </w:pPr>
      <w:r w:rsidRPr="007A03CB">
        <w:rPr>
          <w:rFonts w:ascii="Times New Roman" w:hAnsi="Times New Roman" w:cs="Times New Roman"/>
          <w:b/>
        </w:rPr>
        <w:t>Segundo período fundacional (2009-2015)</w:t>
      </w:r>
    </w:p>
    <w:p w14:paraId="4DF82419" w14:textId="77777777" w:rsidR="00B1569B" w:rsidRPr="007A03CB" w:rsidRDefault="00B1569B" w:rsidP="00B1569B">
      <w:pPr>
        <w:spacing w:before="160" w:line="240" w:lineRule="auto"/>
        <w:rPr>
          <w:rFonts w:ascii="Times New Roman" w:hAnsi="Times New Roman" w:cs="Times New Roman"/>
        </w:rPr>
      </w:pPr>
      <w:r w:rsidRPr="007A03CB">
        <w:rPr>
          <w:rFonts w:ascii="Times New Roman" w:hAnsi="Times New Roman" w:cs="Times New Roman"/>
          <w:b/>
        </w:rPr>
        <w:t>Contexto político y fundacional</w:t>
      </w:r>
    </w:p>
    <w:p w14:paraId="438DB550" w14:textId="77777777" w:rsidR="00B1569B" w:rsidRPr="007A03CB" w:rsidRDefault="00B1569B" w:rsidP="00B1569B">
      <w:pPr>
        <w:spacing w:line="240" w:lineRule="auto"/>
        <w:jc w:val="both"/>
        <w:rPr>
          <w:rFonts w:ascii="Times New Roman" w:hAnsi="Times New Roman" w:cs="Times New Roman"/>
        </w:rPr>
      </w:pPr>
      <w:r w:rsidRPr="007A03CB">
        <w:rPr>
          <w:rFonts w:ascii="Times New Roman" w:hAnsi="Times New Roman" w:cs="Times New Roman"/>
        </w:rPr>
        <w:t xml:space="preserve">La segunda ola de creación de universidades en el conurbano bonaerense se produjo en un contexto político e ideológico radicalmente diferente al de la década de 1990. En el marco de los gobiernos kirchneristas (2003-2015), la política universitaria adoptó una orientación explícita hacia la inclusión, la democratización del acceso y la ampliación de derechos (Marquina y </w:t>
      </w:r>
      <w:proofErr w:type="spellStart"/>
      <w:r w:rsidRPr="007A03CB">
        <w:rPr>
          <w:rFonts w:ascii="Times New Roman" w:hAnsi="Times New Roman" w:cs="Times New Roman"/>
        </w:rPr>
        <w:t>Chiroleu</w:t>
      </w:r>
      <w:proofErr w:type="spellEnd"/>
      <w:r w:rsidRPr="007A03CB">
        <w:rPr>
          <w:rFonts w:ascii="Times New Roman" w:hAnsi="Times New Roman" w:cs="Times New Roman"/>
        </w:rPr>
        <w:t>, 2015). Las nuevas instituciones surgieron con un discurso oficial enfático en el rol social de la universidad como garante de derechos colectivos y como instrumento de desarrollo territorial (Accinelli, Losio y Macri, 2016).</w:t>
      </w:r>
    </w:p>
    <w:p w14:paraId="2E719CEC" w14:textId="0B8A0DAE" w:rsidR="00B1569B" w:rsidRPr="007A03CB" w:rsidRDefault="00B1569B" w:rsidP="00B1569B">
      <w:pPr>
        <w:spacing w:line="240" w:lineRule="auto"/>
        <w:jc w:val="both"/>
        <w:rPr>
          <w:rFonts w:ascii="Times New Roman" w:hAnsi="Times New Roman" w:cs="Times New Roman"/>
        </w:rPr>
      </w:pPr>
      <w:r w:rsidRPr="007A03CB">
        <w:rPr>
          <w:rFonts w:ascii="Times New Roman" w:hAnsi="Times New Roman" w:cs="Times New Roman"/>
        </w:rPr>
        <w:t>En el año 2009 se crearon por ley cinco nuevas universidades en el conurbano: la Universidad Nacional Arturo Jauretche (UNAJ), la Universidad Nacional de Avellaneda (UNDAV), la Universidad Nacional de José C. Paz (UNPAZ), la Universidad Nacional de Moreno (UNM) y la Universidad Nacional del Oeste (UNO). En los años siguientes se sumaron la Universidad Nacional de Hurlingham (</w:t>
      </w:r>
      <w:proofErr w:type="spellStart"/>
      <w:r w:rsidRPr="007A03CB">
        <w:rPr>
          <w:rFonts w:ascii="Times New Roman" w:hAnsi="Times New Roman" w:cs="Times New Roman"/>
        </w:rPr>
        <w:t>UNaHur</w:t>
      </w:r>
      <w:proofErr w:type="spellEnd"/>
      <w:r w:rsidRPr="007A03CB">
        <w:rPr>
          <w:rFonts w:ascii="Times New Roman" w:hAnsi="Times New Roman" w:cs="Times New Roman"/>
        </w:rPr>
        <w:t xml:space="preserve"> - 2014), la Universidad Nacional Scalabrini Ortiz (UNS</w:t>
      </w:r>
      <w:r w:rsidR="00AE08E1">
        <w:rPr>
          <w:rFonts w:ascii="Times New Roman" w:hAnsi="Times New Roman" w:cs="Times New Roman"/>
        </w:rPr>
        <w:t>O</w:t>
      </w:r>
      <w:r w:rsidRPr="007A03CB">
        <w:rPr>
          <w:rFonts w:ascii="Times New Roman" w:hAnsi="Times New Roman" w:cs="Times New Roman"/>
        </w:rPr>
        <w:t xml:space="preserve"> - 2015) y la Universidad Nacional Almirante Brown (UNAB - 2015).</w:t>
      </w:r>
    </w:p>
    <w:p w14:paraId="579DE1ED" w14:textId="77777777" w:rsidR="00B1569B" w:rsidRPr="007A03CB" w:rsidRDefault="00B1569B" w:rsidP="00B1569B">
      <w:pPr>
        <w:spacing w:line="240" w:lineRule="auto"/>
        <w:jc w:val="both"/>
        <w:rPr>
          <w:rFonts w:ascii="Times New Roman" w:hAnsi="Times New Roman" w:cs="Times New Roman"/>
        </w:rPr>
      </w:pPr>
      <w:r w:rsidRPr="007A03CB">
        <w:rPr>
          <w:rFonts w:ascii="Times New Roman" w:hAnsi="Times New Roman" w:cs="Times New Roman"/>
        </w:rPr>
        <w:t xml:space="preserve">Las universidades del segundo período presentaron modelos organizacionales que, en términos generales, continuaron la línea del diseño matricial inaugurado por sus </w:t>
      </w:r>
      <w:r w:rsidRPr="007A03CB">
        <w:rPr>
          <w:rFonts w:ascii="Times New Roman" w:hAnsi="Times New Roman" w:cs="Times New Roman"/>
        </w:rPr>
        <w:lastRenderedPageBreak/>
        <w:t>predecesoras, si bien con adaptaciones significativas vinculadas a su mayor énfasis en la masificación y la inclusión.</w:t>
      </w:r>
    </w:p>
    <w:p w14:paraId="5EF112EB" w14:textId="77777777" w:rsidR="00B1569B" w:rsidRPr="007A03CB" w:rsidRDefault="00B1569B" w:rsidP="00B1569B">
      <w:pPr>
        <w:spacing w:before="160" w:line="240" w:lineRule="auto"/>
        <w:rPr>
          <w:rFonts w:ascii="Times New Roman" w:hAnsi="Times New Roman" w:cs="Times New Roman"/>
        </w:rPr>
      </w:pPr>
      <w:r w:rsidRPr="007A03CB">
        <w:rPr>
          <w:rFonts w:ascii="Times New Roman" w:hAnsi="Times New Roman" w:cs="Times New Roman"/>
          <w:b/>
        </w:rPr>
        <w:t>Continuidad y cambio en los modos de organización</w:t>
      </w:r>
    </w:p>
    <w:p w14:paraId="616FA8B2" w14:textId="77777777" w:rsidR="00B1569B" w:rsidRPr="007A03CB" w:rsidRDefault="00B1569B" w:rsidP="00B1569B">
      <w:pPr>
        <w:spacing w:line="240" w:lineRule="auto"/>
        <w:jc w:val="both"/>
        <w:rPr>
          <w:rFonts w:ascii="Times New Roman" w:hAnsi="Times New Roman" w:cs="Times New Roman"/>
        </w:rPr>
      </w:pPr>
      <w:r w:rsidRPr="007A03CB">
        <w:rPr>
          <w:rFonts w:ascii="Times New Roman" w:hAnsi="Times New Roman" w:cs="Times New Roman"/>
        </w:rPr>
        <w:t>La UNAJ adoptó una organización en torno a tres Institutos temáticos (Ingeniería y Agronomía, Ciencias Sociales y Administración, y Salud) más un Instituto de Iniciales transversal a todas las carreras, concebido como dispositivo de nivelación e inclusión. Esta organización por institutos de la UNAJ puede atribuirse a una definición de política institucional que entiende como eficaz una lógica centralizada, en oposición a una federación de facultades (</w:t>
      </w:r>
      <w:proofErr w:type="spellStart"/>
      <w:r w:rsidRPr="007A03CB">
        <w:rPr>
          <w:rFonts w:ascii="Times New Roman" w:hAnsi="Times New Roman" w:cs="Times New Roman"/>
        </w:rPr>
        <w:t>Sverdlick</w:t>
      </w:r>
      <w:proofErr w:type="spellEnd"/>
      <w:r w:rsidRPr="007A03CB">
        <w:rPr>
          <w:rFonts w:ascii="Times New Roman" w:hAnsi="Times New Roman" w:cs="Times New Roman"/>
        </w:rPr>
        <w:t xml:space="preserve"> et al., 2022). Sin embargo, el crecimiento de la matrícula y el desarrollo de los institutos generaron tensiones en torno a las demandas de mayor autonomía en las definiciones formativas.</w:t>
      </w:r>
    </w:p>
    <w:p w14:paraId="13A7A103" w14:textId="77777777" w:rsidR="00B1569B" w:rsidRPr="007A03CB" w:rsidRDefault="00B1569B" w:rsidP="00B1569B">
      <w:pPr>
        <w:spacing w:line="240" w:lineRule="auto"/>
        <w:jc w:val="both"/>
        <w:rPr>
          <w:rFonts w:ascii="Times New Roman" w:hAnsi="Times New Roman" w:cs="Times New Roman"/>
        </w:rPr>
      </w:pPr>
      <w:r w:rsidRPr="007A03CB">
        <w:rPr>
          <w:rFonts w:ascii="Times New Roman" w:hAnsi="Times New Roman" w:cs="Times New Roman"/>
        </w:rPr>
        <w:t>La UNPAZ se organizó en torno a departamentos (Ciencias Jurídicas y Sociales, y Ciencias de la Salud y el Deporte) complementados por el Instituto de Estudios Sociales del Conurbano (IESCODE), que actúa como unidad de investigación con articulación con el CONICET. En su Estatuto (UNPAZ, 2015) y Plan de Gobierno, la UNPAZ expresó el reconocimiento explícito de la universidad pública como un derecho colectivo, señalando que no solo los individuos sino la comunidad en su conjunto es titular del derecho a recibir los beneficios de la universidad (Rodríguez y Engel, 2022). Este principio impulsó una estrategia de inserción territorial que buscó hacer partícipe a las organizaciones políticas, sociales, gremiales, culturales y educativas locales.</w:t>
      </w:r>
    </w:p>
    <w:p w14:paraId="20D8BC98" w14:textId="77777777" w:rsidR="00B1569B" w:rsidRPr="007A03CB" w:rsidRDefault="00B1569B" w:rsidP="00B1569B">
      <w:pPr>
        <w:spacing w:line="240" w:lineRule="auto"/>
        <w:jc w:val="both"/>
        <w:rPr>
          <w:rFonts w:ascii="Times New Roman" w:hAnsi="Times New Roman" w:cs="Times New Roman"/>
        </w:rPr>
      </w:pPr>
      <w:r w:rsidRPr="007A03CB">
        <w:rPr>
          <w:rFonts w:ascii="Times New Roman" w:hAnsi="Times New Roman" w:cs="Times New Roman"/>
        </w:rPr>
        <w:t>La UNDAV organizó su oferta académica en departamentos temáticos: Ambiente y Turismo, Ciencias Sociales, Artes y Cultura, y Ciencias Económicas y Empresariales, entre otros. El Informe de Autoevaluación Institucional de la UNDAV (2015) señala que la estructura departamental fue concebida para garantizar la reflexión crítica, el ejercicio libre de la cátedra, el trabajo interdisciplinario y la relación con el entorno territorial, lo que evidencia la continuidad explícita de los principios fundacionales del primer período. Asimismo, la UNDAV es la universidad de la segunda generación con mayor proporción de tecnicaturas en su oferta de pregrado (10 de sus 13 carreras de pregrado al momento de la evaluación), un rasgo que la distingue de otras instituciones de la misma oleada y que refleja una apuesta más decidida por la articulación con el mercado laboral local</w:t>
      </w:r>
    </w:p>
    <w:p w14:paraId="35C7D827" w14:textId="77777777" w:rsidR="00B1569B" w:rsidRPr="007A03CB" w:rsidRDefault="00B1569B" w:rsidP="00B1569B">
      <w:pPr>
        <w:spacing w:line="240" w:lineRule="auto"/>
        <w:jc w:val="both"/>
        <w:rPr>
          <w:rFonts w:ascii="Times New Roman" w:hAnsi="Times New Roman" w:cs="Times New Roman"/>
        </w:rPr>
      </w:pPr>
      <w:r w:rsidRPr="007A03CB">
        <w:rPr>
          <w:rFonts w:ascii="Times New Roman" w:hAnsi="Times New Roman" w:cs="Times New Roman"/>
        </w:rPr>
        <w:t>La UNM organizó su oferta en tres departamentos: Ciencias Aplicadas y Tecnología, Economía y Administración, y Humanidades y Ciencias Sociales. Una característica distintiva de su modelo de autoevaluación es la existencia de Comisiones de Autoevaluación por Función (CAF), conformadas separadamente para las funciones de docencia, investigación, extensión y gestión, coordinadas por la Comisión de Autoevaluación Institucional (CAI) presidida por el Vicerrectorado (UNM, 2013). Este diseño refleja una conceptualización explícita de la articulación funcional que va más allá del enunciado estatutario para traducirse en una arquitectura de gestión diferenciada.</w:t>
      </w:r>
    </w:p>
    <w:p w14:paraId="4EBC2E34" w14:textId="5EAC71D2" w:rsidR="00B1569B" w:rsidRPr="007A03CB" w:rsidRDefault="00B1569B" w:rsidP="00B1569B">
      <w:pPr>
        <w:spacing w:line="240" w:lineRule="auto"/>
        <w:jc w:val="both"/>
        <w:rPr>
          <w:rFonts w:ascii="Times New Roman" w:hAnsi="Times New Roman" w:cs="Times New Roman"/>
        </w:rPr>
      </w:pPr>
      <w:r w:rsidRPr="007A03CB">
        <w:rPr>
          <w:rFonts w:ascii="Times New Roman" w:hAnsi="Times New Roman" w:cs="Times New Roman"/>
        </w:rPr>
        <w:t xml:space="preserve">La UNO, presenta una variante estructural distinta a la de las demás universidades relevadas: combina tres capas simultáneas a saber: 1) Escuelas, que organizan la oferta de carreras (Administración, Informática, Ciencias de la Salud, Ingeniería y Humanidades), 2) Departamentos, que agrupan al personal académico por áreas </w:t>
      </w:r>
      <w:r w:rsidRPr="007A03CB">
        <w:rPr>
          <w:rFonts w:ascii="Times New Roman" w:hAnsi="Times New Roman" w:cs="Times New Roman"/>
        </w:rPr>
        <w:lastRenderedPageBreak/>
        <w:t xml:space="preserve">disciplinarias y gestionan investigación, extensión y vinculación, y 3) Institutos, definidos por el propio Estatuto como espacios destinados a asignar relevancia e institucionalizar prioridades en la producción de conocimiento (Universidad Nacional del Oeste, </w:t>
      </w:r>
      <w:r w:rsidR="00D051DB">
        <w:rPr>
          <w:rFonts w:ascii="Times New Roman" w:hAnsi="Times New Roman" w:cs="Times New Roman"/>
        </w:rPr>
        <w:t>2013</w:t>
      </w:r>
      <w:r w:rsidRPr="007A03CB">
        <w:rPr>
          <w:rFonts w:ascii="Times New Roman" w:hAnsi="Times New Roman" w:cs="Times New Roman"/>
        </w:rPr>
        <w:t>). Lo distintivo del caso UNO es que la tensión entre estas capas está prevista y regulada explícitamente en el propio Estatuto</w:t>
      </w:r>
      <w:r w:rsidR="00D051DB">
        <w:rPr>
          <w:rFonts w:ascii="Times New Roman" w:hAnsi="Times New Roman" w:cs="Times New Roman"/>
        </w:rPr>
        <w:t>, que</w:t>
      </w:r>
      <w:r w:rsidRPr="007A03CB">
        <w:rPr>
          <w:rFonts w:ascii="Times New Roman" w:hAnsi="Times New Roman" w:cs="Times New Roman"/>
        </w:rPr>
        <w:t xml:space="preserve"> establece que es responsabilidad de los Departamentos la investigación, la extensión y la vinculación en su área disciplinaria, con excepción de aquellos casos que correspondan a la competencia específica de un Instituto, para los cuales los Departamentos deben afectar su personal según los requerimientos que realicen las autoridades de los Institutos (Universidad Nacional del Oeste, </w:t>
      </w:r>
      <w:r w:rsidR="00D051DB">
        <w:rPr>
          <w:rFonts w:ascii="Times New Roman" w:hAnsi="Times New Roman" w:cs="Times New Roman"/>
        </w:rPr>
        <w:t>2013</w:t>
      </w:r>
      <w:r w:rsidRPr="007A03CB">
        <w:rPr>
          <w:rFonts w:ascii="Times New Roman" w:hAnsi="Times New Roman" w:cs="Times New Roman"/>
        </w:rPr>
        <w:t>)</w:t>
      </w:r>
    </w:p>
    <w:p w14:paraId="24455928" w14:textId="77777777" w:rsidR="00B1569B" w:rsidRPr="007A03CB" w:rsidRDefault="00B1569B" w:rsidP="00B1569B">
      <w:pPr>
        <w:spacing w:line="240" w:lineRule="auto"/>
        <w:jc w:val="both"/>
        <w:rPr>
          <w:rFonts w:ascii="Times New Roman" w:hAnsi="Times New Roman" w:cs="Times New Roman"/>
          <w:b/>
          <w:bCs/>
        </w:rPr>
      </w:pPr>
      <w:r w:rsidRPr="007A03CB">
        <w:rPr>
          <w:rFonts w:ascii="Times New Roman" w:hAnsi="Times New Roman" w:cs="Times New Roman"/>
          <w:b/>
          <w:bCs/>
        </w:rPr>
        <w:t>Estructura académica e integración de funciones en universidades del conurbano creadas en 2009</w:t>
      </w:r>
    </w:p>
    <w:tbl>
      <w:tblPr>
        <w:tblStyle w:val="Tablaconcuadrcula"/>
        <w:tblW w:w="0" w:type="auto"/>
        <w:tblLook w:val="04A0" w:firstRow="1" w:lastRow="0" w:firstColumn="1" w:lastColumn="0" w:noHBand="0" w:noVBand="1"/>
      </w:tblPr>
      <w:tblGrid>
        <w:gridCol w:w="2122"/>
        <w:gridCol w:w="2124"/>
        <w:gridCol w:w="2124"/>
        <w:gridCol w:w="2124"/>
      </w:tblGrid>
      <w:tr w:rsidR="00B1569B" w:rsidRPr="007A03CB" w14:paraId="15E8CB18" w14:textId="77777777" w:rsidTr="00D051DB">
        <w:trPr>
          <w:cantSplit/>
        </w:trPr>
        <w:tc>
          <w:tcPr>
            <w:tcW w:w="2122" w:type="dxa"/>
          </w:tcPr>
          <w:p w14:paraId="137A2C53" w14:textId="77777777" w:rsidR="00B1569B" w:rsidRPr="007A03CB" w:rsidRDefault="00B1569B" w:rsidP="00B067F2">
            <w:pPr>
              <w:spacing w:after="200"/>
              <w:rPr>
                <w:rFonts w:ascii="Times New Roman" w:hAnsi="Times New Roman" w:cs="Times New Roman"/>
                <w:lang w:val="es-AR"/>
              </w:rPr>
            </w:pPr>
            <w:r w:rsidRPr="007A03CB">
              <w:rPr>
                <w:rFonts w:ascii="Times New Roman" w:hAnsi="Times New Roman" w:cs="Times New Roman"/>
                <w:b/>
                <w:sz w:val="20"/>
                <w:lang w:val="es-AR"/>
              </w:rPr>
              <w:t>Universidad / Año creación</w:t>
            </w:r>
          </w:p>
        </w:tc>
        <w:tc>
          <w:tcPr>
            <w:tcW w:w="2124" w:type="dxa"/>
          </w:tcPr>
          <w:p w14:paraId="510328FE" w14:textId="77777777" w:rsidR="00B1569B" w:rsidRPr="007A03CB" w:rsidRDefault="00B1569B" w:rsidP="00B067F2">
            <w:pPr>
              <w:spacing w:after="200"/>
              <w:rPr>
                <w:rFonts w:ascii="Times New Roman" w:hAnsi="Times New Roman" w:cs="Times New Roman"/>
                <w:lang w:val="es-AR"/>
              </w:rPr>
            </w:pPr>
            <w:r w:rsidRPr="007A03CB">
              <w:rPr>
                <w:rFonts w:ascii="Times New Roman" w:hAnsi="Times New Roman" w:cs="Times New Roman"/>
                <w:b/>
                <w:sz w:val="20"/>
                <w:lang w:val="es-AR"/>
              </w:rPr>
              <w:t>Estructura académica</w:t>
            </w:r>
          </w:p>
        </w:tc>
        <w:tc>
          <w:tcPr>
            <w:tcW w:w="2124" w:type="dxa"/>
          </w:tcPr>
          <w:p w14:paraId="01488500" w14:textId="77777777" w:rsidR="00B1569B" w:rsidRPr="007A03CB" w:rsidRDefault="00B1569B" w:rsidP="00B067F2">
            <w:pPr>
              <w:spacing w:after="200"/>
              <w:rPr>
                <w:rFonts w:ascii="Times New Roman" w:hAnsi="Times New Roman" w:cs="Times New Roman"/>
                <w:lang w:val="es-AR"/>
              </w:rPr>
            </w:pPr>
            <w:r w:rsidRPr="007A03CB">
              <w:rPr>
                <w:rFonts w:ascii="Times New Roman" w:hAnsi="Times New Roman" w:cs="Times New Roman"/>
                <w:b/>
                <w:sz w:val="20"/>
                <w:lang w:val="es-AR"/>
              </w:rPr>
              <w:t>Funciones docencia-investigación-extensión</w:t>
            </w:r>
          </w:p>
        </w:tc>
        <w:tc>
          <w:tcPr>
            <w:tcW w:w="2124" w:type="dxa"/>
          </w:tcPr>
          <w:p w14:paraId="5622F39E" w14:textId="77777777" w:rsidR="00B1569B" w:rsidRPr="007A03CB" w:rsidRDefault="00B1569B" w:rsidP="00B067F2">
            <w:pPr>
              <w:spacing w:after="200"/>
              <w:rPr>
                <w:rFonts w:ascii="Times New Roman" w:hAnsi="Times New Roman" w:cs="Times New Roman"/>
                <w:lang w:val="es-AR"/>
              </w:rPr>
            </w:pPr>
            <w:r w:rsidRPr="007A03CB">
              <w:rPr>
                <w:rFonts w:ascii="Times New Roman" w:hAnsi="Times New Roman" w:cs="Times New Roman"/>
                <w:b/>
                <w:sz w:val="20"/>
                <w:lang w:val="es-AR"/>
              </w:rPr>
              <w:t>Innovación respecto 1989-1995</w:t>
            </w:r>
          </w:p>
        </w:tc>
      </w:tr>
      <w:tr w:rsidR="00B1569B" w:rsidRPr="007A03CB" w14:paraId="5D276CDD" w14:textId="77777777" w:rsidTr="00D051DB">
        <w:trPr>
          <w:cantSplit/>
        </w:trPr>
        <w:tc>
          <w:tcPr>
            <w:tcW w:w="2122" w:type="dxa"/>
          </w:tcPr>
          <w:p w14:paraId="1EC41CBB" w14:textId="77777777" w:rsidR="00B1569B" w:rsidRPr="007A03CB" w:rsidRDefault="00B1569B" w:rsidP="00B067F2">
            <w:pPr>
              <w:spacing w:after="200"/>
              <w:rPr>
                <w:rFonts w:ascii="Times New Roman" w:hAnsi="Times New Roman" w:cs="Times New Roman"/>
                <w:lang w:val="es-AR"/>
              </w:rPr>
            </w:pPr>
            <w:r w:rsidRPr="007A03CB">
              <w:rPr>
                <w:rFonts w:ascii="Times New Roman" w:hAnsi="Times New Roman" w:cs="Times New Roman"/>
                <w:sz w:val="20"/>
                <w:lang w:val="es-AR"/>
              </w:rPr>
              <w:t>UNAJ (2009) Florencio Varela</w:t>
            </w:r>
          </w:p>
        </w:tc>
        <w:tc>
          <w:tcPr>
            <w:tcW w:w="2124" w:type="dxa"/>
          </w:tcPr>
          <w:p w14:paraId="648EF092" w14:textId="77777777" w:rsidR="00B1569B" w:rsidRPr="007A03CB" w:rsidRDefault="00B1569B" w:rsidP="00B067F2">
            <w:pPr>
              <w:spacing w:after="200"/>
              <w:rPr>
                <w:rFonts w:ascii="Times New Roman" w:hAnsi="Times New Roman" w:cs="Times New Roman"/>
                <w:lang w:val="es-AR"/>
              </w:rPr>
            </w:pPr>
            <w:r w:rsidRPr="007A03CB">
              <w:rPr>
                <w:rFonts w:ascii="Times New Roman" w:hAnsi="Times New Roman" w:cs="Times New Roman"/>
                <w:sz w:val="20"/>
                <w:lang w:val="es-AR"/>
              </w:rPr>
              <w:t xml:space="preserve">4 institutos: Iniciales (transversal), Ingeniería y Agronomía, Ciencias Sociales y </w:t>
            </w:r>
            <w:proofErr w:type="spellStart"/>
            <w:r w:rsidRPr="007A03CB">
              <w:rPr>
                <w:rFonts w:ascii="Times New Roman" w:hAnsi="Times New Roman" w:cs="Times New Roman"/>
                <w:sz w:val="20"/>
                <w:lang w:val="es-AR"/>
              </w:rPr>
              <w:t>Adm</w:t>
            </w:r>
            <w:proofErr w:type="spellEnd"/>
            <w:r w:rsidRPr="007A03CB">
              <w:rPr>
                <w:rFonts w:ascii="Times New Roman" w:hAnsi="Times New Roman" w:cs="Times New Roman"/>
                <w:sz w:val="20"/>
                <w:lang w:val="es-AR"/>
              </w:rPr>
              <w:t>., Salud y Medicina</w:t>
            </w:r>
          </w:p>
        </w:tc>
        <w:tc>
          <w:tcPr>
            <w:tcW w:w="2124" w:type="dxa"/>
          </w:tcPr>
          <w:p w14:paraId="5AB00B8C" w14:textId="77777777" w:rsidR="00B1569B" w:rsidRPr="007A03CB" w:rsidRDefault="00B1569B" w:rsidP="00B067F2">
            <w:pPr>
              <w:spacing w:after="200"/>
              <w:rPr>
                <w:rFonts w:ascii="Times New Roman" w:hAnsi="Times New Roman" w:cs="Times New Roman"/>
                <w:lang w:val="es-AR"/>
              </w:rPr>
            </w:pPr>
            <w:r w:rsidRPr="007A03CB">
              <w:rPr>
                <w:rFonts w:ascii="Times New Roman" w:hAnsi="Times New Roman" w:cs="Times New Roman"/>
                <w:sz w:val="20"/>
                <w:lang w:val="es-AR"/>
              </w:rPr>
              <w:t>Instituto de Iniciales como dispositivo de articulación ingreso-formación. Extensión territorial explícita en estatuto</w:t>
            </w:r>
          </w:p>
        </w:tc>
        <w:tc>
          <w:tcPr>
            <w:tcW w:w="2124" w:type="dxa"/>
          </w:tcPr>
          <w:p w14:paraId="2EB7D307" w14:textId="77777777" w:rsidR="00B1569B" w:rsidRPr="007A03CB" w:rsidRDefault="00B1569B" w:rsidP="00B067F2">
            <w:pPr>
              <w:spacing w:after="200"/>
              <w:rPr>
                <w:rFonts w:ascii="Times New Roman" w:hAnsi="Times New Roman" w:cs="Times New Roman"/>
                <w:lang w:val="es-AR"/>
              </w:rPr>
            </w:pPr>
            <w:r w:rsidRPr="007A03CB">
              <w:rPr>
                <w:rFonts w:ascii="Times New Roman" w:hAnsi="Times New Roman" w:cs="Times New Roman"/>
                <w:sz w:val="20"/>
                <w:lang w:val="es-AR"/>
              </w:rPr>
              <w:t>Mayor explicitación del compromiso territorial. Instituto de Iniciales transversal.</w:t>
            </w:r>
          </w:p>
        </w:tc>
      </w:tr>
      <w:tr w:rsidR="00B1569B" w:rsidRPr="007A03CB" w14:paraId="640C6356" w14:textId="77777777" w:rsidTr="00D051DB">
        <w:trPr>
          <w:cantSplit/>
        </w:trPr>
        <w:tc>
          <w:tcPr>
            <w:tcW w:w="2122" w:type="dxa"/>
          </w:tcPr>
          <w:p w14:paraId="4C883266" w14:textId="77777777" w:rsidR="00B1569B" w:rsidRPr="007A03CB" w:rsidRDefault="00B1569B" w:rsidP="00B067F2">
            <w:pPr>
              <w:spacing w:after="200"/>
              <w:rPr>
                <w:rFonts w:ascii="Times New Roman" w:hAnsi="Times New Roman" w:cs="Times New Roman"/>
                <w:lang w:val="es-AR"/>
              </w:rPr>
            </w:pPr>
            <w:r w:rsidRPr="007A03CB">
              <w:rPr>
                <w:rFonts w:ascii="Times New Roman" w:hAnsi="Times New Roman" w:cs="Times New Roman"/>
                <w:sz w:val="20"/>
                <w:lang w:val="es-AR"/>
              </w:rPr>
              <w:t>UNDAV (2009) Avellaneda</w:t>
            </w:r>
          </w:p>
        </w:tc>
        <w:tc>
          <w:tcPr>
            <w:tcW w:w="2124" w:type="dxa"/>
          </w:tcPr>
          <w:p w14:paraId="20026446" w14:textId="77777777" w:rsidR="00B1569B" w:rsidRPr="007A03CB" w:rsidRDefault="00B1569B" w:rsidP="00B067F2">
            <w:pPr>
              <w:spacing w:after="200"/>
              <w:rPr>
                <w:rFonts w:ascii="Times New Roman" w:hAnsi="Times New Roman" w:cs="Times New Roman"/>
                <w:lang w:val="es-AR"/>
              </w:rPr>
            </w:pPr>
            <w:r w:rsidRPr="007A03CB">
              <w:rPr>
                <w:rFonts w:ascii="Times New Roman" w:hAnsi="Times New Roman" w:cs="Times New Roman"/>
                <w:sz w:val="20"/>
                <w:lang w:val="es-AR"/>
              </w:rPr>
              <w:t>Departamentos temáticos: Ambiente y Turismo, Ciencias Sociales, Artes y Cultura, Ciencias Económicas</w:t>
            </w:r>
          </w:p>
        </w:tc>
        <w:tc>
          <w:tcPr>
            <w:tcW w:w="2124" w:type="dxa"/>
          </w:tcPr>
          <w:p w14:paraId="16CD9684" w14:textId="77777777" w:rsidR="00B1569B" w:rsidRPr="007A03CB" w:rsidRDefault="00B1569B" w:rsidP="00B067F2">
            <w:pPr>
              <w:spacing w:after="200"/>
              <w:rPr>
                <w:rFonts w:ascii="Times New Roman" w:hAnsi="Times New Roman" w:cs="Times New Roman"/>
                <w:lang w:val="es-AR"/>
              </w:rPr>
            </w:pPr>
            <w:r w:rsidRPr="007A03CB">
              <w:rPr>
                <w:rFonts w:ascii="Times New Roman" w:hAnsi="Times New Roman" w:cs="Times New Roman"/>
                <w:sz w:val="20"/>
                <w:lang w:val="es-AR"/>
              </w:rPr>
              <w:t>Trabajo interdisciplinario explícito en estatuto. Sistema de tutorías pares desde primer año</w:t>
            </w:r>
          </w:p>
        </w:tc>
        <w:tc>
          <w:tcPr>
            <w:tcW w:w="2124" w:type="dxa"/>
          </w:tcPr>
          <w:p w14:paraId="68140B8F" w14:textId="77777777" w:rsidR="00B1569B" w:rsidRPr="007A03CB" w:rsidRDefault="00B1569B" w:rsidP="00B067F2">
            <w:pPr>
              <w:spacing w:after="200"/>
              <w:rPr>
                <w:rFonts w:ascii="Times New Roman" w:hAnsi="Times New Roman" w:cs="Times New Roman"/>
                <w:lang w:val="es-AR"/>
              </w:rPr>
            </w:pPr>
            <w:r w:rsidRPr="007A03CB">
              <w:rPr>
                <w:rFonts w:ascii="Times New Roman" w:hAnsi="Times New Roman" w:cs="Times New Roman"/>
                <w:sz w:val="20"/>
                <w:lang w:val="es-AR"/>
              </w:rPr>
              <w:t>Mayor diversificación de pregrado. Tutorías pares sistematizadas</w:t>
            </w:r>
          </w:p>
        </w:tc>
      </w:tr>
      <w:tr w:rsidR="00B1569B" w:rsidRPr="007A03CB" w14:paraId="2833695E" w14:textId="77777777" w:rsidTr="00D051DB">
        <w:trPr>
          <w:cantSplit/>
        </w:trPr>
        <w:tc>
          <w:tcPr>
            <w:tcW w:w="2122" w:type="dxa"/>
          </w:tcPr>
          <w:p w14:paraId="4A4BB3C8" w14:textId="77777777" w:rsidR="00B1569B" w:rsidRPr="007A03CB" w:rsidRDefault="00B1569B" w:rsidP="00B067F2">
            <w:pPr>
              <w:spacing w:after="200"/>
              <w:rPr>
                <w:rFonts w:ascii="Times New Roman" w:hAnsi="Times New Roman" w:cs="Times New Roman"/>
                <w:lang w:val="es-AR"/>
              </w:rPr>
            </w:pPr>
            <w:r w:rsidRPr="007A03CB">
              <w:rPr>
                <w:rFonts w:ascii="Times New Roman" w:hAnsi="Times New Roman" w:cs="Times New Roman"/>
                <w:sz w:val="20"/>
                <w:lang w:val="es-AR"/>
              </w:rPr>
              <w:t>UNPAZ (2009) José C. Paz</w:t>
            </w:r>
          </w:p>
        </w:tc>
        <w:tc>
          <w:tcPr>
            <w:tcW w:w="2124" w:type="dxa"/>
          </w:tcPr>
          <w:p w14:paraId="553CDBD1" w14:textId="77777777" w:rsidR="00B1569B" w:rsidRPr="007A03CB" w:rsidRDefault="00B1569B" w:rsidP="00B067F2">
            <w:pPr>
              <w:spacing w:after="200"/>
              <w:rPr>
                <w:rFonts w:ascii="Times New Roman" w:hAnsi="Times New Roman" w:cs="Times New Roman"/>
                <w:lang w:val="es-AR"/>
              </w:rPr>
            </w:pPr>
            <w:r w:rsidRPr="007A03CB">
              <w:rPr>
                <w:rFonts w:ascii="Times New Roman" w:hAnsi="Times New Roman" w:cs="Times New Roman"/>
                <w:sz w:val="20"/>
                <w:lang w:val="es-AR"/>
              </w:rPr>
              <w:t>Estructura departamental: Ciencias Jurídicas y Sociales, y Ciencias de la Salud y el Deporte) complementados IESCODE</w:t>
            </w:r>
          </w:p>
        </w:tc>
        <w:tc>
          <w:tcPr>
            <w:tcW w:w="2124" w:type="dxa"/>
          </w:tcPr>
          <w:p w14:paraId="1AC9CACD" w14:textId="2BAADD39" w:rsidR="00B1569B" w:rsidRPr="007A03CB" w:rsidRDefault="00B1569B" w:rsidP="00B067F2">
            <w:pPr>
              <w:spacing w:after="200"/>
              <w:rPr>
                <w:rFonts w:ascii="Times New Roman" w:hAnsi="Times New Roman" w:cs="Times New Roman"/>
                <w:lang w:val="es-AR"/>
              </w:rPr>
            </w:pPr>
            <w:r w:rsidRPr="007A03CB">
              <w:rPr>
                <w:rFonts w:ascii="Times New Roman" w:hAnsi="Times New Roman" w:cs="Times New Roman"/>
                <w:sz w:val="20"/>
                <w:lang w:val="es-AR"/>
              </w:rPr>
              <w:t xml:space="preserve">Dirección de Inclusión Socio-educativa con </w:t>
            </w:r>
            <w:r w:rsidR="00D674C3" w:rsidRPr="007A03CB">
              <w:rPr>
                <w:rFonts w:ascii="Times New Roman" w:hAnsi="Times New Roman" w:cs="Times New Roman"/>
                <w:sz w:val="20"/>
                <w:lang w:val="es-AR"/>
              </w:rPr>
              <w:t>Departamento</w:t>
            </w:r>
            <w:r w:rsidRPr="007A03CB">
              <w:rPr>
                <w:rFonts w:ascii="Times New Roman" w:hAnsi="Times New Roman" w:cs="Times New Roman"/>
                <w:sz w:val="20"/>
                <w:lang w:val="es-AR"/>
              </w:rPr>
              <w:t xml:space="preserve"> de Orientación Vocacional. Articulación entre nivel medio y universitario</w:t>
            </w:r>
          </w:p>
        </w:tc>
        <w:tc>
          <w:tcPr>
            <w:tcW w:w="2124" w:type="dxa"/>
          </w:tcPr>
          <w:p w14:paraId="4A75E733" w14:textId="77777777" w:rsidR="00B1569B" w:rsidRPr="007A03CB" w:rsidRDefault="00B1569B" w:rsidP="00B067F2">
            <w:pPr>
              <w:spacing w:after="200"/>
              <w:rPr>
                <w:rFonts w:ascii="Times New Roman" w:hAnsi="Times New Roman" w:cs="Times New Roman"/>
                <w:lang w:val="es-AR"/>
              </w:rPr>
            </w:pPr>
            <w:r w:rsidRPr="007A03CB">
              <w:rPr>
                <w:rFonts w:ascii="Times New Roman" w:hAnsi="Times New Roman" w:cs="Times New Roman"/>
                <w:sz w:val="20"/>
                <w:lang w:val="es-AR"/>
              </w:rPr>
              <w:t>Orientación Vocacional institucionalizada.</w:t>
            </w:r>
          </w:p>
        </w:tc>
      </w:tr>
      <w:tr w:rsidR="00B1569B" w:rsidRPr="007A03CB" w14:paraId="52398907" w14:textId="77777777" w:rsidTr="00D051DB">
        <w:trPr>
          <w:cantSplit/>
        </w:trPr>
        <w:tc>
          <w:tcPr>
            <w:tcW w:w="2122" w:type="dxa"/>
          </w:tcPr>
          <w:p w14:paraId="575E0CD2" w14:textId="77777777" w:rsidR="00B1569B" w:rsidRPr="007A03CB" w:rsidRDefault="00B1569B" w:rsidP="00B067F2">
            <w:pPr>
              <w:spacing w:after="200"/>
              <w:rPr>
                <w:rFonts w:ascii="Times New Roman" w:hAnsi="Times New Roman" w:cs="Times New Roman"/>
                <w:lang w:val="es-AR"/>
              </w:rPr>
            </w:pPr>
            <w:r w:rsidRPr="007A03CB">
              <w:rPr>
                <w:rFonts w:ascii="Times New Roman" w:hAnsi="Times New Roman" w:cs="Times New Roman"/>
                <w:sz w:val="20"/>
                <w:lang w:val="es-AR"/>
              </w:rPr>
              <w:t>UNM (2009) Moreno</w:t>
            </w:r>
          </w:p>
        </w:tc>
        <w:tc>
          <w:tcPr>
            <w:tcW w:w="2124" w:type="dxa"/>
          </w:tcPr>
          <w:p w14:paraId="4E1EADAE" w14:textId="3AC223B4" w:rsidR="00B1569B" w:rsidRPr="007A03CB" w:rsidRDefault="00D674C3" w:rsidP="00B067F2">
            <w:pPr>
              <w:spacing w:after="200"/>
              <w:rPr>
                <w:rFonts w:ascii="Times New Roman" w:hAnsi="Times New Roman" w:cs="Times New Roman"/>
                <w:lang w:val="es-AR"/>
              </w:rPr>
            </w:pPr>
            <w:r>
              <w:rPr>
                <w:rFonts w:ascii="Times New Roman" w:hAnsi="Times New Roman" w:cs="Times New Roman"/>
                <w:sz w:val="20"/>
                <w:lang w:val="es-AR"/>
              </w:rPr>
              <w:t>D</w:t>
            </w:r>
            <w:r w:rsidR="00B1569B" w:rsidRPr="007A03CB">
              <w:rPr>
                <w:rFonts w:ascii="Times New Roman" w:hAnsi="Times New Roman" w:cs="Times New Roman"/>
                <w:sz w:val="20"/>
                <w:lang w:val="es-AR"/>
              </w:rPr>
              <w:t>epartamentos: Ciencias Aplicadas y Tecnología, Economía y Administración, Humanidades y Ciencias Sociales</w:t>
            </w:r>
          </w:p>
        </w:tc>
        <w:tc>
          <w:tcPr>
            <w:tcW w:w="2124" w:type="dxa"/>
          </w:tcPr>
          <w:p w14:paraId="09F9BA71" w14:textId="77777777" w:rsidR="00B1569B" w:rsidRPr="007A03CB" w:rsidRDefault="00B1569B" w:rsidP="00B067F2">
            <w:pPr>
              <w:spacing w:after="200"/>
              <w:rPr>
                <w:rFonts w:ascii="Times New Roman" w:hAnsi="Times New Roman" w:cs="Times New Roman"/>
                <w:lang w:val="es-AR"/>
              </w:rPr>
            </w:pPr>
            <w:r w:rsidRPr="007A03CB">
              <w:rPr>
                <w:rFonts w:ascii="Times New Roman" w:hAnsi="Times New Roman" w:cs="Times New Roman"/>
                <w:sz w:val="20"/>
                <w:lang w:val="es-AR"/>
              </w:rPr>
              <w:t>CAF (Comisiones de Autoevaluación por Función) para docencia, investigación y extensión por separado, coordinadas por CAI presidida por Vicerrectorado</w:t>
            </w:r>
          </w:p>
        </w:tc>
        <w:tc>
          <w:tcPr>
            <w:tcW w:w="2124" w:type="dxa"/>
          </w:tcPr>
          <w:p w14:paraId="4C722671" w14:textId="77777777" w:rsidR="00B1569B" w:rsidRPr="007A03CB" w:rsidRDefault="00B1569B" w:rsidP="00B067F2">
            <w:pPr>
              <w:spacing w:after="200"/>
              <w:rPr>
                <w:rFonts w:ascii="Times New Roman" w:hAnsi="Times New Roman" w:cs="Times New Roman"/>
                <w:lang w:val="es-AR"/>
              </w:rPr>
            </w:pPr>
            <w:r w:rsidRPr="007A03CB">
              <w:rPr>
                <w:rFonts w:ascii="Times New Roman" w:hAnsi="Times New Roman" w:cs="Times New Roman"/>
                <w:sz w:val="20"/>
                <w:lang w:val="es-AR"/>
              </w:rPr>
              <w:t>Autoevaluación por función diferenciada.</w:t>
            </w:r>
          </w:p>
        </w:tc>
      </w:tr>
      <w:tr w:rsidR="00B1569B" w:rsidRPr="007A03CB" w14:paraId="688DBC64" w14:textId="77777777" w:rsidTr="00D051DB">
        <w:trPr>
          <w:cantSplit/>
        </w:trPr>
        <w:tc>
          <w:tcPr>
            <w:tcW w:w="2122" w:type="dxa"/>
          </w:tcPr>
          <w:p w14:paraId="044AB26E" w14:textId="77777777" w:rsidR="00B1569B" w:rsidRPr="007A03CB" w:rsidRDefault="00B1569B" w:rsidP="00B067F2">
            <w:pPr>
              <w:spacing w:after="200"/>
              <w:rPr>
                <w:rFonts w:ascii="Times New Roman" w:hAnsi="Times New Roman" w:cs="Times New Roman"/>
                <w:lang w:val="es-AR"/>
              </w:rPr>
            </w:pPr>
            <w:r w:rsidRPr="007A03CB">
              <w:rPr>
                <w:rFonts w:ascii="Times New Roman" w:hAnsi="Times New Roman" w:cs="Times New Roman"/>
                <w:sz w:val="20"/>
                <w:lang w:val="es-AR"/>
              </w:rPr>
              <w:lastRenderedPageBreak/>
              <w:t>UNO (2009) Merlo</w:t>
            </w:r>
          </w:p>
        </w:tc>
        <w:tc>
          <w:tcPr>
            <w:tcW w:w="2124" w:type="dxa"/>
          </w:tcPr>
          <w:p w14:paraId="40ABD41E" w14:textId="77777777" w:rsidR="00B1569B" w:rsidRPr="007A03CB" w:rsidRDefault="00B1569B" w:rsidP="00B067F2">
            <w:pPr>
              <w:spacing w:after="200"/>
              <w:rPr>
                <w:rFonts w:ascii="Times New Roman" w:hAnsi="Times New Roman" w:cs="Times New Roman"/>
                <w:lang w:val="es-AR"/>
              </w:rPr>
            </w:pPr>
            <w:r w:rsidRPr="007A03CB">
              <w:rPr>
                <w:rFonts w:ascii="Times New Roman" w:hAnsi="Times New Roman" w:cs="Times New Roman"/>
                <w:sz w:val="20"/>
                <w:lang w:val="es-AR"/>
              </w:rPr>
              <w:t>Estructura departamental incipiente, con tres capas diferenciadas: Escuelas, Departamentos e institutos. En proceso de consolidación normativa</w:t>
            </w:r>
          </w:p>
        </w:tc>
        <w:tc>
          <w:tcPr>
            <w:tcW w:w="2124" w:type="dxa"/>
          </w:tcPr>
          <w:p w14:paraId="1AF5588B" w14:textId="77777777" w:rsidR="00B1569B" w:rsidRPr="007A03CB" w:rsidRDefault="00B1569B" w:rsidP="00B067F2">
            <w:pPr>
              <w:spacing w:after="200"/>
              <w:rPr>
                <w:rFonts w:ascii="Times New Roman" w:hAnsi="Times New Roman" w:cs="Times New Roman"/>
                <w:lang w:val="es-AR"/>
              </w:rPr>
            </w:pPr>
            <w:r w:rsidRPr="007A03CB">
              <w:rPr>
                <w:rFonts w:ascii="Times New Roman" w:hAnsi="Times New Roman" w:cs="Times New Roman"/>
                <w:sz w:val="20"/>
                <w:lang w:val="es-AR"/>
              </w:rPr>
              <w:t>Articulación funcional en construcción. Énfasis inicial en formación técnico-profesional</w:t>
            </w:r>
          </w:p>
        </w:tc>
        <w:tc>
          <w:tcPr>
            <w:tcW w:w="2124" w:type="dxa"/>
          </w:tcPr>
          <w:p w14:paraId="51529793" w14:textId="77777777" w:rsidR="00B1569B" w:rsidRPr="007A03CB" w:rsidRDefault="00B1569B" w:rsidP="00B067F2">
            <w:pPr>
              <w:spacing w:after="200"/>
              <w:rPr>
                <w:rFonts w:ascii="Times New Roman" w:hAnsi="Times New Roman" w:cs="Times New Roman"/>
                <w:lang w:val="es-AR"/>
              </w:rPr>
            </w:pPr>
            <w:r w:rsidRPr="007A03CB">
              <w:rPr>
                <w:rFonts w:ascii="Times New Roman" w:hAnsi="Times New Roman" w:cs="Times New Roman"/>
                <w:sz w:val="20"/>
                <w:lang w:val="es-AR"/>
              </w:rPr>
              <w:t>Cobertura de municipios del oeste del conurbano sin oferta universitaria pública</w:t>
            </w:r>
          </w:p>
        </w:tc>
      </w:tr>
    </w:tbl>
    <w:p w14:paraId="6CBC6DBD" w14:textId="3E4C8641" w:rsidR="00D051DB" w:rsidRPr="007A03CB" w:rsidRDefault="00D051DB" w:rsidP="00D051DB">
      <w:pPr>
        <w:spacing w:line="240" w:lineRule="auto"/>
        <w:jc w:val="center"/>
        <w:rPr>
          <w:rFonts w:ascii="Times New Roman" w:hAnsi="Times New Roman" w:cs="Times New Roman"/>
        </w:rPr>
      </w:pPr>
      <w:r w:rsidRPr="007A03CB">
        <w:rPr>
          <w:rFonts w:ascii="Times New Roman" w:hAnsi="Times New Roman" w:cs="Times New Roman"/>
          <w:i/>
          <w:sz w:val="20"/>
        </w:rPr>
        <w:t>Elaboración propia en base a Estatutos de UN</w:t>
      </w:r>
      <w:r>
        <w:rPr>
          <w:rFonts w:ascii="Times New Roman" w:hAnsi="Times New Roman" w:cs="Times New Roman"/>
          <w:i/>
          <w:sz w:val="20"/>
        </w:rPr>
        <w:t>AJ</w:t>
      </w:r>
      <w:r w:rsidRPr="007A03CB">
        <w:rPr>
          <w:rFonts w:ascii="Times New Roman" w:hAnsi="Times New Roman" w:cs="Times New Roman"/>
          <w:i/>
          <w:sz w:val="20"/>
        </w:rPr>
        <w:t>, UN</w:t>
      </w:r>
      <w:r>
        <w:rPr>
          <w:rFonts w:ascii="Times New Roman" w:hAnsi="Times New Roman" w:cs="Times New Roman"/>
          <w:i/>
          <w:sz w:val="20"/>
        </w:rPr>
        <w:t>DAV</w:t>
      </w:r>
      <w:r w:rsidRPr="007A03CB">
        <w:rPr>
          <w:rFonts w:ascii="Times New Roman" w:hAnsi="Times New Roman" w:cs="Times New Roman"/>
          <w:i/>
          <w:sz w:val="20"/>
        </w:rPr>
        <w:t>, UN</w:t>
      </w:r>
      <w:r>
        <w:rPr>
          <w:rFonts w:ascii="Times New Roman" w:hAnsi="Times New Roman" w:cs="Times New Roman"/>
          <w:i/>
          <w:sz w:val="20"/>
        </w:rPr>
        <w:t>PAZ</w:t>
      </w:r>
      <w:r w:rsidRPr="007A03CB">
        <w:rPr>
          <w:rFonts w:ascii="Times New Roman" w:hAnsi="Times New Roman" w:cs="Times New Roman"/>
          <w:i/>
          <w:sz w:val="20"/>
        </w:rPr>
        <w:t>, UN</w:t>
      </w:r>
      <w:r>
        <w:rPr>
          <w:rFonts w:ascii="Times New Roman" w:hAnsi="Times New Roman" w:cs="Times New Roman"/>
          <w:i/>
          <w:sz w:val="20"/>
        </w:rPr>
        <w:t>M</w:t>
      </w:r>
      <w:r w:rsidRPr="007A03CB">
        <w:rPr>
          <w:rFonts w:ascii="Times New Roman" w:hAnsi="Times New Roman" w:cs="Times New Roman"/>
          <w:i/>
          <w:sz w:val="20"/>
        </w:rPr>
        <w:t xml:space="preserve">, </w:t>
      </w:r>
      <w:r>
        <w:rPr>
          <w:rFonts w:ascii="Times New Roman" w:hAnsi="Times New Roman" w:cs="Times New Roman"/>
          <w:i/>
          <w:sz w:val="20"/>
        </w:rPr>
        <w:t xml:space="preserve">y </w:t>
      </w:r>
      <w:r w:rsidRPr="007A03CB">
        <w:rPr>
          <w:rFonts w:ascii="Times New Roman" w:hAnsi="Times New Roman" w:cs="Times New Roman"/>
          <w:i/>
          <w:sz w:val="20"/>
        </w:rPr>
        <w:t>UN</w:t>
      </w:r>
      <w:r>
        <w:rPr>
          <w:rFonts w:ascii="Times New Roman" w:hAnsi="Times New Roman" w:cs="Times New Roman"/>
          <w:i/>
          <w:sz w:val="20"/>
        </w:rPr>
        <w:t>O</w:t>
      </w:r>
      <w:r w:rsidRPr="007A03CB">
        <w:rPr>
          <w:rFonts w:ascii="Times New Roman" w:hAnsi="Times New Roman" w:cs="Times New Roman"/>
          <w:i/>
          <w:sz w:val="20"/>
        </w:rPr>
        <w:t xml:space="preserve"> e informes de Evaluación Externa de CONEAU.</w:t>
      </w:r>
    </w:p>
    <w:p w14:paraId="208127F0" w14:textId="3B00AFA4" w:rsidR="00B1569B" w:rsidRPr="007A03CB" w:rsidRDefault="00B1569B" w:rsidP="00B1569B">
      <w:pPr>
        <w:spacing w:before="160" w:line="240" w:lineRule="auto"/>
        <w:rPr>
          <w:rFonts w:ascii="Times New Roman" w:hAnsi="Times New Roman" w:cs="Times New Roman"/>
        </w:rPr>
      </w:pPr>
      <w:r w:rsidRPr="007A03CB">
        <w:rPr>
          <w:rFonts w:ascii="Times New Roman" w:hAnsi="Times New Roman" w:cs="Times New Roman"/>
          <w:b/>
        </w:rPr>
        <w:t>Tensiones identificadas en este período</w:t>
      </w:r>
    </w:p>
    <w:p w14:paraId="15E5F356" w14:textId="2F44AA60" w:rsidR="00B1569B" w:rsidRPr="007A03CB" w:rsidRDefault="00B1569B" w:rsidP="00B1569B">
      <w:pPr>
        <w:spacing w:line="240" w:lineRule="auto"/>
        <w:jc w:val="both"/>
        <w:rPr>
          <w:rFonts w:ascii="Times New Roman" w:hAnsi="Times New Roman" w:cs="Times New Roman"/>
        </w:rPr>
      </w:pPr>
      <w:r w:rsidRPr="007A03CB">
        <w:rPr>
          <w:rFonts w:ascii="Times New Roman" w:hAnsi="Times New Roman" w:cs="Times New Roman"/>
        </w:rPr>
        <w:t>La UNAJ identifica un patrón de tensión que resulta en la formalización de la reglamentación para su funcionamiento: los institutos son dirigidos por directores elegidos a propuesta de los consejos consultivos de cada instituto, pero ese órgano de gobierno aún no está normalizado (CONEAU, 2018), lo que generó una tensión entre la legitimidad de origen de esas autoridades y la ausencia de reglas estables que garantizaran la periodicidad y el alcance de sus funciones, dejando la coordinación cotidiana del instituto librada en buena medida a acuerdos informales entre sus autoridades y el Rectorado. Es decir, a cinco años de la primera autoevaluación institucional, la UNAJ contaba con una matriz de institutos operativa en el plano de la oferta académica, pero sin la instancia de gobierno colegiado que en el diseño original debía garantizar la participación de los distintos claustros en las decisiones de cada instituto. La primera autoevaluación institucional reconoce esta situación como una tarea pendiente (UNAJ, 2016).</w:t>
      </w:r>
    </w:p>
    <w:p w14:paraId="31B4F938" w14:textId="6DE3AA9D" w:rsidR="00B1569B" w:rsidRPr="007A03CB" w:rsidRDefault="00B1569B" w:rsidP="00B1569B">
      <w:pPr>
        <w:spacing w:line="240" w:lineRule="auto"/>
        <w:jc w:val="both"/>
        <w:rPr>
          <w:rFonts w:ascii="Times New Roman" w:hAnsi="Times New Roman" w:cs="Times New Roman"/>
        </w:rPr>
      </w:pPr>
      <w:r w:rsidRPr="007A03CB">
        <w:rPr>
          <w:rFonts w:ascii="Times New Roman" w:hAnsi="Times New Roman" w:cs="Times New Roman"/>
        </w:rPr>
        <w:t>En el caso de la UNDAV, se observa una dotación administrativa desigual entre los distintos departamentos. Los departamentos creados en las primeras etapas de la universidad cuentan con mayor plantel administrativo estable y una trayectoria más consolidada de gestión de trámites, becas y convenios, mientras que los de creación más reciente deben atender una carga creciente de estudiantes con una estructura de apoyo todavía en formación. Esta asimetría no es meramente administrativa: en la medida en que condiciona la capacidad de cada departamento para sostener proyectos de investigación, gestionar la extensión y responder a las demandas de las carreras que alberga, tiende a reproducir una desigualdad de posiciones entre unidades matriciales análoga a la que, en el primer período, diferenciaba a las universidades más consolidadas de las de creación más reciente. De esta forma, la coexistencia de unidades matriciales de distinta antigüedad y consolidación genera asimetrías de capacidad de gestión que la sola existencia de la estructura formal no resuelve.</w:t>
      </w:r>
    </w:p>
    <w:p w14:paraId="06C99E0F" w14:textId="77777777" w:rsidR="00B1569B" w:rsidRPr="007A03CB" w:rsidRDefault="00B1569B" w:rsidP="00B1569B">
      <w:pPr>
        <w:spacing w:line="240" w:lineRule="auto"/>
        <w:jc w:val="both"/>
        <w:rPr>
          <w:rFonts w:ascii="Times New Roman" w:hAnsi="Times New Roman" w:cs="Times New Roman"/>
        </w:rPr>
      </w:pPr>
      <w:r w:rsidRPr="007A03CB">
        <w:rPr>
          <w:rFonts w:ascii="Times New Roman" w:hAnsi="Times New Roman" w:cs="Times New Roman"/>
        </w:rPr>
        <w:t>La UNPAZ cuenta con institutos y órganos consultivos previstos estatutariamente pero aún no reglamentados en su funcionamiento efectivo (CONEAU, 2019b), lo cual reproduce en una variante departamental, el mismo desajuste entre diseño formal y práctica cotidiana que se observa en la UNGS y en la UNTREF, aunque con una variante, ya que el centro de la tensión es el desarrollo incompleto de la reglamentación de funcionamiento para su puesta en marcha, similar al caso UNAJ.</w:t>
      </w:r>
    </w:p>
    <w:p w14:paraId="7FC14836" w14:textId="77777777" w:rsidR="00B1569B" w:rsidRPr="007A03CB" w:rsidRDefault="00B1569B" w:rsidP="00B1569B">
      <w:pPr>
        <w:spacing w:line="240" w:lineRule="auto"/>
        <w:jc w:val="both"/>
        <w:rPr>
          <w:rFonts w:ascii="Times New Roman" w:hAnsi="Times New Roman" w:cs="Times New Roman"/>
        </w:rPr>
      </w:pPr>
      <w:r w:rsidRPr="007A03CB">
        <w:rPr>
          <w:rFonts w:ascii="Times New Roman" w:hAnsi="Times New Roman" w:cs="Times New Roman"/>
        </w:rPr>
        <w:lastRenderedPageBreak/>
        <w:t>El caso UNM añade así una variante específica a la tensión matricial ya observada en otros casos: la heterogeneidad de procedimientos de gestión de la función I+D entre departamentos no es solo una asimetría de recursos, sino una fuente de descoordinación interdepartamental documentada explícitamente por el propio comité evaluador. El Informe de Evaluación Externa de la función I+D, señala como debilidad que los departamentos cuentan con responsabilidades y capacidad de acción limitadas respecto de la investigación y el desarrollo, y que los procesos de acreditación, seguimiento y evaluación de esa función resultan heterogéneos según el departamento de origen, lo cual puede ir en detrimento de la dinámica de interacción interdepartamental (MinCyT, 2023).</w:t>
      </w:r>
    </w:p>
    <w:p w14:paraId="34FC4A9C" w14:textId="77777777" w:rsidR="00B1569B" w:rsidRPr="007A03CB" w:rsidRDefault="00B1569B" w:rsidP="00B1569B">
      <w:pPr>
        <w:spacing w:line="240" w:lineRule="auto"/>
        <w:jc w:val="both"/>
        <w:rPr>
          <w:rFonts w:ascii="Times New Roman" w:hAnsi="Times New Roman" w:cs="Times New Roman"/>
        </w:rPr>
      </w:pPr>
      <w:r w:rsidRPr="007A03CB">
        <w:rPr>
          <w:rFonts w:ascii="Times New Roman" w:hAnsi="Times New Roman" w:cs="Times New Roman"/>
        </w:rPr>
        <w:t>Lo distintivo del caso UNO es que la tensión entre sus tres niveles estructurales se encuentra incluida dentro del Estatuto. La propia norma fundacional anticipa y regula una subordinación parcial de la autoridad departamental sobre sus recursos humanos a las prioridades definidas por los institutos, en un intento de resolver de antemano el mismo conflicto de agrupamiento disciplinar/institucional que en otras universidades emerge como fricción.</w:t>
      </w:r>
    </w:p>
    <w:p w14:paraId="4DC71A6A" w14:textId="77777777" w:rsidR="00B1569B" w:rsidRPr="007A03CB" w:rsidRDefault="00B1569B" w:rsidP="00B1569B">
      <w:pPr>
        <w:spacing w:before="280" w:line="240" w:lineRule="auto"/>
        <w:rPr>
          <w:rFonts w:ascii="Times New Roman" w:hAnsi="Times New Roman" w:cs="Times New Roman"/>
        </w:rPr>
      </w:pPr>
      <w:r w:rsidRPr="007A03CB">
        <w:rPr>
          <w:rFonts w:ascii="Times New Roman" w:hAnsi="Times New Roman" w:cs="Times New Roman"/>
          <w:b/>
        </w:rPr>
        <w:t>Análisis de los casos</w:t>
      </w:r>
    </w:p>
    <w:p w14:paraId="6A4D22E1" w14:textId="4412DB30" w:rsidR="00B1569B" w:rsidRPr="007A03CB" w:rsidRDefault="00B1569B" w:rsidP="00B1569B">
      <w:pPr>
        <w:spacing w:line="240" w:lineRule="auto"/>
        <w:jc w:val="both"/>
        <w:rPr>
          <w:rFonts w:ascii="Times New Roman" w:hAnsi="Times New Roman" w:cs="Times New Roman"/>
        </w:rPr>
      </w:pPr>
      <w:r w:rsidRPr="007A03CB">
        <w:rPr>
          <w:rFonts w:ascii="Times New Roman" w:hAnsi="Times New Roman" w:cs="Times New Roman"/>
        </w:rPr>
        <w:t>Las evaluaciones institucionales realizadas por la CONEAU durante la</w:t>
      </w:r>
      <w:r w:rsidR="00D051DB">
        <w:rPr>
          <w:rFonts w:ascii="Times New Roman" w:hAnsi="Times New Roman" w:cs="Times New Roman"/>
        </w:rPr>
        <w:t>s</w:t>
      </w:r>
      <w:r w:rsidRPr="007A03CB">
        <w:rPr>
          <w:rFonts w:ascii="Times New Roman" w:hAnsi="Times New Roman" w:cs="Times New Roman"/>
        </w:rPr>
        <w:t xml:space="preserve"> primera</w:t>
      </w:r>
      <w:r w:rsidR="00D051DB">
        <w:rPr>
          <w:rFonts w:ascii="Times New Roman" w:hAnsi="Times New Roman" w:cs="Times New Roman"/>
        </w:rPr>
        <w:t>s</w:t>
      </w:r>
      <w:r w:rsidRPr="007A03CB">
        <w:rPr>
          <w:rFonts w:ascii="Times New Roman" w:hAnsi="Times New Roman" w:cs="Times New Roman"/>
        </w:rPr>
        <w:t xml:space="preserve"> </w:t>
      </w:r>
      <w:r w:rsidR="00D051DB">
        <w:rPr>
          <w:rFonts w:ascii="Times New Roman" w:hAnsi="Times New Roman" w:cs="Times New Roman"/>
        </w:rPr>
        <w:t xml:space="preserve">dos </w:t>
      </w:r>
      <w:r w:rsidRPr="007A03CB">
        <w:rPr>
          <w:rFonts w:ascii="Times New Roman" w:hAnsi="Times New Roman" w:cs="Times New Roman"/>
        </w:rPr>
        <w:t>década</w:t>
      </w:r>
      <w:r w:rsidR="00D051DB">
        <w:rPr>
          <w:rFonts w:ascii="Times New Roman" w:hAnsi="Times New Roman" w:cs="Times New Roman"/>
        </w:rPr>
        <w:t>s</w:t>
      </w:r>
      <w:r w:rsidRPr="007A03CB">
        <w:rPr>
          <w:rFonts w:ascii="Times New Roman" w:hAnsi="Times New Roman" w:cs="Times New Roman"/>
        </w:rPr>
        <w:t xml:space="preserve"> del siglo XXI arrojaron un balance matizado de estas experiencias. Entre los logros se destacaron: la diversificación de la oferta académica con carreras vinculadas a las necesidades locales (como pueden ser Artes del Circo en UNTREF, Biotecnología en UNSAM o Bioinformática en UNQ), la creación de dispositivos innovadores de ingreso y retención estudiantil, como el Curso de Aprestamiento Universitario (CAU) de la UNGS, dependiente del Instituto de Desarrollo Humano y cubierto mediante concursos docentes, y el desarrollo de investigación aplicada orientada al territorio</w:t>
      </w:r>
    </w:p>
    <w:p w14:paraId="2C4011CB" w14:textId="77777777" w:rsidR="00B1569B" w:rsidRPr="007A03CB" w:rsidRDefault="00B1569B" w:rsidP="00B1569B">
      <w:pPr>
        <w:spacing w:line="240" w:lineRule="auto"/>
        <w:jc w:val="both"/>
        <w:rPr>
          <w:rFonts w:ascii="Times New Roman" w:hAnsi="Times New Roman" w:cs="Times New Roman"/>
        </w:rPr>
      </w:pPr>
      <w:r w:rsidRPr="007A03CB">
        <w:rPr>
          <w:rFonts w:ascii="Times New Roman" w:hAnsi="Times New Roman" w:cs="Times New Roman"/>
        </w:rPr>
        <w:t>La adopción del modelo matricial, con denominaciones variadas, pero con una lógica común de diferenciación del modelo de facultades, aparece como un rasgo de continuidad que atraviesa todas las instituciones de ambos períodos. Tanto las universidades del primer período (UNGS, UNLa, UNQ, UNSAM y UNTREF) como las del segundo (UNAJ, UNPAZ, UNDAV, UNM y UNO) optaron por estructuras que integran docencia e investigación en unidades temáticas interdisciplinarias, siguiendo la lógica que Rovelli y Atairo (2005) identificaron como el rasgo diferenciador del nuevo modelo institucional del conurbano bonaerense.</w:t>
      </w:r>
    </w:p>
    <w:p w14:paraId="30F75C7C" w14:textId="754590DB" w:rsidR="00B1569B" w:rsidRPr="007A03CB" w:rsidRDefault="00B1569B" w:rsidP="00B1569B">
      <w:pPr>
        <w:spacing w:line="240" w:lineRule="auto"/>
        <w:jc w:val="both"/>
        <w:rPr>
          <w:rFonts w:ascii="Times New Roman" w:hAnsi="Times New Roman" w:cs="Times New Roman"/>
        </w:rPr>
      </w:pPr>
      <w:r w:rsidRPr="007A03CB">
        <w:rPr>
          <w:rFonts w:ascii="Times New Roman" w:hAnsi="Times New Roman" w:cs="Times New Roman"/>
        </w:rPr>
        <w:t>La principal tensión identificada en las universidades</w:t>
      </w:r>
      <w:r w:rsidR="00D674C3">
        <w:rPr>
          <w:rFonts w:ascii="Times New Roman" w:hAnsi="Times New Roman" w:cs="Times New Roman"/>
        </w:rPr>
        <w:t xml:space="preserve"> analizadas</w:t>
      </w:r>
      <w:r w:rsidRPr="007A03CB">
        <w:rPr>
          <w:rFonts w:ascii="Times New Roman" w:hAnsi="Times New Roman" w:cs="Times New Roman"/>
        </w:rPr>
        <w:t xml:space="preserve"> del período 2009-2015 reproduce, con matices propios, la que ya había sido señalada en la primera generación: el diseño matricial que se propone superar la fragmentación disciplinar puede terminar reproduciendo esa misma fragmentación en otro nivel</w:t>
      </w:r>
    </w:p>
    <w:p w14:paraId="1CA3BC51" w14:textId="5EE68E59" w:rsidR="00B1569B" w:rsidRPr="007A03CB" w:rsidRDefault="00B1569B" w:rsidP="00B1569B">
      <w:pPr>
        <w:spacing w:line="240" w:lineRule="auto"/>
        <w:jc w:val="both"/>
        <w:rPr>
          <w:rFonts w:ascii="Times New Roman" w:hAnsi="Times New Roman" w:cs="Times New Roman"/>
        </w:rPr>
      </w:pPr>
      <w:r w:rsidRPr="007A03CB">
        <w:rPr>
          <w:rFonts w:ascii="Times New Roman" w:hAnsi="Times New Roman" w:cs="Times New Roman"/>
        </w:rPr>
        <w:t xml:space="preserve">Este fenómeno es visible en los informes de evaluación de la CONEAU. Como ejemplos de esta tensión, en el caso de la UNQ, el informe de evaluación señala que la estructura departamental es valorada por la comunidad académica en cuanto a su potencialidad para la flexibilidad curricular y la integración interdisciplinar, pero en la práctica los vínculos interdepartamentales permanecen débiles (CONEAU, 2010a), mientras que en UNTREF </w:t>
      </w:r>
      <w:r w:rsidR="00BE2AEA">
        <w:rPr>
          <w:rFonts w:ascii="Times New Roman" w:hAnsi="Times New Roman" w:cs="Times New Roman"/>
        </w:rPr>
        <w:lastRenderedPageBreak/>
        <w:t>los</w:t>
      </w:r>
      <w:r w:rsidRPr="007A03CB">
        <w:rPr>
          <w:rFonts w:ascii="Times New Roman" w:hAnsi="Times New Roman" w:cs="Times New Roman"/>
        </w:rPr>
        <w:t xml:space="preserve"> informe</w:t>
      </w:r>
      <w:r w:rsidR="00BE2AEA">
        <w:rPr>
          <w:rFonts w:ascii="Times New Roman" w:hAnsi="Times New Roman" w:cs="Times New Roman"/>
        </w:rPr>
        <w:t>s</w:t>
      </w:r>
      <w:r w:rsidRPr="007A03CB">
        <w:rPr>
          <w:rFonts w:ascii="Times New Roman" w:hAnsi="Times New Roman" w:cs="Times New Roman"/>
        </w:rPr>
        <w:t xml:space="preserve"> (CONEAU, 2010b</w:t>
      </w:r>
      <w:r w:rsidR="00D674C3">
        <w:rPr>
          <w:rFonts w:ascii="Times New Roman" w:hAnsi="Times New Roman" w:cs="Times New Roman"/>
        </w:rPr>
        <w:t>; CONEAU, 2025</w:t>
      </w:r>
      <w:r w:rsidRPr="007A03CB">
        <w:rPr>
          <w:rFonts w:ascii="Times New Roman" w:hAnsi="Times New Roman" w:cs="Times New Roman"/>
        </w:rPr>
        <w:t>) plantea</w:t>
      </w:r>
      <w:r w:rsidR="00BE2AEA">
        <w:rPr>
          <w:rFonts w:ascii="Times New Roman" w:hAnsi="Times New Roman" w:cs="Times New Roman"/>
        </w:rPr>
        <w:t>n</w:t>
      </w:r>
      <w:r w:rsidRPr="007A03CB">
        <w:rPr>
          <w:rFonts w:ascii="Times New Roman" w:hAnsi="Times New Roman" w:cs="Times New Roman"/>
        </w:rPr>
        <w:t xml:space="preserve"> que la articulación entre institutos y carreras de grado seguía siendo insuficiente, en línea con la necesidad, también señalada allí, de fortalecer a los departamentos como instancia real de coordinación académica (Zangrossi, 2013).</w:t>
      </w:r>
    </w:p>
    <w:p w14:paraId="507C3CE7" w14:textId="04D93D40" w:rsidR="00B1569B" w:rsidRPr="007A03CB" w:rsidRDefault="00B1569B" w:rsidP="00B1569B">
      <w:pPr>
        <w:spacing w:line="240" w:lineRule="auto"/>
        <w:jc w:val="both"/>
        <w:rPr>
          <w:rFonts w:ascii="Times New Roman" w:hAnsi="Times New Roman" w:cs="Times New Roman"/>
        </w:rPr>
      </w:pPr>
      <w:r w:rsidRPr="007A03CB">
        <w:rPr>
          <w:rFonts w:ascii="Times New Roman" w:hAnsi="Times New Roman" w:cs="Times New Roman"/>
        </w:rPr>
        <w:t>Esta situación tiende a repetirse en las instituciones de la segunda generación, donde la interdisciplinariedad efectiva depende más de la voluntad de actores individuales que de dispositivos institucionales que la garanticen estructuralmente. La dificultad para articular orgánicamente los institutos de investigación con la enseñanza de grado señalada por CONEAU en sus evaluaciones de UNTREF (2010b</w:t>
      </w:r>
      <w:r w:rsidR="00D674C3">
        <w:rPr>
          <w:rFonts w:ascii="Times New Roman" w:hAnsi="Times New Roman" w:cs="Times New Roman"/>
        </w:rPr>
        <w:t>; 2025</w:t>
      </w:r>
      <w:r w:rsidRPr="007A03CB">
        <w:rPr>
          <w:rFonts w:ascii="Times New Roman" w:hAnsi="Times New Roman" w:cs="Times New Roman"/>
        </w:rPr>
        <w:t>) y UNQ (2010a, 2019a) se reprodujo en instituciones como la UNAJ, donde el crecimiento de los institutos generó demandas de mayor autonomía que tensionaron la lógica centralizada del modelo (</w:t>
      </w:r>
      <w:proofErr w:type="spellStart"/>
      <w:r w:rsidRPr="007A03CB">
        <w:rPr>
          <w:rFonts w:ascii="Times New Roman" w:hAnsi="Times New Roman" w:cs="Times New Roman"/>
        </w:rPr>
        <w:t>Sverdlick</w:t>
      </w:r>
      <w:proofErr w:type="spellEnd"/>
      <w:r w:rsidRPr="007A03CB">
        <w:rPr>
          <w:rFonts w:ascii="Times New Roman" w:hAnsi="Times New Roman" w:cs="Times New Roman"/>
        </w:rPr>
        <w:t xml:space="preserve"> et al., 2022)</w:t>
      </w:r>
    </w:p>
    <w:p w14:paraId="49393CB7" w14:textId="36CC5D77" w:rsidR="00B1569B" w:rsidRPr="007A03CB" w:rsidRDefault="00B1569B" w:rsidP="00B1569B">
      <w:pPr>
        <w:spacing w:line="240" w:lineRule="auto"/>
        <w:jc w:val="both"/>
        <w:rPr>
          <w:rFonts w:ascii="Times New Roman" w:hAnsi="Times New Roman" w:cs="Times New Roman"/>
        </w:rPr>
      </w:pPr>
      <w:r w:rsidRPr="007A03CB">
        <w:rPr>
          <w:rFonts w:ascii="Times New Roman" w:hAnsi="Times New Roman" w:cs="Times New Roman"/>
        </w:rPr>
        <w:t xml:space="preserve">Esta recurrencia puede interpretarse con mayor precisión a partir de la tipología de innovación sistémica propuesta por Midgley y </w:t>
      </w:r>
      <w:proofErr w:type="spellStart"/>
      <w:r w:rsidRPr="007A03CB">
        <w:rPr>
          <w:rFonts w:ascii="Times New Roman" w:hAnsi="Times New Roman" w:cs="Times New Roman"/>
        </w:rPr>
        <w:t>Lindhult</w:t>
      </w:r>
      <w:proofErr w:type="spellEnd"/>
      <w:r w:rsidRPr="007A03CB">
        <w:rPr>
          <w:rFonts w:ascii="Times New Roman" w:hAnsi="Times New Roman" w:cs="Times New Roman"/>
        </w:rPr>
        <w:t xml:space="preserve"> (2021). Los autores distinguen, entre otras, una comprensión de la innovación sistémica centrada en el rediseño de estructuras formales </w:t>
      </w:r>
      <w:r w:rsidR="00D674C3">
        <w:rPr>
          <w:rFonts w:ascii="Times New Roman" w:hAnsi="Times New Roman" w:cs="Times New Roman"/>
        </w:rPr>
        <w:t>(</w:t>
      </w:r>
      <w:r w:rsidRPr="007A03CB">
        <w:rPr>
          <w:rFonts w:ascii="Times New Roman" w:hAnsi="Times New Roman" w:cs="Times New Roman"/>
        </w:rPr>
        <w:t>organigramas, unidades</w:t>
      </w:r>
      <w:r w:rsidR="00D674C3">
        <w:rPr>
          <w:rFonts w:ascii="Times New Roman" w:hAnsi="Times New Roman" w:cs="Times New Roman"/>
        </w:rPr>
        <w:t xml:space="preserve"> organizativas y</w:t>
      </w:r>
      <w:r w:rsidRPr="007A03CB">
        <w:rPr>
          <w:rFonts w:ascii="Times New Roman" w:hAnsi="Times New Roman" w:cs="Times New Roman"/>
        </w:rPr>
        <w:t xml:space="preserve"> normativas</w:t>
      </w:r>
      <w:r w:rsidR="00D674C3">
        <w:rPr>
          <w:rFonts w:ascii="Times New Roman" w:hAnsi="Times New Roman" w:cs="Times New Roman"/>
        </w:rPr>
        <w:t>)</w:t>
      </w:r>
      <w:r w:rsidRPr="007A03CB">
        <w:rPr>
          <w:rFonts w:ascii="Times New Roman" w:hAnsi="Times New Roman" w:cs="Times New Roman"/>
        </w:rPr>
        <w:t xml:space="preserve"> de otra centrada en los procesos mediante los cuales los actores modifican su pensamiento, sus vínculos y sus prácticas cotidianas. La evidencia reunida en este trabajo indica que las universidades del conurbano bonaerense concentraron sus esfuerzos de innovación, sobre todo, en la primera dimensión: el diseño de departamentos, institutos y escuelas como nuevas unidades formales. En cambio, los dispositivos orientados a sostener procesos de trabajo interdisciplinario </w:t>
      </w:r>
      <w:r w:rsidR="00D674C3">
        <w:rPr>
          <w:rFonts w:ascii="Times New Roman" w:hAnsi="Times New Roman" w:cs="Times New Roman"/>
        </w:rPr>
        <w:t>(</w:t>
      </w:r>
      <w:r w:rsidRPr="007A03CB">
        <w:rPr>
          <w:rFonts w:ascii="Times New Roman" w:hAnsi="Times New Roman" w:cs="Times New Roman"/>
        </w:rPr>
        <w:t>consejos mixtos, mecanismos de articulación entre institutos y carreras, instancias de coordinación interdepartamental</w:t>
      </w:r>
      <w:r w:rsidR="00D674C3">
        <w:rPr>
          <w:rFonts w:ascii="Times New Roman" w:hAnsi="Times New Roman" w:cs="Times New Roman"/>
        </w:rPr>
        <w:t>)</w:t>
      </w:r>
      <w:r w:rsidRPr="007A03CB">
        <w:rPr>
          <w:rFonts w:ascii="Times New Roman" w:hAnsi="Times New Roman" w:cs="Times New Roman"/>
        </w:rPr>
        <w:t xml:space="preserve"> fueron, en la mayoría de los casos, más tardíos, más débiles o quedaron total o parcialmente sin reglamentar, tal como documentan las propias evaluaciones de la CONEAU para la UNTREF, la UNAJ y la UNPAZ. Esta asimetría entre la innovación de estructura y la innovación de proceso ofrece una explicación adicional de por qué el diseño matricial, aun cuando se mantiene estable en el organigrama, no logra por sí solo sostener la interdisciplinariedad que busca promover.</w:t>
      </w:r>
    </w:p>
    <w:p w14:paraId="33DB074E" w14:textId="37A18F61" w:rsidR="00B1569B" w:rsidRPr="007A03CB" w:rsidRDefault="00B1569B" w:rsidP="00B1569B">
      <w:pPr>
        <w:spacing w:line="240" w:lineRule="auto"/>
        <w:jc w:val="both"/>
        <w:rPr>
          <w:rFonts w:ascii="Times New Roman" w:hAnsi="Times New Roman" w:cs="Times New Roman"/>
        </w:rPr>
      </w:pPr>
      <w:r w:rsidRPr="007A03CB">
        <w:rPr>
          <w:rFonts w:ascii="Times New Roman" w:hAnsi="Times New Roman" w:cs="Times New Roman"/>
        </w:rPr>
        <w:t xml:space="preserve">Desde el punto de vista formal </w:t>
      </w:r>
      <w:r w:rsidR="00D674C3">
        <w:rPr>
          <w:rFonts w:ascii="Times New Roman" w:hAnsi="Times New Roman" w:cs="Times New Roman"/>
        </w:rPr>
        <w:t>d</w:t>
      </w:r>
      <w:r w:rsidRPr="007A03CB">
        <w:rPr>
          <w:rFonts w:ascii="Times New Roman" w:hAnsi="Times New Roman" w:cs="Times New Roman"/>
        </w:rPr>
        <w:t>el diseño</w:t>
      </w:r>
      <w:r w:rsidR="00D674C3">
        <w:rPr>
          <w:rFonts w:ascii="Times New Roman" w:hAnsi="Times New Roman" w:cs="Times New Roman"/>
        </w:rPr>
        <w:t xml:space="preserve"> organizacional plasmado en los</w:t>
      </w:r>
      <w:r w:rsidRPr="007A03CB">
        <w:rPr>
          <w:rFonts w:ascii="Times New Roman" w:hAnsi="Times New Roman" w:cs="Times New Roman"/>
        </w:rPr>
        <w:t xml:space="preserve"> estatut</w:t>
      </w:r>
      <w:r w:rsidR="00D674C3">
        <w:rPr>
          <w:rFonts w:ascii="Times New Roman" w:hAnsi="Times New Roman" w:cs="Times New Roman"/>
        </w:rPr>
        <w:t>os</w:t>
      </w:r>
      <w:r w:rsidRPr="007A03CB">
        <w:rPr>
          <w:rFonts w:ascii="Times New Roman" w:hAnsi="Times New Roman" w:cs="Times New Roman"/>
        </w:rPr>
        <w:t>, es posible identificar influencias claras: la organización por institutos interdisciplinarios de la UNAJ retoma el modelo de la UNGS; la estructura mixta de departamentos e institutos de la UNPAZ recoge tanto la experiencia de la UNLa como la de la UN</w:t>
      </w:r>
      <w:r w:rsidR="00D674C3">
        <w:rPr>
          <w:rFonts w:ascii="Times New Roman" w:hAnsi="Times New Roman" w:cs="Times New Roman"/>
        </w:rPr>
        <w:t>TREF</w:t>
      </w:r>
      <w:r w:rsidRPr="007A03CB">
        <w:rPr>
          <w:rFonts w:ascii="Times New Roman" w:hAnsi="Times New Roman" w:cs="Times New Roman"/>
        </w:rPr>
        <w:t>; y el énfasis en la pertinencia social y la vinculación territorial es una herencia explícita de todas las instituciones del primer período.</w:t>
      </w:r>
    </w:p>
    <w:p w14:paraId="74B41878" w14:textId="2B6BAEA2" w:rsidR="00B1569B" w:rsidRPr="007A03CB" w:rsidRDefault="00B1569B" w:rsidP="00B1569B">
      <w:pPr>
        <w:spacing w:line="240" w:lineRule="auto"/>
        <w:jc w:val="both"/>
        <w:rPr>
          <w:rFonts w:ascii="Times New Roman" w:hAnsi="Times New Roman" w:cs="Times New Roman"/>
        </w:rPr>
      </w:pPr>
      <w:r w:rsidRPr="007A03CB">
        <w:rPr>
          <w:rFonts w:ascii="Times New Roman" w:hAnsi="Times New Roman" w:cs="Times New Roman"/>
        </w:rPr>
        <w:t>La dificultad de articular investigación y docencia de grado dentro del modelo matricial, la tendencia a la hibridación entre el modelo departamental y el de facultades en la práctica cotidiana, y los desafíos de gobernanza en contextos de rápido crecimiento de la matrícula son problemas que tanto el primer como el segundo período enfrentaron sin soluciones definitivas. En este sentido, los informes de evaluación de la CONEAU</w:t>
      </w:r>
      <w:r w:rsidR="00426D0B">
        <w:rPr>
          <w:rFonts w:ascii="Times New Roman" w:hAnsi="Times New Roman" w:cs="Times New Roman"/>
        </w:rPr>
        <w:t xml:space="preserve">, </w:t>
      </w:r>
      <w:r w:rsidRPr="007A03CB">
        <w:rPr>
          <w:rFonts w:ascii="Times New Roman" w:hAnsi="Times New Roman" w:cs="Times New Roman"/>
        </w:rPr>
        <w:t>tanto para las instituciones del primer período como para las del segundo</w:t>
      </w:r>
      <w:r w:rsidR="00426D0B">
        <w:rPr>
          <w:rFonts w:ascii="Times New Roman" w:hAnsi="Times New Roman" w:cs="Times New Roman"/>
        </w:rPr>
        <w:t>,</w:t>
      </w:r>
      <w:r w:rsidRPr="007A03CB">
        <w:rPr>
          <w:rFonts w:ascii="Times New Roman" w:hAnsi="Times New Roman" w:cs="Times New Roman"/>
        </w:rPr>
        <w:t xml:space="preserve"> reiteraron la necesidad de fortalecer los mecanismos de articulación intra e interinstitucional y de </w:t>
      </w:r>
      <w:r w:rsidRPr="007A03CB">
        <w:rPr>
          <w:rFonts w:ascii="Times New Roman" w:hAnsi="Times New Roman" w:cs="Times New Roman"/>
        </w:rPr>
        <w:lastRenderedPageBreak/>
        <w:t>consolidar las estructuras matriciales frente a las tendencias hacia la especialización disciplinar</w:t>
      </w:r>
    </w:p>
    <w:p w14:paraId="3C1BAB54" w14:textId="77777777" w:rsidR="00B1569B" w:rsidRPr="007A03CB" w:rsidRDefault="00B1569B" w:rsidP="00B1569B">
      <w:pPr>
        <w:spacing w:line="240" w:lineRule="auto"/>
        <w:jc w:val="both"/>
        <w:rPr>
          <w:rFonts w:ascii="Times New Roman" w:hAnsi="Times New Roman" w:cs="Times New Roman"/>
        </w:rPr>
      </w:pPr>
      <w:r w:rsidRPr="007A03CB">
        <w:rPr>
          <w:rFonts w:ascii="Times New Roman" w:hAnsi="Times New Roman" w:cs="Times New Roman"/>
        </w:rPr>
        <w:t>Mientras que instituciones como la UNGS, la UNSAM o la UNLa apostaron fuertemente a la generación de carreras novedosas y la construcción de estructuras interdisciplinares, las universidades del segundo período tendieron a incorporar también titulaciones ya existentes en el sistema universitario (Administración, Enfermería, Ingeniería Industrial), que no representan innovaciones curriculares pero responden a demandas concretas de una población estudiantil masiva con necesidades de formación profesional</w:t>
      </w:r>
    </w:p>
    <w:p w14:paraId="12CE0BCB" w14:textId="6A82741F" w:rsidR="005F3B2E" w:rsidRPr="007A03CB" w:rsidRDefault="005F3B2E" w:rsidP="007B5B5F">
      <w:pPr>
        <w:spacing w:line="240" w:lineRule="auto"/>
        <w:rPr>
          <w:rFonts w:ascii="Times New Roman" w:hAnsi="Times New Roman" w:cs="Times New Roman"/>
          <w:b/>
          <w:bCs/>
        </w:rPr>
      </w:pPr>
      <w:r w:rsidRPr="007A03CB">
        <w:rPr>
          <w:rFonts w:ascii="Times New Roman" w:hAnsi="Times New Roman" w:cs="Times New Roman"/>
          <w:b/>
          <w:bCs/>
        </w:rPr>
        <w:t>Conclusiones</w:t>
      </w:r>
    </w:p>
    <w:p w14:paraId="1F207D0B" w14:textId="0162BC23" w:rsidR="00426D0B" w:rsidRPr="00426D0B" w:rsidRDefault="00426D0B" w:rsidP="00426D0B">
      <w:pPr>
        <w:spacing w:line="240" w:lineRule="auto"/>
        <w:jc w:val="both"/>
        <w:rPr>
          <w:rFonts w:ascii="Times New Roman" w:hAnsi="Times New Roman" w:cs="Times New Roman"/>
        </w:rPr>
      </w:pPr>
      <w:r w:rsidRPr="00426D0B">
        <w:rPr>
          <w:rFonts w:ascii="Times New Roman" w:hAnsi="Times New Roman" w:cs="Times New Roman"/>
        </w:rPr>
        <w:t>En primer lugar, las universidades del período 2009-2015 sí incorporaron, de manera selectiva, las lecciones de la primera generación. La adopción generalizada del modelo departamental-matricial no fue una novedad del segundo período: fue la continuación y profundización de una apuesta estructural iniciada en 1989. Lo que sí representó una innovación fue la mayor sistematicidad con que las nuevas instituciones articularon este diseño con dispositivos explícitos de inclusión</w:t>
      </w:r>
      <w:r>
        <w:rPr>
          <w:rFonts w:ascii="Times New Roman" w:hAnsi="Times New Roman" w:cs="Times New Roman"/>
        </w:rPr>
        <w:t xml:space="preserve">, tales como </w:t>
      </w:r>
      <w:r w:rsidRPr="00426D0B">
        <w:rPr>
          <w:rFonts w:ascii="Times New Roman" w:hAnsi="Times New Roman" w:cs="Times New Roman"/>
        </w:rPr>
        <w:t>ciclos iniciales transversales, orientación vocacional,</w:t>
      </w:r>
      <w:r>
        <w:rPr>
          <w:rFonts w:ascii="Times New Roman" w:hAnsi="Times New Roman" w:cs="Times New Roman"/>
        </w:rPr>
        <w:t xml:space="preserve"> y</w:t>
      </w:r>
      <w:r w:rsidRPr="00426D0B">
        <w:rPr>
          <w:rFonts w:ascii="Times New Roman" w:hAnsi="Times New Roman" w:cs="Times New Roman"/>
        </w:rPr>
        <w:t xml:space="preserve"> sistemas de tutoría y con misiones territoriales más explícitamente definidas en sus documentos fundacionales.</w:t>
      </w:r>
    </w:p>
    <w:p w14:paraId="3C69CC96" w14:textId="77777777" w:rsidR="00426D0B" w:rsidRPr="00426D0B" w:rsidRDefault="00426D0B" w:rsidP="00426D0B">
      <w:pPr>
        <w:spacing w:line="240" w:lineRule="auto"/>
        <w:jc w:val="both"/>
        <w:rPr>
          <w:rFonts w:ascii="Times New Roman" w:hAnsi="Times New Roman" w:cs="Times New Roman"/>
        </w:rPr>
      </w:pPr>
      <w:r w:rsidRPr="00426D0B">
        <w:rPr>
          <w:rFonts w:ascii="Times New Roman" w:hAnsi="Times New Roman" w:cs="Times New Roman"/>
        </w:rPr>
        <w:t>En segundo lugar, el diseño matricial no resolvió automáticamente las tensiones que pretendía superar. La paradoja interdisciplinar, la constatación de que el agrupamiento de especialistas en departamentos disciplinares puede reproducir la fragmentación que se buscaba evitar, es la más persistente y la más documentada por la bibliografía académica y por los propios informes de la CONEAU. La interdisciplinariedad efectiva depende de dispositivos de coordinación que los estatutos suelen enunciar pero que pocas veces se consolidan de manera estable en la práctica cotidiana.</w:t>
      </w:r>
    </w:p>
    <w:p w14:paraId="41DA7C2C" w14:textId="22BB6865" w:rsidR="00426D0B" w:rsidRPr="00426D0B" w:rsidRDefault="00426D0B" w:rsidP="00426D0B">
      <w:pPr>
        <w:spacing w:line="240" w:lineRule="auto"/>
        <w:jc w:val="both"/>
        <w:rPr>
          <w:rFonts w:ascii="Times New Roman" w:hAnsi="Times New Roman" w:cs="Times New Roman"/>
        </w:rPr>
      </w:pPr>
      <w:r w:rsidRPr="00426D0B">
        <w:rPr>
          <w:rFonts w:ascii="Times New Roman" w:hAnsi="Times New Roman" w:cs="Times New Roman"/>
        </w:rPr>
        <w:t>En tercer lugar, la estructura matricial, que en su etapa fundacional permite una coordinación académica coherente y una comunicación fluida entre pocas unidades, necesita rediseñarse cuando la institución alcanza cierta escala, so pena de convertirse en una burocracia que reproduce, en lugar de superar, las disfunciones de los modelos que buscaba reemplazar. Esta conclusión es consistente con la premisa sistémica según la cual es la estructura de relaciones y de ciclos de retroalimentación</w:t>
      </w:r>
      <w:r>
        <w:rPr>
          <w:rFonts w:ascii="Times New Roman" w:hAnsi="Times New Roman" w:cs="Times New Roman"/>
        </w:rPr>
        <w:t xml:space="preserve">, </w:t>
      </w:r>
      <w:r w:rsidRPr="00426D0B">
        <w:rPr>
          <w:rFonts w:ascii="Times New Roman" w:hAnsi="Times New Roman" w:cs="Times New Roman"/>
        </w:rPr>
        <w:t>y no la voluntad de sus integrantes</w:t>
      </w:r>
      <w:r>
        <w:rPr>
          <w:rFonts w:ascii="Times New Roman" w:hAnsi="Times New Roman" w:cs="Times New Roman"/>
        </w:rPr>
        <w:t>,</w:t>
      </w:r>
      <w:r w:rsidRPr="00426D0B">
        <w:rPr>
          <w:rFonts w:ascii="Times New Roman" w:hAnsi="Times New Roman" w:cs="Times New Roman"/>
        </w:rPr>
        <w:t xml:space="preserve"> la que produce el comportamiento organizacional (Senge, 1990; Sterman, 2000)</w:t>
      </w:r>
      <w:r>
        <w:rPr>
          <w:rFonts w:ascii="Times New Roman" w:hAnsi="Times New Roman" w:cs="Times New Roman"/>
        </w:rPr>
        <w:t>.</w:t>
      </w:r>
      <w:r w:rsidRPr="00426D0B">
        <w:rPr>
          <w:rFonts w:ascii="Times New Roman" w:hAnsi="Times New Roman" w:cs="Times New Roman"/>
        </w:rPr>
        <w:t xml:space="preserve"> </w:t>
      </w:r>
      <w:r>
        <w:rPr>
          <w:rFonts w:ascii="Times New Roman" w:hAnsi="Times New Roman" w:cs="Times New Roman"/>
        </w:rPr>
        <w:t>L</w:t>
      </w:r>
      <w:r w:rsidRPr="00426D0B">
        <w:rPr>
          <w:rFonts w:ascii="Times New Roman" w:hAnsi="Times New Roman" w:cs="Times New Roman"/>
        </w:rPr>
        <w:t xml:space="preserve">os mismos juicios de frontera (Midgley, 2000) </w:t>
      </w:r>
      <w:proofErr w:type="gramStart"/>
      <w:r w:rsidRPr="00426D0B">
        <w:rPr>
          <w:rFonts w:ascii="Times New Roman" w:hAnsi="Times New Roman" w:cs="Times New Roman"/>
        </w:rPr>
        <w:t>que</w:t>
      </w:r>
      <w:proofErr w:type="gramEnd"/>
      <w:r w:rsidRPr="00426D0B">
        <w:rPr>
          <w:rFonts w:ascii="Times New Roman" w:hAnsi="Times New Roman" w:cs="Times New Roman"/>
        </w:rPr>
        <w:t xml:space="preserve"> en una universidad pequeña, con pocos departamentos y una matrícula acotada, permiten sostener la interdisciplinariedad mediante mecanismos informales, resultan insuficientes cuando la multiplicación de carreras, institutos y sedes exige reglas más explícitas de coordinación. La evidencia relevada en los casos de primera generación</w:t>
      </w:r>
      <w:r>
        <w:rPr>
          <w:rFonts w:ascii="Times New Roman" w:hAnsi="Times New Roman" w:cs="Times New Roman"/>
        </w:rPr>
        <w:t xml:space="preserve">, </w:t>
      </w:r>
      <w:r w:rsidRPr="00426D0B">
        <w:rPr>
          <w:rFonts w:ascii="Times New Roman" w:hAnsi="Times New Roman" w:cs="Times New Roman"/>
        </w:rPr>
        <w:t>donde el crecimiento de la oferta académica y de la matrícula fue el detonante recurrente de las principales tensiones</w:t>
      </w:r>
      <w:r>
        <w:rPr>
          <w:rFonts w:ascii="Times New Roman" w:hAnsi="Times New Roman" w:cs="Times New Roman"/>
        </w:rPr>
        <w:t>,</w:t>
      </w:r>
      <w:r w:rsidRPr="00426D0B">
        <w:rPr>
          <w:rFonts w:ascii="Times New Roman" w:hAnsi="Times New Roman" w:cs="Times New Roman"/>
        </w:rPr>
        <w:t xml:space="preserve"> sugiere que el diseño matricial no es una solución estática, sino un arreglo institucional que requiere revisiones periódicas de sus reglas de gobierno y de sus fronteras internas a medida que la universidad crece.</w:t>
      </w:r>
    </w:p>
    <w:p w14:paraId="75DA6A1D" w14:textId="77777777" w:rsidR="00426D0B" w:rsidRPr="00426D0B" w:rsidRDefault="00426D0B" w:rsidP="00426D0B">
      <w:pPr>
        <w:spacing w:line="240" w:lineRule="auto"/>
        <w:jc w:val="both"/>
        <w:rPr>
          <w:rFonts w:ascii="Times New Roman" w:hAnsi="Times New Roman" w:cs="Times New Roman"/>
        </w:rPr>
      </w:pPr>
      <w:r w:rsidRPr="00426D0B">
        <w:rPr>
          <w:rFonts w:ascii="Times New Roman" w:hAnsi="Times New Roman" w:cs="Times New Roman"/>
        </w:rPr>
        <w:t xml:space="preserve">En cuarto lugar, la comparación entre la oferta curricular de la primera y segunda generación revela una paradoja adicional: la innovación organizacional (el modelo </w:t>
      </w:r>
      <w:r w:rsidRPr="00426D0B">
        <w:rPr>
          <w:rFonts w:ascii="Times New Roman" w:hAnsi="Times New Roman" w:cs="Times New Roman"/>
        </w:rPr>
        <w:lastRenderedPageBreak/>
        <w:t>departamental) coexiste con una convergencia curricular hacia títulos tradicionales, lo que limita el alcance real de la transformación institucional. Las nuevas universidades cambiaron su forma organizacional, pero tendieron a reproducir una proporción significativa de los contenidos curriculares convencionales.</w:t>
      </w:r>
    </w:p>
    <w:p w14:paraId="2724DDF8" w14:textId="466EC727" w:rsidR="005F3B2E" w:rsidRPr="007A03CB" w:rsidRDefault="00426D0B" w:rsidP="00426D0B">
      <w:pPr>
        <w:spacing w:line="240" w:lineRule="auto"/>
        <w:jc w:val="both"/>
        <w:rPr>
          <w:rFonts w:ascii="Times New Roman" w:hAnsi="Times New Roman" w:cs="Times New Roman"/>
        </w:rPr>
      </w:pPr>
      <w:r w:rsidRPr="00426D0B">
        <w:rPr>
          <w:rFonts w:ascii="Times New Roman" w:hAnsi="Times New Roman" w:cs="Times New Roman"/>
        </w:rPr>
        <w:t xml:space="preserve">Un </w:t>
      </w:r>
      <w:r>
        <w:rPr>
          <w:rFonts w:ascii="Times New Roman" w:hAnsi="Times New Roman" w:cs="Times New Roman"/>
        </w:rPr>
        <w:t xml:space="preserve">último </w:t>
      </w:r>
      <w:r w:rsidRPr="00426D0B">
        <w:rPr>
          <w:rFonts w:ascii="Times New Roman" w:hAnsi="Times New Roman" w:cs="Times New Roman"/>
        </w:rPr>
        <w:t>hallazgo transversal a los casos es que la tensión matricial rara vez desaparece con el paso del tiempo. La UNQ y la UNSAM, las universidades más antiguas de la muestra, no muestran una estructura más armónica que la UNPAZ o la UNAJ, de creación mucho más reciente, sino una tensión de tipo distinto en lugar de ausencia de tensión</w:t>
      </w:r>
      <w:r w:rsidR="005F3B2E" w:rsidRPr="007A03CB">
        <w:rPr>
          <w:rFonts w:ascii="Times New Roman" w:hAnsi="Times New Roman" w:cs="Times New Roman"/>
        </w:rPr>
        <w:t>.</w:t>
      </w:r>
    </w:p>
    <w:p w14:paraId="39B57161" w14:textId="69DC08D7" w:rsidR="005F3B2E" w:rsidRPr="007A03CB" w:rsidRDefault="005F3B2E" w:rsidP="007B5B5F">
      <w:pPr>
        <w:spacing w:line="240" w:lineRule="auto"/>
        <w:rPr>
          <w:rFonts w:ascii="Times New Roman" w:hAnsi="Times New Roman" w:cs="Times New Roman"/>
          <w:b/>
          <w:bCs/>
        </w:rPr>
      </w:pPr>
      <w:r w:rsidRPr="007A03CB">
        <w:rPr>
          <w:rFonts w:ascii="Times New Roman" w:hAnsi="Times New Roman" w:cs="Times New Roman"/>
          <w:b/>
          <w:bCs/>
        </w:rPr>
        <w:t>Referencias Bibliográficas (APA 7)</w:t>
      </w:r>
    </w:p>
    <w:p w14:paraId="3C20085F" w14:textId="77777777" w:rsidR="00426D0B" w:rsidRPr="00426D0B" w:rsidRDefault="00426D0B" w:rsidP="00426D0B">
      <w:pPr>
        <w:spacing w:line="240" w:lineRule="auto"/>
        <w:jc w:val="both"/>
        <w:rPr>
          <w:rFonts w:ascii="Times New Roman" w:hAnsi="Times New Roman" w:cs="Times New Roman"/>
        </w:rPr>
      </w:pPr>
      <w:r w:rsidRPr="00426D0B">
        <w:rPr>
          <w:rFonts w:ascii="Times New Roman" w:hAnsi="Times New Roman" w:cs="Times New Roman"/>
        </w:rPr>
        <w:t>Accinelli, A., Losio, M. J., y Macri, P. (2016). Las universidades del conurbano bonaerense: influencias y contexto. Archivos de Ciencias de la Educación, 10(10). https://doi.org/10.24215/23468866e010</w:t>
      </w:r>
    </w:p>
    <w:p w14:paraId="33EDF43D" w14:textId="77777777" w:rsidR="00426D0B" w:rsidRPr="00426D0B" w:rsidRDefault="00426D0B" w:rsidP="00426D0B">
      <w:pPr>
        <w:spacing w:line="240" w:lineRule="auto"/>
        <w:jc w:val="both"/>
        <w:rPr>
          <w:rFonts w:ascii="Times New Roman" w:hAnsi="Times New Roman" w:cs="Times New Roman"/>
          <w:lang w:val="en-US"/>
        </w:rPr>
      </w:pPr>
      <w:r w:rsidRPr="00426D0B">
        <w:rPr>
          <w:rFonts w:ascii="Times New Roman" w:hAnsi="Times New Roman" w:cs="Times New Roman"/>
        </w:rPr>
        <w:t xml:space="preserve">Buchbinder, P. (2010). Historia de las universidades argentinas (2.a ed.). </w:t>
      </w:r>
      <w:r w:rsidRPr="00426D0B">
        <w:rPr>
          <w:rFonts w:ascii="Times New Roman" w:hAnsi="Times New Roman" w:cs="Times New Roman"/>
          <w:lang w:val="en-US"/>
        </w:rPr>
        <w:t>Sudamericana.</w:t>
      </w:r>
    </w:p>
    <w:p w14:paraId="4ABF85D3" w14:textId="77777777" w:rsidR="00426D0B" w:rsidRPr="00426D0B" w:rsidRDefault="00426D0B" w:rsidP="00426D0B">
      <w:pPr>
        <w:spacing w:line="240" w:lineRule="auto"/>
        <w:jc w:val="both"/>
        <w:rPr>
          <w:rFonts w:ascii="Times New Roman" w:hAnsi="Times New Roman" w:cs="Times New Roman"/>
        </w:rPr>
      </w:pPr>
      <w:r w:rsidRPr="00426D0B">
        <w:rPr>
          <w:rFonts w:ascii="Times New Roman" w:hAnsi="Times New Roman" w:cs="Times New Roman"/>
          <w:lang w:val="en-US"/>
        </w:rPr>
        <w:t xml:space="preserve">Cabrera, D., y Cabrera, L. (2015). Systems thinking made simple: New hope for solving wicked problems. </w:t>
      </w:r>
      <w:proofErr w:type="spellStart"/>
      <w:r w:rsidRPr="00426D0B">
        <w:rPr>
          <w:rFonts w:ascii="Times New Roman" w:hAnsi="Times New Roman" w:cs="Times New Roman"/>
        </w:rPr>
        <w:t>Odyssean</w:t>
      </w:r>
      <w:proofErr w:type="spellEnd"/>
      <w:r w:rsidRPr="00426D0B">
        <w:rPr>
          <w:rFonts w:ascii="Times New Roman" w:hAnsi="Times New Roman" w:cs="Times New Roman"/>
        </w:rPr>
        <w:t xml:space="preserve"> Press.</w:t>
      </w:r>
    </w:p>
    <w:p w14:paraId="307DDC4D" w14:textId="77777777" w:rsidR="00426D0B" w:rsidRPr="00426D0B" w:rsidRDefault="00426D0B" w:rsidP="00426D0B">
      <w:pPr>
        <w:spacing w:line="240" w:lineRule="auto"/>
        <w:jc w:val="both"/>
        <w:rPr>
          <w:rFonts w:ascii="Times New Roman" w:hAnsi="Times New Roman" w:cs="Times New Roman"/>
        </w:rPr>
      </w:pPr>
      <w:r w:rsidRPr="00426D0B">
        <w:rPr>
          <w:rFonts w:ascii="Times New Roman" w:hAnsi="Times New Roman" w:cs="Times New Roman"/>
        </w:rPr>
        <w:t>Comisión Nacional de Evaluación y Acreditación Universitaria [CONEAU]. (2005). Informe final de evaluación externa: Universidad Nacional de Lanús. Ministerio de Educación de la Nación.</w:t>
      </w:r>
    </w:p>
    <w:p w14:paraId="677937FB" w14:textId="77777777" w:rsidR="00426D0B" w:rsidRPr="00426D0B" w:rsidRDefault="00426D0B" w:rsidP="00426D0B">
      <w:pPr>
        <w:spacing w:line="240" w:lineRule="auto"/>
        <w:jc w:val="both"/>
        <w:rPr>
          <w:rFonts w:ascii="Times New Roman" w:hAnsi="Times New Roman" w:cs="Times New Roman"/>
        </w:rPr>
      </w:pPr>
      <w:r w:rsidRPr="00426D0B">
        <w:rPr>
          <w:rFonts w:ascii="Times New Roman" w:hAnsi="Times New Roman" w:cs="Times New Roman"/>
        </w:rPr>
        <w:t>Comisión Nacional de Evaluación y Acreditación Universitaria [CONEAU]. (2010a). Informe de evaluación externa. Universidad Nacional de Quilmes. Ministerio de Educación de la Nación.</w:t>
      </w:r>
    </w:p>
    <w:p w14:paraId="3065995C" w14:textId="77777777" w:rsidR="00426D0B" w:rsidRPr="00426D0B" w:rsidRDefault="00426D0B" w:rsidP="00426D0B">
      <w:pPr>
        <w:spacing w:line="240" w:lineRule="auto"/>
        <w:jc w:val="both"/>
        <w:rPr>
          <w:rFonts w:ascii="Times New Roman" w:hAnsi="Times New Roman" w:cs="Times New Roman"/>
        </w:rPr>
      </w:pPr>
      <w:r w:rsidRPr="00426D0B">
        <w:rPr>
          <w:rFonts w:ascii="Times New Roman" w:hAnsi="Times New Roman" w:cs="Times New Roman"/>
        </w:rPr>
        <w:t>Comisión Nacional de Evaluación y Acreditación Universitaria [CONEAU]. (2010b). Informe de evaluación externa. Universidad Nacional de Tres de Febrero. Ministerio de Educación de la Nación.</w:t>
      </w:r>
    </w:p>
    <w:p w14:paraId="44B93DF5" w14:textId="77777777" w:rsidR="00426D0B" w:rsidRPr="00426D0B" w:rsidRDefault="00426D0B" w:rsidP="00426D0B">
      <w:pPr>
        <w:spacing w:line="240" w:lineRule="auto"/>
        <w:jc w:val="both"/>
        <w:rPr>
          <w:rFonts w:ascii="Times New Roman" w:hAnsi="Times New Roman" w:cs="Times New Roman"/>
        </w:rPr>
      </w:pPr>
      <w:r w:rsidRPr="00426D0B">
        <w:rPr>
          <w:rFonts w:ascii="Times New Roman" w:hAnsi="Times New Roman" w:cs="Times New Roman"/>
        </w:rPr>
        <w:t>Comisión Nacional de Evaluación y Acreditación Universitaria [CONEAU]. (2011). Informe de evaluación externa: Universidad Nacional de General Sarmiento (N.º 33). CONEAU.</w:t>
      </w:r>
    </w:p>
    <w:p w14:paraId="118AAA30" w14:textId="77777777" w:rsidR="00426D0B" w:rsidRPr="00426D0B" w:rsidRDefault="00426D0B" w:rsidP="00426D0B">
      <w:pPr>
        <w:spacing w:line="240" w:lineRule="auto"/>
        <w:jc w:val="both"/>
        <w:rPr>
          <w:rFonts w:ascii="Times New Roman" w:hAnsi="Times New Roman" w:cs="Times New Roman"/>
        </w:rPr>
      </w:pPr>
      <w:r w:rsidRPr="00426D0B">
        <w:rPr>
          <w:rFonts w:ascii="Times New Roman" w:hAnsi="Times New Roman" w:cs="Times New Roman"/>
        </w:rPr>
        <w:t>Comisión Nacional de Evaluación y Acreditación Universitaria [CONEAU]. (2012). Informe de evaluación externa. Universidad Nacional de La Matanza (N.º 37). Ministerio de Educación de la Nación.</w:t>
      </w:r>
    </w:p>
    <w:p w14:paraId="0FAFA02C" w14:textId="77777777" w:rsidR="00426D0B" w:rsidRPr="00426D0B" w:rsidRDefault="00426D0B" w:rsidP="00426D0B">
      <w:pPr>
        <w:spacing w:line="240" w:lineRule="auto"/>
        <w:jc w:val="both"/>
        <w:rPr>
          <w:rFonts w:ascii="Times New Roman" w:hAnsi="Times New Roman" w:cs="Times New Roman"/>
        </w:rPr>
      </w:pPr>
      <w:r w:rsidRPr="00426D0B">
        <w:rPr>
          <w:rFonts w:ascii="Times New Roman" w:hAnsi="Times New Roman" w:cs="Times New Roman"/>
        </w:rPr>
        <w:t>Comisión Nacional de Evaluación y Acreditación Universitaria [CONEAU]. (2018). Informe de evaluación externa: Universidad Nacional Arturo Jauretche (N.º 84). Ministerio de Educación de la Nación.</w:t>
      </w:r>
    </w:p>
    <w:p w14:paraId="5FA07C51" w14:textId="77777777" w:rsidR="00426D0B" w:rsidRPr="00426D0B" w:rsidRDefault="00426D0B" w:rsidP="00426D0B">
      <w:pPr>
        <w:spacing w:line="240" w:lineRule="auto"/>
        <w:jc w:val="both"/>
        <w:rPr>
          <w:rFonts w:ascii="Times New Roman" w:hAnsi="Times New Roman" w:cs="Times New Roman"/>
        </w:rPr>
      </w:pPr>
      <w:r w:rsidRPr="00426D0B">
        <w:rPr>
          <w:rFonts w:ascii="Times New Roman" w:hAnsi="Times New Roman" w:cs="Times New Roman"/>
        </w:rPr>
        <w:t>Comisión Nacional de Evaluación y Acreditación Universitaria [CONEAU]. (2019a). Informe de evaluación externa. Universidad Nacional de Quilmes. Ministerio de Educación de la Nación.</w:t>
      </w:r>
    </w:p>
    <w:p w14:paraId="2ACE2271" w14:textId="77777777" w:rsidR="00426D0B" w:rsidRPr="00426D0B" w:rsidRDefault="00426D0B" w:rsidP="00426D0B">
      <w:pPr>
        <w:spacing w:line="240" w:lineRule="auto"/>
        <w:jc w:val="both"/>
        <w:rPr>
          <w:rFonts w:ascii="Times New Roman" w:hAnsi="Times New Roman" w:cs="Times New Roman"/>
        </w:rPr>
      </w:pPr>
      <w:r w:rsidRPr="00426D0B">
        <w:rPr>
          <w:rFonts w:ascii="Times New Roman" w:hAnsi="Times New Roman" w:cs="Times New Roman"/>
        </w:rPr>
        <w:lastRenderedPageBreak/>
        <w:t>Comisión Nacional de Evaluación y Acreditación Universitaria [CONEAU]. (2019b). Informe de evaluación externa: Universidad Nacional José Clemente Paz. Ministerio de Educación de la Nación.</w:t>
      </w:r>
    </w:p>
    <w:p w14:paraId="410C1BEC" w14:textId="77777777" w:rsidR="00426D0B" w:rsidRPr="00426D0B" w:rsidRDefault="00426D0B" w:rsidP="00426D0B">
      <w:pPr>
        <w:spacing w:line="240" w:lineRule="auto"/>
        <w:jc w:val="both"/>
        <w:rPr>
          <w:rFonts w:ascii="Times New Roman" w:hAnsi="Times New Roman" w:cs="Times New Roman"/>
        </w:rPr>
      </w:pPr>
      <w:r w:rsidRPr="00426D0B">
        <w:rPr>
          <w:rFonts w:ascii="Times New Roman" w:hAnsi="Times New Roman" w:cs="Times New Roman"/>
        </w:rPr>
        <w:t>Comisión Nacional de Evaluación y Acreditación Universitaria [CONEAU]. (2025). Informe de evaluación externa. Universidad Nacional de Tres de Febrero (N.º 109). Ministerio de Educación de la Nación.</w:t>
      </w:r>
    </w:p>
    <w:p w14:paraId="08980288" w14:textId="77777777" w:rsidR="00426D0B" w:rsidRPr="00426D0B" w:rsidRDefault="00426D0B" w:rsidP="00426D0B">
      <w:pPr>
        <w:spacing w:line="240" w:lineRule="auto"/>
        <w:jc w:val="both"/>
        <w:rPr>
          <w:rFonts w:ascii="Times New Roman" w:hAnsi="Times New Roman" w:cs="Times New Roman"/>
        </w:rPr>
      </w:pPr>
      <w:r w:rsidRPr="00426D0B">
        <w:rPr>
          <w:rFonts w:ascii="Times New Roman" w:hAnsi="Times New Roman" w:cs="Times New Roman"/>
        </w:rPr>
        <w:t>De Angelis, C. F. (2013). Surgimiento de las universidades del conurbano (1972-2013). Cuadernos del CENDES, 30(82), 1-28.</w:t>
      </w:r>
    </w:p>
    <w:p w14:paraId="4AA5CE0F" w14:textId="77777777" w:rsidR="00426D0B" w:rsidRPr="00426D0B" w:rsidRDefault="00426D0B" w:rsidP="00426D0B">
      <w:pPr>
        <w:spacing w:line="240" w:lineRule="auto"/>
        <w:jc w:val="both"/>
        <w:rPr>
          <w:rFonts w:ascii="Times New Roman" w:hAnsi="Times New Roman" w:cs="Times New Roman"/>
          <w:lang w:val="en-US"/>
        </w:rPr>
      </w:pPr>
      <w:r w:rsidRPr="00426D0B">
        <w:rPr>
          <w:rFonts w:ascii="Times New Roman" w:hAnsi="Times New Roman" w:cs="Times New Roman"/>
        </w:rPr>
        <w:t xml:space="preserve">Marquina, M., y </w:t>
      </w:r>
      <w:proofErr w:type="spellStart"/>
      <w:r w:rsidRPr="00426D0B">
        <w:rPr>
          <w:rFonts w:ascii="Times New Roman" w:hAnsi="Times New Roman" w:cs="Times New Roman"/>
        </w:rPr>
        <w:t>Chiroleu</w:t>
      </w:r>
      <w:proofErr w:type="spellEnd"/>
      <w:r w:rsidRPr="00426D0B">
        <w:rPr>
          <w:rFonts w:ascii="Times New Roman" w:hAnsi="Times New Roman" w:cs="Times New Roman"/>
        </w:rPr>
        <w:t xml:space="preserve">, A. (2015). ¿Hacia un nuevo mapa universitario? La ampliación de la oferta y la cuestión de la diferenciación en Argentina. </w:t>
      </w:r>
      <w:proofErr w:type="spellStart"/>
      <w:r w:rsidRPr="00426D0B">
        <w:rPr>
          <w:rFonts w:ascii="Times New Roman" w:hAnsi="Times New Roman" w:cs="Times New Roman"/>
          <w:lang w:val="en-US"/>
        </w:rPr>
        <w:t>Propuesta</w:t>
      </w:r>
      <w:proofErr w:type="spellEnd"/>
      <w:r w:rsidRPr="00426D0B">
        <w:rPr>
          <w:rFonts w:ascii="Times New Roman" w:hAnsi="Times New Roman" w:cs="Times New Roman"/>
          <w:lang w:val="en-US"/>
        </w:rPr>
        <w:t xml:space="preserve"> </w:t>
      </w:r>
      <w:proofErr w:type="spellStart"/>
      <w:r w:rsidRPr="00426D0B">
        <w:rPr>
          <w:rFonts w:ascii="Times New Roman" w:hAnsi="Times New Roman" w:cs="Times New Roman"/>
          <w:lang w:val="en-US"/>
        </w:rPr>
        <w:t>Educativa</w:t>
      </w:r>
      <w:proofErr w:type="spellEnd"/>
      <w:r w:rsidRPr="00426D0B">
        <w:rPr>
          <w:rFonts w:ascii="Times New Roman" w:hAnsi="Times New Roman" w:cs="Times New Roman"/>
          <w:lang w:val="en-US"/>
        </w:rPr>
        <w:t>, 43, 7-16.</w:t>
      </w:r>
    </w:p>
    <w:p w14:paraId="55DEE732" w14:textId="77777777" w:rsidR="00426D0B" w:rsidRPr="00426D0B" w:rsidRDefault="00426D0B" w:rsidP="00426D0B">
      <w:pPr>
        <w:spacing w:line="240" w:lineRule="auto"/>
        <w:jc w:val="both"/>
        <w:rPr>
          <w:rFonts w:ascii="Times New Roman" w:hAnsi="Times New Roman" w:cs="Times New Roman"/>
          <w:lang w:val="en-US"/>
        </w:rPr>
      </w:pPr>
      <w:r w:rsidRPr="00426D0B">
        <w:rPr>
          <w:rFonts w:ascii="Times New Roman" w:hAnsi="Times New Roman" w:cs="Times New Roman"/>
          <w:lang w:val="en-US"/>
        </w:rPr>
        <w:t>Midgley, G. (2000). Systemic intervention: Philosophy, methodology, and practice. Kluwer Academic/Plenum Publishers.</w:t>
      </w:r>
    </w:p>
    <w:p w14:paraId="63584985" w14:textId="77777777" w:rsidR="00426D0B" w:rsidRPr="00426D0B" w:rsidRDefault="00426D0B" w:rsidP="00426D0B">
      <w:pPr>
        <w:spacing w:line="240" w:lineRule="auto"/>
        <w:jc w:val="both"/>
        <w:rPr>
          <w:rFonts w:ascii="Times New Roman" w:hAnsi="Times New Roman" w:cs="Times New Roman"/>
        </w:rPr>
      </w:pPr>
      <w:r w:rsidRPr="00426D0B">
        <w:rPr>
          <w:rFonts w:ascii="Times New Roman" w:hAnsi="Times New Roman" w:cs="Times New Roman"/>
          <w:lang w:val="en-US"/>
        </w:rPr>
        <w:t xml:space="preserve">Midgley, G., y </w:t>
      </w:r>
      <w:proofErr w:type="spellStart"/>
      <w:r w:rsidRPr="00426D0B">
        <w:rPr>
          <w:rFonts w:ascii="Times New Roman" w:hAnsi="Times New Roman" w:cs="Times New Roman"/>
          <w:lang w:val="en-US"/>
        </w:rPr>
        <w:t>Lindhult</w:t>
      </w:r>
      <w:proofErr w:type="spellEnd"/>
      <w:r w:rsidRPr="00426D0B">
        <w:rPr>
          <w:rFonts w:ascii="Times New Roman" w:hAnsi="Times New Roman" w:cs="Times New Roman"/>
          <w:lang w:val="en-US"/>
        </w:rPr>
        <w:t xml:space="preserve">, E. (2021). A systems perspective on systemic innovation. </w:t>
      </w:r>
      <w:proofErr w:type="spellStart"/>
      <w:r w:rsidRPr="00426D0B">
        <w:rPr>
          <w:rFonts w:ascii="Times New Roman" w:hAnsi="Times New Roman" w:cs="Times New Roman"/>
        </w:rPr>
        <w:t>Systems</w:t>
      </w:r>
      <w:proofErr w:type="spellEnd"/>
      <w:r w:rsidRPr="00426D0B">
        <w:rPr>
          <w:rFonts w:ascii="Times New Roman" w:hAnsi="Times New Roman" w:cs="Times New Roman"/>
        </w:rPr>
        <w:t xml:space="preserve"> </w:t>
      </w:r>
      <w:proofErr w:type="spellStart"/>
      <w:r w:rsidRPr="00426D0B">
        <w:rPr>
          <w:rFonts w:ascii="Times New Roman" w:hAnsi="Times New Roman" w:cs="Times New Roman"/>
        </w:rPr>
        <w:t>Research</w:t>
      </w:r>
      <w:proofErr w:type="spellEnd"/>
      <w:r w:rsidRPr="00426D0B">
        <w:rPr>
          <w:rFonts w:ascii="Times New Roman" w:hAnsi="Times New Roman" w:cs="Times New Roman"/>
        </w:rPr>
        <w:t xml:space="preserve"> and </w:t>
      </w:r>
      <w:proofErr w:type="spellStart"/>
      <w:r w:rsidRPr="00426D0B">
        <w:rPr>
          <w:rFonts w:ascii="Times New Roman" w:hAnsi="Times New Roman" w:cs="Times New Roman"/>
        </w:rPr>
        <w:t>Behavioral</w:t>
      </w:r>
      <w:proofErr w:type="spellEnd"/>
      <w:r w:rsidRPr="00426D0B">
        <w:rPr>
          <w:rFonts w:ascii="Times New Roman" w:hAnsi="Times New Roman" w:cs="Times New Roman"/>
        </w:rPr>
        <w:t xml:space="preserve"> </w:t>
      </w:r>
      <w:proofErr w:type="spellStart"/>
      <w:r w:rsidRPr="00426D0B">
        <w:rPr>
          <w:rFonts w:ascii="Times New Roman" w:hAnsi="Times New Roman" w:cs="Times New Roman"/>
        </w:rPr>
        <w:t>Science</w:t>
      </w:r>
      <w:proofErr w:type="spellEnd"/>
      <w:r w:rsidRPr="00426D0B">
        <w:rPr>
          <w:rFonts w:ascii="Times New Roman" w:hAnsi="Times New Roman" w:cs="Times New Roman"/>
        </w:rPr>
        <w:t>, 38(5), 635-670. https://doi.org/10.1002/sres.2819</w:t>
      </w:r>
    </w:p>
    <w:p w14:paraId="4D0963C9" w14:textId="77777777" w:rsidR="00426D0B" w:rsidRPr="00426D0B" w:rsidRDefault="00426D0B" w:rsidP="00426D0B">
      <w:pPr>
        <w:spacing w:line="240" w:lineRule="auto"/>
        <w:jc w:val="both"/>
        <w:rPr>
          <w:rFonts w:ascii="Times New Roman" w:hAnsi="Times New Roman" w:cs="Times New Roman"/>
        </w:rPr>
      </w:pPr>
      <w:r w:rsidRPr="00426D0B">
        <w:rPr>
          <w:rFonts w:ascii="Times New Roman" w:hAnsi="Times New Roman" w:cs="Times New Roman"/>
        </w:rPr>
        <w:t>Ministerio de Ciencia, Tecnología e Innovación [MinCyT], Programa de Evaluación Institucional. (2023). Informe de evaluación externa: función I+D de la Universidad Nacional de Moreno.</w:t>
      </w:r>
    </w:p>
    <w:p w14:paraId="7C45E225" w14:textId="77777777" w:rsidR="00426D0B" w:rsidRPr="00426D0B" w:rsidRDefault="00426D0B" w:rsidP="00426D0B">
      <w:pPr>
        <w:spacing w:line="240" w:lineRule="auto"/>
        <w:jc w:val="both"/>
        <w:rPr>
          <w:rFonts w:ascii="Times New Roman" w:hAnsi="Times New Roman" w:cs="Times New Roman"/>
        </w:rPr>
      </w:pPr>
      <w:r w:rsidRPr="00426D0B">
        <w:rPr>
          <w:rFonts w:ascii="Times New Roman" w:hAnsi="Times New Roman" w:cs="Times New Roman"/>
        </w:rPr>
        <w:t xml:space="preserve">Rodríguez, M., y Engel, J. (2022). Universidad, territorio y entramado actoral. El caso de la UNPAZ. Cuadernos de la Facultad de Humanidades y Ciencias Sociales, </w:t>
      </w:r>
      <w:proofErr w:type="gramStart"/>
      <w:r w:rsidRPr="00426D0B">
        <w:rPr>
          <w:rFonts w:ascii="Times New Roman" w:hAnsi="Times New Roman" w:cs="Times New Roman"/>
        </w:rPr>
        <w:t>V(</w:t>
      </w:r>
      <w:proofErr w:type="gramEnd"/>
      <w:r w:rsidRPr="00426D0B">
        <w:rPr>
          <w:rFonts w:ascii="Times New Roman" w:hAnsi="Times New Roman" w:cs="Times New Roman"/>
        </w:rPr>
        <w:t>2), 106-128.</w:t>
      </w:r>
    </w:p>
    <w:p w14:paraId="20019443" w14:textId="2213FD11" w:rsidR="00426D0B" w:rsidRPr="00426D0B" w:rsidRDefault="00426D0B" w:rsidP="00426D0B">
      <w:pPr>
        <w:spacing w:line="240" w:lineRule="auto"/>
        <w:jc w:val="both"/>
        <w:rPr>
          <w:rFonts w:ascii="Times New Roman" w:hAnsi="Times New Roman" w:cs="Times New Roman"/>
        </w:rPr>
      </w:pPr>
      <w:r w:rsidRPr="00426D0B">
        <w:rPr>
          <w:rFonts w:ascii="Times New Roman" w:hAnsi="Times New Roman" w:cs="Times New Roman"/>
        </w:rPr>
        <w:t>Rovelli, L., y Atairo, D. (2005). Los modelos de universidad en las nuevas universidades del conurbano bonaerense: UNQ, UNSAM y UNGS. IV Jornadas de Sociología de la UNLP, La Plata, Argentina. https://www.memoria.fahce.unlp.edu.ar/trab_eventos/ev.6718/ev.6718.pdf</w:t>
      </w:r>
    </w:p>
    <w:p w14:paraId="77A19AB0" w14:textId="77777777" w:rsidR="00426D0B" w:rsidRPr="00426D0B" w:rsidRDefault="00426D0B" w:rsidP="00426D0B">
      <w:pPr>
        <w:spacing w:line="240" w:lineRule="auto"/>
        <w:jc w:val="both"/>
        <w:rPr>
          <w:rFonts w:ascii="Times New Roman" w:hAnsi="Times New Roman" w:cs="Times New Roman"/>
          <w:lang w:val="en-US"/>
        </w:rPr>
      </w:pPr>
      <w:r w:rsidRPr="00426D0B">
        <w:rPr>
          <w:rFonts w:ascii="Times New Roman" w:hAnsi="Times New Roman" w:cs="Times New Roman"/>
        </w:rPr>
        <w:t xml:space="preserve">Senge, P. M. (1990). La quinta disciplina. </w:t>
      </w:r>
      <w:r w:rsidRPr="00426D0B">
        <w:rPr>
          <w:rFonts w:ascii="Times New Roman" w:hAnsi="Times New Roman" w:cs="Times New Roman"/>
          <w:lang w:val="en-US"/>
        </w:rPr>
        <w:t>Granica.</w:t>
      </w:r>
    </w:p>
    <w:p w14:paraId="0DB855AA" w14:textId="77777777" w:rsidR="00426D0B" w:rsidRPr="00426D0B" w:rsidRDefault="00426D0B" w:rsidP="00426D0B">
      <w:pPr>
        <w:spacing w:line="240" w:lineRule="auto"/>
        <w:jc w:val="both"/>
        <w:rPr>
          <w:rFonts w:ascii="Times New Roman" w:hAnsi="Times New Roman" w:cs="Times New Roman"/>
        </w:rPr>
      </w:pPr>
      <w:r w:rsidRPr="00426D0B">
        <w:rPr>
          <w:rFonts w:ascii="Times New Roman" w:hAnsi="Times New Roman" w:cs="Times New Roman"/>
          <w:lang w:val="en-US"/>
        </w:rPr>
        <w:t xml:space="preserve">Sterman, J. D. (2000). Business dynamics: Systems thinking and modeling for a complex world. </w:t>
      </w:r>
      <w:r w:rsidRPr="00426D0B">
        <w:rPr>
          <w:rFonts w:ascii="Times New Roman" w:hAnsi="Times New Roman" w:cs="Times New Roman"/>
        </w:rPr>
        <w:t>McGraw-Hill.</w:t>
      </w:r>
    </w:p>
    <w:p w14:paraId="73BB1AD2" w14:textId="77777777" w:rsidR="00426D0B" w:rsidRPr="00426D0B" w:rsidRDefault="00426D0B" w:rsidP="00426D0B">
      <w:pPr>
        <w:spacing w:line="240" w:lineRule="auto"/>
        <w:jc w:val="both"/>
        <w:rPr>
          <w:rFonts w:ascii="Times New Roman" w:hAnsi="Times New Roman" w:cs="Times New Roman"/>
        </w:rPr>
      </w:pPr>
      <w:r w:rsidRPr="00426D0B">
        <w:rPr>
          <w:rFonts w:ascii="Times New Roman" w:hAnsi="Times New Roman" w:cs="Times New Roman"/>
        </w:rPr>
        <w:t>Sturniolo, S. A. (2009). La universidad y su articulación local. ¿Nuevos sentidos? XXVII Congreso de la Asociación Latinoamericana de Sociología, Buenos Aires.</w:t>
      </w:r>
    </w:p>
    <w:p w14:paraId="6C00CFBD" w14:textId="77777777" w:rsidR="00426D0B" w:rsidRPr="00426D0B" w:rsidRDefault="00426D0B" w:rsidP="00426D0B">
      <w:pPr>
        <w:spacing w:line="240" w:lineRule="auto"/>
        <w:jc w:val="both"/>
        <w:rPr>
          <w:rFonts w:ascii="Times New Roman" w:hAnsi="Times New Roman" w:cs="Times New Roman"/>
        </w:rPr>
      </w:pPr>
      <w:r w:rsidRPr="00426D0B">
        <w:rPr>
          <w:rFonts w:ascii="Times New Roman" w:hAnsi="Times New Roman" w:cs="Times New Roman"/>
        </w:rPr>
        <w:t>Sverdlick, I., Costes, L., y Bertoni, M. (2022). Los casos de UNAJ y UNPAZ. Revista Educación Superior y Sociedad, 34(1), 718-744. https://dialnet.unirioja.es/descarga/articulo/8843965.pdf</w:t>
      </w:r>
    </w:p>
    <w:p w14:paraId="762E83C3" w14:textId="77777777" w:rsidR="00426D0B" w:rsidRPr="00426D0B" w:rsidRDefault="00426D0B" w:rsidP="00426D0B">
      <w:pPr>
        <w:spacing w:line="240" w:lineRule="auto"/>
        <w:jc w:val="both"/>
        <w:rPr>
          <w:rFonts w:ascii="Times New Roman" w:hAnsi="Times New Roman" w:cs="Times New Roman"/>
        </w:rPr>
      </w:pPr>
      <w:r w:rsidRPr="00426D0B">
        <w:rPr>
          <w:rFonts w:ascii="Times New Roman" w:hAnsi="Times New Roman" w:cs="Times New Roman"/>
        </w:rPr>
        <w:t>Universidad Nacional Arturo Jauretche [UNAJ]. (2016). Primera autoevaluación institucional. https://www.unaj.edu.ar/wp-content/uploads/2016/11/01-PRIMERA-AUTOEVALUACION-INSTITUCIONAL.pdf</w:t>
      </w:r>
    </w:p>
    <w:p w14:paraId="7181C4A6" w14:textId="77777777" w:rsidR="00426D0B" w:rsidRPr="00426D0B" w:rsidRDefault="00426D0B" w:rsidP="00426D0B">
      <w:pPr>
        <w:spacing w:line="240" w:lineRule="auto"/>
        <w:jc w:val="both"/>
        <w:rPr>
          <w:rFonts w:ascii="Times New Roman" w:hAnsi="Times New Roman" w:cs="Times New Roman"/>
        </w:rPr>
      </w:pPr>
      <w:r w:rsidRPr="00426D0B">
        <w:rPr>
          <w:rFonts w:ascii="Times New Roman" w:hAnsi="Times New Roman" w:cs="Times New Roman"/>
        </w:rPr>
        <w:lastRenderedPageBreak/>
        <w:t>Universidad Nacional de Avellaneda [UNDAV]. (2015). Informe de autoevaluación institucional. https://undav.edu.ar/general/recursos/adjuntos/38519.pdf</w:t>
      </w:r>
    </w:p>
    <w:p w14:paraId="1A621B67" w14:textId="77777777" w:rsidR="00426D0B" w:rsidRPr="00426D0B" w:rsidRDefault="00426D0B" w:rsidP="00426D0B">
      <w:pPr>
        <w:spacing w:line="240" w:lineRule="auto"/>
        <w:jc w:val="both"/>
        <w:rPr>
          <w:rFonts w:ascii="Times New Roman" w:hAnsi="Times New Roman" w:cs="Times New Roman"/>
        </w:rPr>
      </w:pPr>
      <w:r w:rsidRPr="00426D0B">
        <w:rPr>
          <w:rFonts w:ascii="Times New Roman" w:hAnsi="Times New Roman" w:cs="Times New Roman"/>
        </w:rPr>
        <w:t>Universidad Nacional de General San Martín [UNSAM]. (2014). Autoevaluación de la función de I+D+i de la Universidad Nacional de San Martín. https://www.unsam.edu.ar/institucional/EVALUACI%C3%93N_Informe%20de%20Autoevaluaci%C3%B3n%20de%20la%20Funci%C3%B3n%20I+D+i_2014.pdf</w:t>
      </w:r>
    </w:p>
    <w:p w14:paraId="40C20513" w14:textId="77777777" w:rsidR="00426D0B" w:rsidRPr="00426D0B" w:rsidRDefault="00426D0B" w:rsidP="00426D0B">
      <w:pPr>
        <w:spacing w:line="240" w:lineRule="auto"/>
        <w:jc w:val="both"/>
        <w:rPr>
          <w:rFonts w:ascii="Times New Roman" w:hAnsi="Times New Roman" w:cs="Times New Roman"/>
        </w:rPr>
      </w:pPr>
      <w:r w:rsidRPr="00426D0B">
        <w:rPr>
          <w:rFonts w:ascii="Times New Roman" w:hAnsi="Times New Roman" w:cs="Times New Roman"/>
        </w:rPr>
        <w:t>Universidad Nacional de General San Martín [UNSAM]. (2020). Estatuto de la Universidad Nacional de General San Martín. https://www.unsam.edu.ar/consejo_superior/docs/B.-Estatutos%20UNSAM/1.-%20Estatuto-de-la-Universidad-Nacional-de-San-Martin-2020.pdf</w:t>
      </w:r>
    </w:p>
    <w:p w14:paraId="6E498EC1" w14:textId="77777777" w:rsidR="00426D0B" w:rsidRPr="00426D0B" w:rsidRDefault="00426D0B" w:rsidP="00426D0B">
      <w:pPr>
        <w:spacing w:line="240" w:lineRule="auto"/>
        <w:jc w:val="both"/>
        <w:rPr>
          <w:rFonts w:ascii="Times New Roman" w:hAnsi="Times New Roman" w:cs="Times New Roman"/>
        </w:rPr>
      </w:pPr>
      <w:r w:rsidRPr="00426D0B">
        <w:rPr>
          <w:rFonts w:ascii="Times New Roman" w:hAnsi="Times New Roman" w:cs="Times New Roman"/>
        </w:rPr>
        <w:t>Universidad Nacional de General Sarmiento [UNGS]. (2017). Estatuto de la Universidad Nacional de General Sarmiento. https://www.ungs.edu.ar/wp-content/uploads/2019/11/Estatuto-2017.pdf</w:t>
      </w:r>
    </w:p>
    <w:p w14:paraId="16F66EB0" w14:textId="77777777" w:rsidR="00426D0B" w:rsidRPr="00426D0B" w:rsidRDefault="00426D0B" w:rsidP="00426D0B">
      <w:pPr>
        <w:spacing w:line="240" w:lineRule="auto"/>
        <w:jc w:val="both"/>
        <w:rPr>
          <w:rFonts w:ascii="Times New Roman" w:hAnsi="Times New Roman" w:cs="Times New Roman"/>
        </w:rPr>
      </w:pPr>
      <w:r w:rsidRPr="00426D0B">
        <w:rPr>
          <w:rFonts w:ascii="Times New Roman" w:hAnsi="Times New Roman" w:cs="Times New Roman"/>
        </w:rPr>
        <w:t>Universidad Nacional de José C. Paz [UNPAZ]. (2015). Estatuto de la Universidad Nacional de José C. Paz. https://www.unpaz.edu.ar/node/20?language_content_entity=und</w:t>
      </w:r>
    </w:p>
    <w:p w14:paraId="0701110F" w14:textId="77777777" w:rsidR="00426D0B" w:rsidRPr="00426D0B" w:rsidRDefault="00426D0B" w:rsidP="00426D0B">
      <w:pPr>
        <w:spacing w:line="240" w:lineRule="auto"/>
        <w:jc w:val="both"/>
        <w:rPr>
          <w:rFonts w:ascii="Times New Roman" w:hAnsi="Times New Roman" w:cs="Times New Roman"/>
        </w:rPr>
      </w:pPr>
      <w:r w:rsidRPr="00426D0B">
        <w:rPr>
          <w:rFonts w:ascii="Times New Roman" w:hAnsi="Times New Roman" w:cs="Times New Roman"/>
        </w:rPr>
        <w:t>Universidad Nacional de Moreno [UNM]. (2013). Reglamento general de evaluación interna y proceso de autoevaluación institucional. https://www.unm.edu.ar/index.php/la-unm/evaluacion-institucional</w:t>
      </w:r>
    </w:p>
    <w:p w14:paraId="4EF82BFD" w14:textId="77777777" w:rsidR="00426D0B" w:rsidRPr="00426D0B" w:rsidRDefault="00426D0B" w:rsidP="00426D0B">
      <w:pPr>
        <w:spacing w:line="240" w:lineRule="auto"/>
        <w:jc w:val="both"/>
        <w:rPr>
          <w:rFonts w:ascii="Times New Roman" w:hAnsi="Times New Roman" w:cs="Times New Roman"/>
        </w:rPr>
      </w:pPr>
      <w:r w:rsidRPr="00426D0B">
        <w:rPr>
          <w:rFonts w:ascii="Times New Roman" w:hAnsi="Times New Roman" w:cs="Times New Roman"/>
        </w:rPr>
        <w:t>Universidad Nacional de Quilmes [UNQ]. (2013). Estatuto de la Universidad Nacional de Quilmes. https://www.unq.edu.ar/49-estatuto-universitario-normas-y-protocolos/</w:t>
      </w:r>
    </w:p>
    <w:p w14:paraId="21BC63F3" w14:textId="77777777" w:rsidR="00426D0B" w:rsidRPr="00426D0B" w:rsidRDefault="00426D0B" w:rsidP="00426D0B">
      <w:pPr>
        <w:spacing w:line="240" w:lineRule="auto"/>
        <w:jc w:val="both"/>
        <w:rPr>
          <w:rFonts w:ascii="Times New Roman" w:hAnsi="Times New Roman" w:cs="Times New Roman"/>
        </w:rPr>
      </w:pPr>
      <w:r w:rsidRPr="00426D0B">
        <w:rPr>
          <w:rFonts w:ascii="Times New Roman" w:hAnsi="Times New Roman" w:cs="Times New Roman"/>
        </w:rPr>
        <w:t>Universidad Nacional de Quilmes [UNQ]. (2019). Informe de autoevaluación institucional 2018-2019. https://transparencia.unq.edu.ar/wp-content/uploads/2024/07/Evaluacion-CONEAU-2019-UNQ.pdf</w:t>
      </w:r>
    </w:p>
    <w:p w14:paraId="53532F5A" w14:textId="77777777" w:rsidR="00426D0B" w:rsidRPr="00426D0B" w:rsidRDefault="00426D0B" w:rsidP="00426D0B">
      <w:pPr>
        <w:spacing w:line="240" w:lineRule="auto"/>
        <w:jc w:val="both"/>
        <w:rPr>
          <w:rFonts w:ascii="Times New Roman" w:hAnsi="Times New Roman" w:cs="Times New Roman"/>
        </w:rPr>
      </w:pPr>
      <w:r w:rsidRPr="00426D0B">
        <w:rPr>
          <w:rFonts w:ascii="Times New Roman" w:hAnsi="Times New Roman" w:cs="Times New Roman"/>
        </w:rPr>
        <w:t>Universidad Nacional de Tres de Febrero [UNTREF]. (s.f.). Informe de autoevaluación institucional. https://untref.edu.ar/uploads/Documentos/evaluacion-institucional/AUTOEVALUACION%20UNTREF.pdf</w:t>
      </w:r>
    </w:p>
    <w:p w14:paraId="394C73E0" w14:textId="77777777" w:rsidR="00426D0B" w:rsidRPr="00426D0B" w:rsidRDefault="00426D0B" w:rsidP="00426D0B">
      <w:pPr>
        <w:spacing w:line="240" w:lineRule="auto"/>
        <w:jc w:val="both"/>
        <w:rPr>
          <w:rFonts w:ascii="Times New Roman" w:hAnsi="Times New Roman" w:cs="Times New Roman"/>
        </w:rPr>
      </w:pPr>
      <w:r w:rsidRPr="00426D0B">
        <w:rPr>
          <w:rFonts w:ascii="Times New Roman" w:hAnsi="Times New Roman" w:cs="Times New Roman"/>
        </w:rPr>
        <w:t>Universidad Nacional del Oeste [UNO]. (2013). Estatuto de la Universidad Nacional del Oeste. https://uno.edu.ar/index.php/institucional/departamentos</w:t>
      </w:r>
    </w:p>
    <w:p w14:paraId="7E83515B" w14:textId="45062C98" w:rsidR="001923DC" w:rsidRPr="007A03CB" w:rsidRDefault="00426D0B" w:rsidP="00426D0B">
      <w:pPr>
        <w:spacing w:line="240" w:lineRule="auto"/>
        <w:jc w:val="both"/>
        <w:rPr>
          <w:rFonts w:ascii="Times New Roman" w:hAnsi="Times New Roman" w:cs="Times New Roman"/>
          <w:lang w:val="pt-BR"/>
        </w:rPr>
      </w:pPr>
      <w:r w:rsidRPr="00426D0B">
        <w:rPr>
          <w:rFonts w:ascii="Times New Roman" w:hAnsi="Times New Roman" w:cs="Times New Roman"/>
        </w:rPr>
        <w:t>Zangrossi, G. (2013). Las universidades del conurbano bonaerense: impacto, desafíos y perspectivas. X Jornadas de Sociología, Facultad de Ciencias Sociales, UBA.</w:t>
      </w:r>
    </w:p>
    <w:sectPr w:rsidR="001923DC" w:rsidRPr="007A03CB" w:rsidSect="00701F64">
      <w:headerReference w:type="default" r:id="rId6"/>
      <w:footerReference w:type="default" r:id="rId7"/>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CE98F" w14:textId="77777777" w:rsidR="00136B2C" w:rsidRPr="00B1569B" w:rsidRDefault="00136B2C" w:rsidP="00C802F5">
      <w:pPr>
        <w:spacing w:after="0" w:line="240" w:lineRule="auto"/>
      </w:pPr>
      <w:r w:rsidRPr="00B1569B">
        <w:separator/>
      </w:r>
    </w:p>
  </w:endnote>
  <w:endnote w:type="continuationSeparator" w:id="0">
    <w:p w14:paraId="08B79C1C" w14:textId="77777777" w:rsidR="00136B2C" w:rsidRPr="00B1569B" w:rsidRDefault="00136B2C" w:rsidP="00C802F5">
      <w:pPr>
        <w:spacing w:after="0" w:line="240" w:lineRule="auto"/>
      </w:pPr>
      <w:r w:rsidRPr="00B156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1569B" w:rsidRDefault="00BA642E">
    <w:pPr>
      <w:pStyle w:val="Piedepgina"/>
    </w:pPr>
    <w:r w:rsidRPr="00B1569B">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1569B"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C63EC" w14:textId="77777777" w:rsidR="00136B2C" w:rsidRPr="00B1569B" w:rsidRDefault="00136B2C" w:rsidP="00C802F5">
      <w:pPr>
        <w:spacing w:after="0" w:line="240" w:lineRule="auto"/>
      </w:pPr>
      <w:r w:rsidRPr="00B1569B">
        <w:separator/>
      </w:r>
    </w:p>
  </w:footnote>
  <w:footnote w:type="continuationSeparator" w:id="0">
    <w:p w14:paraId="52191AF9" w14:textId="77777777" w:rsidR="00136B2C" w:rsidRPr="00B1569B" w:rsidRDefault="00136B2C" w:rsidP="00C802F5">
      <w:pPr>
        <w:spacing w:after="0" w:line="240" w:lineRule="auto"/>
      </w:pPr>
      <w:r w:rsidRPr="00B156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1569B" w:rsidRDefault="00C802F5" w:rsidP="00C802F5">
    <w:pPr>
      <w:pStyle w:val="Encabezado"/>
      <w:jc w:val="center"/>
    </w:pPr>
    <w:r w:rsidRPr="00B1569B">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36B2C"/>
    <w:rsid w:val="001816D6"/>
    <w:rsid w:val="00185F5E"/>
    <w:rsid w:val="001923DC"/>
    <w:rsid w:val="002327C3"/>
    <w:rsid w:val="002C615B"/>
    <w:rsid w:val="002E2078"/>
    <w:rsid w:val="00312392"/>
    <w:rsid w:val="004040C0"/>
    <w:rsid w:val="00426D0B"/>
    <w:rsid w:val="00437E9C"/>
    <w:rsid w:val="00550766"/>
    <w:rsid w:val="005A501B"/>
    <w:rsid w:val="005F3B2E"/>
    <w:rsid w:val="00701F64"/>
    <w:rsid w:val="007A03CB"/>
    <w:rsid w:val="007A1934"/>
    <w:rsid w:val="007B5B5F"/>
    <w:rsid w:val="007D233B"/>
    <w:rsid w:val="0085070B"/>
    <w:rsid w:val="00A17247"/>
    <w:rsid w:val="00AE08E1"/>
    <w:rsid w:val="00B1569B"/>
    <w:rsid w:val="00BA642E"/>
    <w:rsid w:val="00BC236F"/>
    <w:rsid w:val="00BE2AEA"/>
    <w:rsid w:val="00C802F5"/>
    <w:rsid w:val="00C96B2C"/>
    <w:rsid w:val="00CC04C1"/>
    <w:rsid w:val="00D051DB"/>
    <w:rsid w:val="00D674C3"/>
    <w:rsid w:val="00D843E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table" w:styleId="Tablaconcuadrcula">
    <w:name w:val="Table Grid"/>
    <w:basedOn w:val="Tablanormal"/>
    <w:uiPriority w:val="59"/>
    <w:rsid w:val="00B1569B"/>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17</Pages>
  <Words>6824</Words>
  <Characters>43403</Characters>
  <Application>Microsoft Office Word</Application>
  <DocSecurity>0</DocSecurity>
  <Lines>797</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Guillermo Gelonch</cp:lastModifiedBy>
  <cp:revision>4</cp:revision>
  <dcterms:created xsi:type="dcterms:W3CDTF">2026-07-11T23:48:00Z</dcterms:created>
  <dcterms:modified xsi:type="dcterms:W3CDTF">2026-07-11T23:51:00Z</dcterms:modified>
</cp:coreProperties>
</file>