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2">
      <w:pPr>
        <w:jc w:val="center"/>
        <w:rPr>
          <w:rFonts w:ascii="Arial" w:cs="Arial" w:eastAsia="Arial" w:hAnsi="Arial"/>
          <w:color w:val="cb6d04"/>
          <w:sz w:val="33"/>
          <w:szCs w:val="33"/>
        </w:rPr>
      </w:pPr>
      <w:r w:rsidDel="00000000" w:rsidR="00000000" w:rsidRPr="00000000">
        <w:rPr>
          <w:rFonts w:ascii="Times New Roman" w:cs="Times New Roman" w:eastAsia="Times New Roman" w:hAnsi="Times New Roman"/>
          <w:b w:val="1"/>
          <w:bCs w:val="1"/>
          <w:rtl w:val="0"/>
        </w:rPr>
        <w:t xml:space="preserve">Análisis crítico sobre las reformulaciones de la temporo espacialidad en la Educación Superior</w:t>
      </w:r>
      <w:r w:rsidDel="00000000" w:rsidR="00000000" w:rsidRPr="00000000">
        <w:rPr>
          <w:rFonts w:ascii="Arial" w:cs="Arial" w:eastAsia="Arial" w:hAnsi="Arial"/>
          <w:color w:val="cb6d04"/>
          <w:sz w:val="33"/>
          <w:szCs w:val="33"/>
          <w:rtl w:val="0"/>
        </w:rPr>
        <w:t xml:space="preserve">.</w:t>
      </w:r>
    </w:p>
    <w:p w:rsidR="00000000" w:rsidDel="00000000" w:rsidP="00000000" w:rsidRDefault="00000000" w:rsidRPr="00000000" w14:paraId="0000000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Vercellino Soledad</w:t>
      </w:r>
    </w:p>
    <w:p w:rsidR="00000000" w:rsidDel="00000000" w:rsidP="00000000" w:rsidRDefault="00000000" w:rsidRPr="00000000" w14:paraId="00000005">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Centro Interdisciplinario de Estudios sobre Derechos, Inclusión y Sociedad. Universidad Nacional de Río Negro.</w:t>
      </w:r>
    </w:p>
    <w:p w:rsidR="00000000" w:rsidDel="00000000" w:rsidP="00000000" w:rsidRDefault="00000000" w:rsidRPr="00000000" w14:paraId="00000006">
      <w:pPr>
        <w:spacing w:after="0" w:line="240" w:lineRule="auto"/>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Complejo Universitario Regional Zonas Atlántica y Sur. Universidad Nacional del Comahue</w:t>
      </w:r>
    </w:p>
    <w:p w:rsidR="00000000" w:rsidDel="00000000" w:rsidP="00000000" w:rsidRDefault="00000000" w:rsidRPr="00000000" w14:paraId="00000007">
      <w:pPr>
        <w:spacing w:after="0" w:line="240" w:lineRule="auto"/>
        <w:jc w:val="right"/>
        <w:rPr>
          <w:rFonts w:ascii="Times New Roman" w:cs="Times New Roman" w:eastAsia="Times New Roman" w:hAnsi="Times New Roman"/>
        </w:rPr>
      </w:pPr>
      <w:hyperlink r:id="rId8">
        <w:r w:rsidDel="00000000" w:rsidR="00000000" w:rsidRPr="00000000">
          <w:rPr>
            <w:rFonts w:ascii="Times New Roman" w:cs="Times New Roman" w:eastAsia="Times New Roman" w:hAnsi="Times New Roman"/>
            <w:color w:val="1155cc"/>
            <w:u w:val="single"/>
            <w:rtl w:val="0"/>
          </w:rPr>
          <w:t xml:space="preserve">svercellino@unrn.edu.ar</w:t>
        </w:r>
      </w:hyperlink>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9">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Resumen: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En este tiempo liminal y crítico que se define como postpandemia, se advierte un fuerte esfuerzo desde la oficialidad de reformular el campo de las nociones disponibles para reconceptualizar las modalidades educativas de educación presencial / educación a distancia. Así, en el caso del sistema universitario argentino, primeramente, han aparecido documentos procedentes de instancias con funciones de evaluación, regulación y fiscalización de las universidades que reconocen el impacto que tuvo en tiempos de pandemia la “reconfiguración de las opciones pedagógicas” de educación presencial y a distancia en clave de inclusión, a la vez que se expresan intentando definir esas nuevas opciones. Esos esfuerzos han culminado con el dictado de la Resolución del Ministerio de Educación de la Nación N° 2599/2023 que modifica los alcances de la presencialidad y la educación a distancia. En algunas universidades también se han avanzado en algunas innovaciones (Vercellino, 2023).</w:t>
      </w:r>
    </w:p>
    <w:p w:rsidR="00000000" w:rsidDel="00000000" w:rsidP="00000000" w:rsidRDefault="00000000" w:rsidRPr="00000000" w14:paraId="0000000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ese marco, esta comunicación presenta avances preliminares de una investigación posdoctoral. En particular, se identifican y analizan investigaciones sobre la temporo-espacialidad en educación superior desarrolladas en el contexto nacional e internacional a partir de la pandemia por COVID 19 y relevadas en una exhaustiva revisión de literatura.</w:t>
      </w:r>
      <w:r w:rsidDel="00000000" w:rsidR="00000000" w:rsidRPr="00000000">
        <w:rPr>
          <w:rtl w:val="0"/>
        </w:rPr>
      </w:r>
    </w:p>
    <w:p w:rsidR="00000000" w:rsidDel="00000000" w:rsidP="00000000" w:rsidRDefault="00000000" w:rsidRPr="00000000" w14:paraId="0000000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mostrará que si bien no es poca la investigación sobre los efectos de la pandemia y post pandemia en la ES el análisis teórico y empírico de la reconfiguración de las coordenadas temporo espaciales aparece como un área de vacancia</w:t>
      </w:r>
      <w:r w:rsidDel="00000000" w:rsidR="00000000" w:rsidRPr="00000000">
        <w:rPr>
          <w:rFonts w:ascii="Roboto" w:cs="Roboto" w:eastAsia="Roboto" w:hAnsi="Roboto"/>
          <w:sz w:val="20"/>
          <w:szCs w:val="20"/>
          <w:highlight w:val="white"/>
          <w:rtl w:val="0"/>
        </w:rPr>
        <w:t xml:space="preserve">.</w:t>
      </w: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Palabras clave: </w:t>
      </w:r>
      <w:r w:rsidDel="00000000" w:rsidR="00000000" w:rsidRPr="00000000">
        <w:rPr>
          <w:rFonts w:ascii="Times New Roman" w:cs="Times New Roman" w:eastAsia="Times New Roman" w:hAnsi="Times New Roman"/>
          <w:rtl w:val="0"/>
        </w:rPr>
        <w:t xml:space="preserve">Tiempo educativo. Espacio educativo. Configuración de la experiencia educativa. Educación Superior.</w:t>
      </w:r>
      <w:r w:rsidDel="00000000" w:rsidR="00000000" w:rsidRPr="00000000">
        <w:rPr>
          <w:rtl w:val="0"/>
        </w:rPr>
      </w:r>
    </w:p>
    <w:p w:rsidR="00000000" w:rsidDel="00000000" w:rsidP="00000000" w:rsidRDefault="00000000" w:rsidRPr="00000000" w14:paraId="0000000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Introducción</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este tiempo liminal y crítico que se define como postpandemia, se advierte un fuerte esfuerzo desde la oficialidad de reformular el campo de las nociones disponibles para reconceptualizar las modalidades educativas de educación presencial / educación a distancia. Así, en el caso del sistema universitario argentino, primeramente, han aparecido documentos procedentes de instancias con funciones de evaluación, regulación y fiscalización de las universidades</w:t>
      </w:r>
      <w:r w:rsidDel="00000000" w:rsidR="00000000" w:rsidRPr="00000000">
        <w:rPr>
          <w:rFonts w:ascii="Times New Roman" w:cs="Times New Roman" w:eastAsia="Times New Roman" w:hAnsi="Times New Roman"/>
          <w:vertAlign w:val="superscript"/>
        </w:rPr>
        <w:footnoteReference w:customMarkFollows="0" w:id="0"/>
      </w:r>
      <w:r w:rsidDel="00000000" w:rsidR="00000000" w:rsidRPr="00000000">
        <w:rPr>
          <w:rFonts w:ascii="Times New Roman" w:cs="Times New Roman" w:eastAsia="Times New Roman" w:hAnsi="Times New Roman"/>
          <w:rtl w:val="0"/>
        </w:rPr>
        <w:t xml:space="preserve"> que reconocen el impacto que tuvo en tiempos de pandemia la “reconfiguración de las opciones pedagógicas” de educación presencial y a distancia en clave de inclusión, a la vez que se expresan intentando definir esas nuevas opciones. Esos esfuerzos han culminado con el dictado de la Resolución del Ministerio de Educación de la Nación N° 2599/2023 que modifica los alcances de la presencialidad y la educación a distancia. En algunas universidades también se han avanzado en algunas innovaciones (Vercellino, 2023).</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Estos esfuerzos normativos procuran nominar nuevas formas de articulación de la dimensión temporal de la enseñanza y el aprendizaje (sincronía / asincronía) y de su dimensión espacial (las relaciones topológicas de coincidencia y de proximidad), que configuran la experiencia educativa contemporánea en la ES, como resto o legado (según se evalúe) de la pandemia.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Tiempo y espacio conforman unas de las invariantes estructurales de toda experiencia educativa y se encuentran articulados, en arreglos contingentes, a otras invariantes como las formas de organizar los conocimientos y las personas (Vercellino, 2020). Si bien no es poca la investigación sobre los efectos de la pandemia y post pandemia en la ES el análisis teórico y empírico de la reconfiguración de las coordenadas temporo espaciales aparece como un área de vacancia.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ese marco, esta comunicación presenta avances preliminares de una investigación posdoctoral. En particular, se identifican y analizan investigaciones sobre la temporo-espacialidad en educación superior desarrolladas en el contexto nacional e internacional a partir de la pandemia por COVID 19 y relevadas en una exhaustiva revisión de literatura.</w:t>
      </w:r>
    </w:p>
    <w:p w:rsidR="00000000" w:rsidDel="00000000" w:rsidP="00000000" w:rsidRDefault="00000000" w:rsidRPr="00000000" w14:paraId="00000012">
      <w:pPr>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ff0000"/>
          <w:rtl w:val="0"/>
        </w:rPr>
        <w:t xml:space="preserve">Este estudio adopta un enfoque cualitativo de tipo descriptivo, basado en una revisión sistemática de literatura. </w:t>
      </w:r>
      <w:r w:rsidDel="00000000" w:rsidR="00000000" w:rsidRPr="00000000">
        <w:rPr>
          <w:rFonts w:ascii="Times New Roman" w:cs="Times New Roman" w:eastAsia="Times New Roman" w:hAnsi="Times New Roman"/>
          <w:rtl w:val="0"/>
        </w:rPr>
        <w:t xml:space="preserve">Las palabras clave para recopilar los artículos de investigación publicados fueron: “education y postpandemic”, “educación y postpandemia”, “educação e pós-pandemia”; “tiempo educativo”; “school time”; “espacio educativo”, “school space”. Los términos se ajustaron a los descriptores controlados de cada base de datos y se utilizaron operadores booleanos (AND, OR) para refinar los resultados. </w:t>
      </w:r>
    </w:p>
    <w:p w:rsidR="00000000" w:rsidDel="00000000" w:rsidP="00000000" w:rsidRDefault="00000000" w:rsidRPr="00000000" w14:paraId="00000013">
      <w:pPr>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artículos se recopilaron de las bases de datos de Web of Science,  MIAR (Matriz de Información para el Análisis de Revistas) y SciELO. Se recurrió al motor de búsqueda Google Scholar y la herramienta de inteligencia artificial Elicit la automatiza tareas de búsqueda y análisis bibliográfico, apoyándose en bases de datos abiertas como Semantic Scholar. </w:t>
      </w:r>
    </w:p>
    <w:p w:rsidR="00000000" w:rsidDel="00000000" w:rsidP="00000000" w:rsidRDefault="00000000" w:rsidRPr="00000000" w14:paraId="00000014">
      <w:pPr>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establecieron criterios de inclusión y exclusión para recopilar los artículos requeridos. Los criterios de inclusión fueron:</w:t>
      </w:r>
    </w:p>
    <w:p w:rsidR="00000000" w:rsidDel="00000000" w:rsidP="00000000" w:rsidRDefault="00000000" w:rsidRPr="00000000" w14:paraId="00000015">
      <w:pPr>
        <w:numPr>
          <w:ilvl w:val="0"/>
          <w:numId w:val="1"/>
        </w:numPr>
        <w:spacing w:after="0" w:afterAutospacing="0"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Año de publicación de 2021 a julio del 2025. Se excluyeron los estudios publicados antes del 2021 pues nos interesa lo desarrollado postpandemia.</w:t>
      </w:r>
    </w:p>
    <w:p w:rsidR="00000000" w:rsidDel="00000000" w:rsidP="00000000" w:rsidRDefault="00000000" w:rsidRPr="00000000" w14:paraId="00000016">
      <w:pPr>
        <w:numPr>
          <w:ilvl w:val="0"/>
          <w:numId w:val="1"/>
        </w:numPr>
        <w:spacing w:after="0" w:afterAutospacing="0"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referencia al nivel universitario o la educación superior, excluyéndose otros niveles educativos;</w:t>
      </w:r>
    </w:p>
    <w:p w:rsidR="00000000" w:rsidDel="00000000" w:rsidP="00000000" w:rsidRDefault="00000000" w:rsidRPr="00000000" w14:paraId="00000017">
      <w:pPr>
        <w:numPr>
          <w:ilvl w:val="0"/>
          <w:numId w:val="1"/>
        </w:numPr>
        <w:spacing w:after="0" w:afterAutospacing="0" w:line="259" w:lineRule="auto"/>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Artículos de acceso abierto (open access), es decir, de acceso inmediato, sin requerimientos de registro, suscripción o pago; </w:t>
      </w:r>
    </w:p>
    <w:p w:rsidR="00000000" w:rsidDel="00000000" w:rsidP="00000000" w:rsidRDefault="00000000" w:rsidRPr="00000000" w14:paraId="00000018">
      <w:pPr>
        <w:numPr>
          <w:ilvl w:val="0"/>
          <w:numId w:val="1"/>
        </w:numPr>
        <w:spacing w:after="0" w:afterAutospacing="0"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Artículos publicados en revistas especializadas y arbitradas mediante el sistema de </w:t>
      </w:r>
      <w:hyperlink r:id="rId9">
        <w:r w:rsidDel="00000000" w:rsidR="00000000" w:rsidRPr="00000000">
          <w:rPr>
            <w:rFonts w:ascii="Times New Roman" w:cs="Times New Roman" w:eastAsia="Times New Roman" w:hAnsi="Times New Roman"/>
            <w:rtl w:val="0"/>
          </w:rPr>
          <w:t xml:space="preserve">revisión por pares</w:t>
        </w:r>
      </w:hyperlink>
      <w:r w:rsidDel="00000000" w:rsidR="00000000" w:rsidRPr="00000000">
        <w:rPr>
          <w:rFonts w:ascii="Times New Roman" w:cs="Times New Roman" w:eastAsia="Times New Roman" w:hAnsi="Times New Roman"/>
          <w:rtl w:val="0"/>
        </w:rPr>
        <w:t xml:space="preserve"> (peer review)</w:t>
      </w:r>
    </w:p>
    <w:p w:rsidR="00000000" w:rsidDel="00000000" w:rsidP="00000000" w:rsidRDefault="00000000" w:rsidRPr="00000000" w14:paraId="00000019">
      <w:pPr>
        <w:numPr>
          <w:ilvl w:val="0"/>
          <w:numId w:val="1"/>
        </w:numPr>
        <w:spacing w:after="0" w:afterAutospacing="0"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Artículos disponibles en español, inglés o portugués.</w:t>
      </w:r>
    </w:p>
    <w:p w:rsidR="00000000" w:rsidDel="00000000" w:rsidP="00000000" w:rsidRDefault="00000000" w:rsidRPr="00000000" w14:paraId="0000001A">
      <w:pPr>
        <w:numPr>
          <w:ilvl w:val="0"/>
          <w:numId w:val="1"/>
        </w:numPr>
        <w:spacing w:after="0" w:afterAutospacing="0"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accesibilidad total del artículo, y</w:t>
      </w:r>
    </w:p>
    <w:p w:rsidR="00000000" w:rsidDel="00000000" w:rsidP="00000000" w:rsidRDefault="00000000" w:rsidRPr="00000000" w14:paraId="0000001B">
      <w:pPr>
        <w:numPr>
          <w:ilvl w:val="0"/>
          <w:numId w:val="1"/>
        </w:numPr>
        <w:spacing w:line="259"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Estudios que presenten evidencia empírica, análisis teóricos o revisiones sistemáticas relevantes al tema, se excluyen publicaciones tipo ensayo.</w:t>
      </w:r>
    </w:p>
    <w:p w:rsidR="00000000" w:rsidDel="00000000" w:rsidP="00000000" w:rsidRDefault="00000000" w:rsidRPr="00000000" w14:paraId="0000001C">
      <w:pPr>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proceso de selección de estudios desandó las siguientes actividades: a) se recuperaron un total de 160 registros a través de las estrategias de búsqueda en las bases de datos y fuentes mencionadas; b) cribado: se eliminaron artículos duplicados y se revisaron los títulos y resúmenes de los registros restantes, excluyendo los que no cumplieron con los criterios de inclusión. c) elegibilidad, finalmente, se incluyeron 38 estudios siguiendo los criterios de confiabilidad de Lincoln y Guba (1985) para la investigación cualitativa, por entender que son alternativas a las medidas de calidad positivistas. Se valoró si los estudios explicaban claramente su diseño, procedimientos y triangulación de datos (criterio de credibilidad); se revisó si incluían descripciones detalladas del contexto y de los participantes (transferibilidad); se consideró su fiabilidad, es decir, la coherencia entre objetivos, métodos y resultados y, finalmente, se valoró la presencia de justificaciones argumentadas, citas directas y reflexividad del investigador (confirmabilidad).</w:t>
      </w:r>
    </w:p>
    <w:p w:rsidR="00000000" w:rsidDel="00000000" w:rsidP="00000000" w:rsidRDefault="00000000" w:rsidRPr="00000000" w14:paraId="0000001D">
      <w:pPr>
        <w:spacing w:line="259"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artículos seleccionados fueron leídos, traducidos (en los casos necesarios) y se elaboraron resúmenes ampliados mixtos (textuales y reconstruidos) en los que se registró el objetivo, metodología y principales hallazgos. </w:t>
      </w:r>
    </w:p>
    <w:p w:rsidR="00000000" w:rsidDel="00000000" w:rsidP="00000000" w:rsidRDefault="00000000" w:rsidRPr="00000000" w14:paraId="0000001E">
      <w:pPr>
        <w:spacing w:line="259" w:lineRule="auto"/>
        <w:jc w:val="both"/>
        <w:rPr>
          <w:color w:val="ff0000"/>
          <w:sz w:val="22"/>
          <w:szCs w:val="22"/>
        </w:rPr>
      </w:pPr>
      <w:r w:rsidDel="00000000" w:rsidR="00000000" w:rsidRPr="00000000">
        <w:rPr>
          <w:rFonts w:ascii="Times New Roman" w:cs="Times New Roman" w:eastAsia="Times New Roman" w:hAnsi="Times New Roman"/>
          <w:rtl w:val="0"/>
        </w:rPr>
        <w:t xml:space="preserve">Al tratarse de una revisión de literatura, no se requirió aprobación de un comité de ética. Sin embargo, se respetaron los principios éticos de la investigación, asegurando la correcta citación y reconocimiento de las fuentes originales, y evitando cualquier forma de plagio o uso indebido de la información.</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Desarrollo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artículos incluidos en esta revisión proceden de 21 países de cuatro continentes (ver Gráfico N 1), a saber: Argentina (Basso, 2024; Ferrarelli, 2021; Iriarte, Cataldi y Rimoldi, 2024; Roig, 2024; Aranciaga y Ambrosino, 2022; Plaza Schaefer, 2024 y González, 2024); Australia (Wardak, Vallis y Bryant, 2022 y Wardak y Zeivots, 2025); Bangladesh (Chowdhury y Behak, 2024); Colombia (Garzon Diaz, Villamil Duarte, Velasco Forero y Herrera Jacobo, 2024); Croacia (Jardas Antonić, Srok y Vretenar, 2024); Egipto (Morsi, 2024); España (Lorente, Ibáñez, Bravo, y Lucia, 2024; Sato, Condes Moreno, Rubio-Zarapuz, Dalamitros, Yañez-Sepulveda, Tornero-Aguilera y Clemente-Suárez, 2023); Filipina (Danial, Ladjahali y Alih, 2024); Francia (Meirieu, 2022); Grecia (Papaioannou, Volakaki, Kokolakis y Vouyioukas, 2023); Hong Kong (Kee, Kuys y Zhang, 2025); Hungría (Feyisa y Kyaw, 2025); India (Alrefaee, Khan y Alrefaee, 2025 y Solomon, Polavarapu, Hepsiba y Gundabattini, 2025); Iran (Mohammadi y Zandi, 2025); Italia (Lagrutta, Carlucci, Santarsiero, Schiuma y Lerro, 2023); Kazakhstan (Khamitova, 2023);  México (Alvarez Contreras, 2024 y Victoria, Rosales, Hernández, De la Rosa Herrera, Aristeo y Herrera, 2023); Reino Unido (Elkington y Dickinson, 2025; Middleton, 2025;  Gravett, Baughan, Rao y Kinchin, 2023); Rusia (Moshnyaga, 2024); Sudáfrica (van den Berg, 2025) y Suiza (Christou, Parmaxi, Nicolaou y Pashia, 2023)</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Gráfico N° 1 Distribución geográfica de las investigaciones reseñadas.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399730" cy="3340100"/>
            <wp:effectExtent b="0" l="0" r="0" t="0"/>
            <wp:docPr id="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39973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Fuente: elaboración propia.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Resulta significativo que la búsqueda no haya arrojado trabajos publicados en revistas norteamericanas. Una conjetura adjudica tal restricción a que para este trabajo se recurre solo a publicaciones de acceso abierto.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51,5 % de las publicaciones que integran la muestra se refieren a trabajos empíricos, el 33,3 % a revisiones de literatura y el 15,2% a reflexiones teóricas.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Debido a la extensión de esta comunicación, nos concentraremos sólo en las publicaciones que son en sí mismas revisiones de literatura, dejando para otra instancia de intercambio las investigaciones empíricas identificadas.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revisiones de literatura que se reseñan en esta comunicación han sido publicadas entre el 2021 y el 2025. Las bases de datos utilizadas son diversas: Scopus en seis artículos, Web of Science en cuatro, ERIC y Google Scholar en tres, Science Direct y ResearchGate en dos. También se recurre a AcademiaEdu, Academic Search Complete, Dialnet, Dimensions, DOAB, DOAJ, Educación (IBERTIC) Embase, Latindex, LILACS, ProQuest, Psicodoc, PubMed, Redalyc, Redib, Scielo, SocArXiv y Sports Discuss. También se referencia publicaciones de instituciones como el Banco Interamericano de Desarrollo, CLACSO, Instituto Iberoamericano de TIC; Instituto Internacional de la UNESCO para la Educación Superior en América Latina y el Caribe (en dos publicaciones) y el Instituto Nacional de Tecnologías Educativas y Formación del Profesorado (INTEF).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trabajos consultados se basan en una base muy dispar de artículos, de 20 artículos en el trabajo de  Feyisa y Kyaw (2025) a 1396 documentos relevados en Alrefaee, Khan y Alrefaee (2025) y 5810 en Srok, Antonić y Vretenar (2024).</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foco está puesto en investigaciones sobre </w:t>
      </w:r>
      <w:r w:rsidDel="00000000" w:rsidR="00000000" w:rsidRPr="00000000">
        <w:rPr>
          <w:rFonts w:ascii="Times New Roman" w:cs="Times New Roman" w:eastAsia="Times New Roman" w:hAnsi="Times New Roman"/>
          <w:rtl w:val="0"/>
        </w:rPr>
        <w:t xml:space="preserve">espacios o entornos</w:t>
      </w:r>
      <w:r w:rsidDel="00000000" w:rsidR="00000000" w:rsidRPr="00000000">
        <w:rPr>
          <w:rFonts w:ascii="Times New Roman" w:cs="Times New Roman" w:eastAsia="Times New Roman" w:hAnsi="Times New Roman"/>
          <w:rtl w:val="0"/>
        </w:rPr>
        <w:t xml:space="preserve"> de aprendizaje en Educación Superior en la denominada postpandemia (varios incluyen también el período pre pandémico). La noción de espacio o entorno viene acompañada de calificaciones como “innovadores” o “eficaces”. Se analiza su vínculo con los resultados de aprendizaje (o demandas cognitivas, emocionales y comunicativas), la participación estudiantil, se focaliza en su diseño y características y su relación con las estrategias pedagógicas. Un par de trabajos (Srok, Antonić y Vretenar, 2024 y Feyisa y Kyaw, 2025) ponen el foco en el aprendizaje combinado (Srok, Antonić y Vretenar, 2024 y Feyisa y Kyaw, 2025) y, otros tantos en la educación en línea (Alrefaee, Khan y Alrefaee, 2025 y Sato, Condes Moreno, Rubio-Zarapuz, Dalamitros, Yañez-Sepulveda, Tornero-Aguilera y Clemente-Suárez, 2023). La satisfacción y bienestar estudiantil es un tópico en el que coinciden también el relevar las ventajas y desafíos de cada modalidad.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Varios trabajos advierten un crecimiento significativo en la producción de investigación sobre espacios o entornos de aprendizaje en Educación Superior en los últimos diez años, con un aumento distintivo durante 2020-2022/23 (Khamitova, 2023; Srok, Antonić, y Vretenar, 2024; Alrefaee, Khan y Alrefaee, 2025), dando cuenta de la estructura y evolución del campo de investigación (desarrollos temáticos, patrones de publicación). Srok, Antonić, y Vretenar (2024) sostienen que, al comparar el año anterior a la pandemia, 2019, con el 2022, el número de publicaciones aumentó aproximadamente un 69 % y se compara el número de citas en 2019 con el de 2023, el número de citas aumentó aproximadamente un 232,44 %. Alrefaee, Khan y Alrefaee (2025) encuentran que las instituciones médicas emergen como líderes de investigación inesperados. Coincidimos con Lagrutta, Carlucci, Santarsiero, Schiuma y Lerro, (2023) en que la literatura está fragmentada y no ofrece una visión integral y novedosa del espacio de aprendizaje, sus componentes ni su impacto en los procesos de aprendizaje y las dinámicas del conocimiento.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literatura identifica tres tipos principales de espacios de aprendizaje diseñados y utilizados en la educación superior: físicos, virtuales u online e híbridos o combinados que permiten interacciones tanto físicas como virtuales (Christou, Parmaxi, Nicolaou y Pashia, 2023).</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Sostienen que el modelo de enseñanza y aprendizaje combinado o híbrido fue eficaz después de la pandemia (Srok, Antonić y Vretenar, 2024) o se está convirtiendo en la norma en la educación superior pospandemia (Khamitova, 2023). La configuración generalmente aceptada de este tipo de espacio consiste en aulas con acústica, hardware y software de video y audio adecuados, pizarras interactivas, etc. Los estudios demuestran que, si bien existen desafíos tecnológicos y pedagógicos para la implementación de espacios de aprendizaje híbridos o combinados, la transición espacial a un espacio de aprendizaje híbrido es posible mediante compromisos pedagógicos, tecnológicos y organizativos (Khamitova, 2023).</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 compararon los métodos y experiencias de aprendizaje tradicionales con el aprendizaje combinado y enfoques similares, y algunos han concluido que el aprendizaje combinado ofrece mejores resultados de aprendizaje (Srok, Antonić y Vretenar, 2024). La mayoría de los trabajos describieron que los estudiantes están motivados y satisfechos con el modelo (Feyisa y Kyaw, 2025; Srok, Antonić y Vretenar, 2024). Los principales objetivos de esa configuración son la accesibilidad, el aprendizaje autodirigido, la colaboración, el aprendizaje a su propio ritmo, la flexibilidad, la rentabilidad y la mejora del rendimiento (Feyisa y Kyaw, 2025; Papaioannou, Volakaki, Kokolakis y Vouyioukas, 2023 y Srok, Antonić y Vretenar, 2024).</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revisión de literatura de Lagrutta, Carlucci, Santarsiero, Schiuma y Lerro (2023) identifica dimensiones y componentes distintivos de los espacios de aprendizaje, a saber: i) el entorno físico; ii) las herramientas tecnológicas; iii) los recursos organizacionales; iv) los actores y las interacciones; v) la cultura y el ambiente (Lagrutta, Carlucci, Santarsiero, Schiuma y Lerro, 2023). Esas dimensiones son consideradas también por Christou, Parmaxi, Nicolaou y Pashia (2023).</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entorno físico de un espacio de aprendizaje se refiere al espacio donde se desarrolla el aprendizaje. Son características clave de estos espacios: mobiliario, disposición de los asientos, iluminación, temperatura, decoración y acústica. Se prefiere el mobiliario que facilita la interacción entre los participantes, las herramientas y el entorno. Al mismo tiempo, la calidad del aire, el color luminoso y la luz pueden contribuir a crear un espacio de aprendizaje favorable y estimulante (sobre esto también ver Papaioannou, Volakaki, Kokolakis y Vouyioukas, 2023). Un diseño eficaz de un espacio de aprendizaje favorece la participación, la creatividad y la colaboración, con un alto nivel de comodidad y flexibilidad y están orientados y diseñados hacia el alumno y los procesos de aprendizaje y conocimiento, y se caracterizan por su flexibilidad, funcionalidad, participación y empoderamiento. Sostienen que todos los elementos de diseño que caracterizan el espacio deben integrarse en un todo sinérgico. Los investigadores señalaron que los espacios de aprendizaje en espacios emergentes e innovadores. Papaioannou, Volakaki, Kokolakis y Vouyioukas (2023) advierten como una desventaja significativa la posible falta de comunicación interpersonal que se produce en los entornos de aprendizaje convencionales.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dimensión de recursos tecnológicos contempla una combinación de herramientas e infraestructuras tecnológicas que mejorarían los procesos y la dinámica del aprendizaje y el conocimiento, ya que permitiría a los estudiantes acceder a una amplia gama de contenidos y recursos educativos y participar en actividades activas, experienciales y colaborativas. Analiza el uso de diversas herramientas tecnológicas, en particular herramientas básicas y de apoyo, tecnologías avanzadas y 4.0, y software, como, por ejemplo, inteligencia artificial, Internet de las Cosas (IdC), realidad aumentada e inmersiva, plataformas digitales, el metaverso, sensores, algoritmos, plataformas de aprendizaje adaptativo, entre otras. También reconocen las limitaciones de la tecnología, como la necesidad de un procesamiento eficaz de datos y su potencial para crear una sensación de aislamiento y desconexión entre los estudiantes (Lagrutta, Carlucci, Santarsiero, Schiuma y Lerro, 2023).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Los recursos organizacionales incluyen los recursos tangibles e intangibles que apoyan los procesos de aprendizaje y la dinámica del conocimiento dentro de un espacio de aprendizaje. Algunos ejemplos de metodologías referenciados son el aprendizaje basado en proyectos o problemas, el pensamiento de diseño, la narración, las comunidades colaborativas, los videos web, la animación stop-motion narrada, el modelado, la gamificación, la simulación, las aulas invertidas, los procesos basados en contenido, etc. Según la literatura, un objetivo clave para desarrollar nuevos espacios de aprendizaje es comprender qué metodologías apoyan y favorecen la introducción de tecnologías. Otros recursos organizacionales importantes son los recursos económicos y, específicamente, las estrategias financieras adoptadas (Lagrutta, Carlucci, Santarsiero, Schiuma y Lerro, 2023).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a la dimensión de actores e interacciones resaltan que el éxito de un espacio de aprendizaje depende en gran medida de los actores, de cómo participan en las instalaciones y de cómo interactúan entre sí. La naturaleza de las personas o usuarios que participan en los espacios de aprendizaje es amplia. Según la literatura, se pueden identificar dos tipos de actores del conocimiento en un espacio de aprendizaje: proveedores de conocimiento y estudiantes. Coinciden en la importancia de los conocimientos y habilidades previos de los actores involucrados para lograr un desempeño exitoso en los nuevos espacios. Según la literatura, el diseño del espacio de aprendizaje debe promover relaciones positivas y un sentido de pertenencia (Lagrutta, Carlucci, Santarsiero, Schiuma y Lerro, 2023; Sato, Condes Moreno, Rubio-Zarapuz, Dalamitros, Yañez-Sepulveda, Tornero-Aguilera y Clemente-Suárez, 2023).</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dimensión de la cultura y el ambiente identifica el estado de ánimo, las actitudes, las expectativas, las prácticas, las normas y las cualidades sensoriales que distinguen un espacio de aprendizaje. Influye en la eficacia del espacio al aumentar o impedir la motivación, la atención, la creatividad y el nivel de participación de las personas. Un espacio de aprendizaje incluye constructos relacionados con las experiencias vividas por las personas involucradas e influenciadas por su comportamiento. La calidad de un espacio de aprendizaje está fuertemente influenciada por la naturaleza y la orientación de la cultura del participante (Lagrutta, Carlucci, Santarsiero, Schiuma y Lerro, 2023).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la espacialidad virtual u online, los estudios enfatizan en la importancia de una comunicación clara entre instructores y estudiantes y la necesidad de pautas transparentes para las tareas, las evaluaciones y la participación (Sato, Condes Moreno, Rubio-Zarapuz, Dalamitros, Yañez-Sepulveda, Tornero-Aguilera y Clemente-Suárez, 2023). La flexibilidad en el diseño y la instrucción es otra lección fundamental. Las prácticas de evaluación y retroalimentación son otro tópico central, identificándose como buenas prácticas: proporcionar criterios de evaluación claros, ofrecer varios formatos de evaluación, brindar retroalimentación rápida y significativa e incorporar oportunidades de autoevaluación y reflexión (Sato, Condes Moreno, Rubio-Zarapuz, Dalamitros, Yañez-Sepulveda, Tornero-Aguilera y Clemente-Suárez, 2023). También se reconoce la importancia de la comunidad y la interacción social en el aprendizaje en línea. Las estrategias para fomentar la comunidad incluyen proyectos colaborativos, foros de discusión, comunidades en línea y oportunidades de interacción y apoyo entre pares (Sato, Condes Moreno, Rubio-Zarapuz, Dalamitros, Yañez-Sepulveda, Tornero-Aguilera y Clemente-Suárez, 2023).</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literatura también enfatiza en la necesidad de un enfoque holístico de la educación en línea. Los servicios de apoyo integrales, que incluyen asesoramiento académico, servicios profesionales y apoyo de salud mental, deben ser accesibles en formatos en línea. (Sato, Condes Moreno, Rubio-Zarapuz, Dalamitros, Yañez-Sepulveda, Tornero-Aguilera y Clemente-Suárez, 2023).</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Abordar la brecha digital es crucial para el acceso equitativo a la educación en línea. Los esfuerzos para proporcionar acceso a Internet de bajo costo o gratuito y el hardware necesario a los estudiantes desfavorecidos son vitales. (Sato, Condes Moreno, Rubio-Zarapuz, Dalamitros, Yañez-Sepulveda, Tornero-Aguilera y Clemente-Suárez, 2023).</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 novedad sobre la dimensión espacial es el énfasis en la literatura en la sostenibilidad y los resguardos éticos. La sostenibilidad y los factores ambientales en el diseño de espacios de aprendizaje están cobrando mayor relevancia. La creación de entornos respetuosos con el medio ambiente y energéticamente eficientes contribuye no solo a los objetivos de sostenibilidad, sino también a un entorno de aprendizaje saludable y propicio (Papaioannou, Volakaki, Kokolakis y Vouyioukas, 2023)</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consideraciones éticas son cada vez más importantes cuando se refiere a espacios online o combinados, para guiar el uso de los datos y las tecnologías educativas, centrándose en cuestiones como la privacidad de los datos de los estudiantes y la integridad académica. (Sato, Condes Moreno, Rubio-Zarapuz, Dalamitros, Yañez-Sepulveda, Tornero-Aguilera y Clemente-Suárez, 2023).</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próxima frontera en el aprendizaje en línea y a distancia implica la integración de las tecnologías emergentes, la adopción de un enfoque holístico para el apoyo a los estudiantes, el abordaje de la brecha digital, el enfoque en las consideraciones éticas y la adopción del aprendizaje permanente como elemento central de los sistemas educativos. (Sato, Condes Moreno, Rubio-Zarapuz, Dalamitros, Yañez-Sepulveda, Tornero-Aguilera y Clemente-Suárez, 2023; Papaioannou, Volakaki, Kokolakis y Vouyioukas, 2023)</w:t>
      </w:r>
    </w:p>
    <w:p w:rsidR="00000000" w:rsidDel="00000000" w:rsidP="00000000" w:rsidRDefault="00000000" w:rsidRPr="00000000" w14:paraId="0000003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Conclusiones</w:t>
      </w:r>
    </w:p>
    <w:p w:rsidR="00000000" w:rsidDel="00000000" w:rsidP="00000000" w:rsidRDefault="00000000" w:rsidRPr="00000000" w14:paraId="0000003F">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comunicación se ha podido mostrar que si bien no es poca la investigación sobre los efectos de la pandemia y post pandemia en la ES el análisis teórico y empírico de la reconfiguración de las coordenadas temporo espaciales aparece como un área de vacancia</w:t>
      </w:r>
      <w:r w:rsidDel="00000000" w:rsidR="00000000" w:rsidRPr="00000000">
        <w:rPr>
          <w:rFonts w:ascii="Roboto" w:cs="Roboto" w:eastAsia="Roboto" w:hAnsi="Roboto"/>
          <w:sz w:val="20"/>
          <w:szCs w:val="20"/>
          <w:highlight w:val="white"/>
          <w:rtl w:val="0"/>
        </w:rPr>
        <w:t xml:space="preserve">.</w:t>
      </w:r>
      <w:r w:rsidDel="00000000" w:rsidR="00000000" w:rsidRPr="00000000">
        <w:rPr>
          <w:rtl w:val="0"/>
        </w:rPr>
      </w:r>
    </w:p>
    <w:p w:rsidR="00000000" w:rsidDel="00000000" w:rsidP="00000000" w:rsidRDefault="00000000" w:rsidRPr="00000000" w14:paraId="00000040">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Referencias Bibliográficas (APA 7)</w:t>
      </w:r>
    </w:p>
    <w:p w:rsidR="00000000" w:rsidDel="00000000" w:rsidP="00000000" w:rsidRDefault="00000000" w:rsidRPr="00000000" w14:paraId="00000042">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222222"/>
          <w:highlight w:val="white"/>
          <w:rtl w:val="0"/>
        </w:rPr>
        <w:t xml:space="preserve">Alrefaee, S., Afzal, K. M., Alrefaee, Y. M. A., &amp; Haimed, S. (2025). A bibliometric analysis of online education research in India (2014–2024): trends, patterns, and future directions. </w:t>
      </w:r>
      <w:r w:rsidDel="00000000" w:rsidR="00000000" w:rsidRPr="00000000">
        <w:rPr>
          <w:rFonts w:ascii="Times New Roman" w:cs="Times New Roman" w:eastAsia="Times New Roman" w:hAnsi="Times New Roman"/>
          <w:i w:val="1"/>
          <w:iCs w:val="1"/>
          <w:color w:val="222222"/>
          <w:highlight w:val="white"/>
          <w:rtl w:val="0"/>
        </w:rPr>
        <w:t xml:space="preserve">Discover Education</w:t>
      </w:r>
      <w:r w:rsidDel="00000000" w:rsidR="00000000" w:rsidRPr="00000000">
        <w:rPr>
          <w:rFonts w:ascii="Times New Roman" w:cs="Times New Roman" w:eastAsia="Times New Roman" w:hAnsi="Times New Roman"/>
          <w:color w:val="222222"/>
          <w:highlight w:val="white"/>
          <w:rtl w:val="0"/>
        </w:rPr>
        <w:t xml:space="preserve">, </w:t>
      </w:r>
      <w:r w:rsidDel="00000000" w:rsidR="00000000" w:rsidRPr="00000000">
        <w:rPr>
          <w:rFonts w:ascii="Times New Roman" w:cs="Times New Roman" w:eastAsia="Times New Roman" w:hAnsi="Times New Roman"/>
          <w:i w:val="1"/>
          <w:iCs w:val="1"/>
          <w:color w:val="222222"/>
          <w:highlight w:val="white"/>
          <w:rtl w:val="0"/>
        </w:rPr>
        <w:t xml:space="preserve">4</w:t>
      </w:r>
      <w:r w:rsidDel="00000000" w:rsidR="00000000" w:rsidRPr="00000000">
        <w:rPr>
          <w:rFonts w:ascii="Times New Roman" w:cs="Times New Roman" w:eastAsia="Times New Roman" w:hAnsi="Times New Roman"/>
          <w:color w:val="222222"/>
          <w:highlight w:val="white"/>
          <w:rtl w:val="0"/>
        </w:rPr>
        <w:t xml:space="preserve">(1), 276.</w:t>
      </w:r>
      <w:r w:rsidDel="00000000" w:rsidR="00000000" w:rsidRPr="00000000">
        <w:rPr>
          <w:rtl w:val="0"/>
        </w:rPr>
      </w:r>
    </w:p>
    <w:p w:rsidR="00000000" w:rsidDel="00000000" w:rsidP="00000000" w:rsidRDefault="00000000" w:rsidRPr="00000000" w14:paraId="00000043">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Christou, E., Parmaxi, A., Nicolaou, A., &amp; Pashia, E. (2023, June). Learning spaces in higher education: A systematic literature Review. In </w:t>
      </w:r>
      <w:r w:rsidDel="00000000" w:rsidR="00000000" w:rsidRPr="00000000">
        <w:rPr>
          <w:rFonts w:ascii="Times New Roman" w:cs="Times New Roman" w:eastAsia="Times New Roman" w:hAnsi="Times New Roman"/>
          <w:i w:val="1"/>
          <w:iCs w:val="1"/>
          <w:color w:val="222222"/>
          <w:highlight w:val="white"/>
          <w:rtl w:val="0"/>
        </w:rPr>
        <w:t xml:space="preserve">International conference on human-computer interaction</w:t>
      </w:r>
      <w:r w:rsidDel="00000000" w:rsidR="00000000" w:rsidRPr="00000000">
        <w:rPr>
          <w:rFonts w:ascii="Times New Roman" w:cs="Times New Roman" w:eastAsia="Times New Roman" w:hAnsi="Times New Roman"/>
          <w:color w:val="222222"/>
          <w:highlight w:val="white"/>
          <w:rtl w:val="0"/>
        </w:rPr>
        <w:t xml:space="preserve"> (pp. 431-446). Cham: Springer Nature Switzerland.</w:t>
      </w:r>
    </w:p>
    <w:p w:rsidR="00000000" w:rsidDel="00000000" w:rsidP="00000000" w:rsidRDefault="00000000" w:rsidRPr="00000000" w14:paraId="00000044">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Ferrarelli, M. (2021). Alfabetismos aumentados: producir, expresarse y colaborar en la cultura digital. </w:t>
      </w:r>
      <w:r w:rsidDel="00000000" w:rsidR="00000000" w:rsidRPr="00000000">
        <w:rPr>
          <w:rFonts w:ascii="Times New Roman" w:cs="Times New Roman" w:eastAsia="Times New Roman" w:hAnsi="Times New Roman"/>
          <w:i w:val="1"/>
          <w:iCs w:val="1"/>
          <w:color w:val="222222"/>
          <w:rtl w:val="0"/>
        </w:rPr>
        <w:t xml:space="preserve">Austral Comunicación</w:t>
      </w:r>
      <w:r w:rsidDel="00000000" w:rsidR="00000000" w:rsidRPr="00000000">
        <w:rPr>
          <w:rFonts w:ascii="Times New Roman" w:cs="Times New Roman" w:eastAsia="Times New Roman" w:hAnsi="Times New Roman"/>
          <w:color w:val="222222"/>
          <w:highlight w:val="white"/>
          <w:rtl w:val="0"/>
        </w:rPr>
        <w:t xml:space="preserve">, </w:t>
      </w:r>
      <w:r w:rsidDel="00000000" w:rsidR="00000000" w:rsidRPr="00000000">
        <w:rPr>
          <w:rFonts w:ascii="Times New Roman" w:cs="Times New Roman" w:eastAsia="Times New Roman" w:hAnsi="Times New Roman"/>
          <w:i w:val="1"/>
          <w:iCs w:val="1"/>
          <w:color w:val="222222"/>
          <w:rtl w:val="0"/>
        </w:rPr>
        <w:t xml:space="preserve">10</w:t>
      </w:r>
      <w:r w:rsidDel="00000000" w:rsidR="00000000" w:rsidRPr="00000000">
        <w:rPr>
          <w:rFonts w:ascii="Times New Roman" w:cs="Times New Roman" w:eastAsia="Times New Roman" w:hAnsi="Times New Roman"/>
          <w:color w:val="222222"/>
          <w:highlight w:val="white"/>
          <w:rtl w:val="0"/>
        </w:rPr>
        <w:t xml:space="preserve">(2), 395-411.</w:t>
      </w:r>
    </w:p>
    <w:p w:rsidR="00000000" w:rsidDel="00000000" w:rsidP="00000000" w:rsidRDefault="00000000" w:rsidRPr="00000000" w14:paraId="00000045">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Feyisa, M. B., Kyaw, E. P., &amp; Kálmán, O. (2025). Innovative Teaching and Learning Beyond Crisis: Systematic Literature Review of Blended Learning Model in Higher Education Institutions Post COVID-19. </w:t>
      </w:r>
      <w:r w:rsidDel="00000000" w:rsidR="00000000" w:rsidRPr="00000000">
        <w:rPr>
          <w:rFonts w:ascii="Times New Roman" w:cs="Times New Roman" w:eastAsia="Times New Roman" w:hAnsi="Times New Roman"/>
          <w:i w:val="1"/>
          <w:iCs w:val="1"/>
          <w:color w:val="222222"/>
          <w:highlight w:val="white"/>
          <w:rtl w:val="0"/>
        </w:rPr>
        <w:t xml:space="preserve">Journal of Equity in Sciences &amp; Sustainable Development</w:t>
      </w:r>
      <w:r w:rsidDel="00000000" w:rsidR="00000000" w:rsidRPr="00000000">
        <w:rPr>
          <w:rFonts w:ascii="Times New Roman" w:cs="Times New Roman" w:eastAsia="Times New Roman" w:hAnsi="Times New Roman"/>
          <w:color w:val="222222"/>
          <w:highlight w:val="white"/>
          <w:rtl w:val="0"/>
        </w:rPr>
        <w:t xml:space="preserve">, </w:t>
      </w:r>
      <w:r w:rsidDel="00000000" w:rsidR="00000000" w:rsidRPr="00000000">
        <w:rPr>
          <w:rFonts w:ascii="Times New Roman" w:cs="Times New Roman" w:eastAsia="Times New Roman" w:hAnsi="Times New Roman"/>
          <w:i w:val="1"/>
          <w:iCs w:val="1"/>
          <w:color w:val="222222"/>
          <w:highlight w:val="white"/>
          <w:rtl w:val="0"/>
        </w:rPr>
        <w:t xml:space="preserve">8</w:t>
      </w:r>
      <w:r w:rsidDel="00000000" w:rsidR="00000000" w:rsidRPr="00000000">
        <w:rPr>
          <w:rFonts w:ascii="Times New Roman" w:cs="Times New Roman" w:eastAsia="Times New Roman" w:hAnsi="Times New Roman"/>
          <w:color w:val="222222"/>
          <w:highlight w:val="white"/>
          <w:rtl w:val="0"/>
        </w:rPr>
        <w:t xml:space="preserve">(1), 45.</w:t>
      </w:r>
    </w:p>
    <w:p w:rsidR="00000000" w:rsidDel="00000000" w:rsidP="00000000" w:rsidRDefault="00000000" w:rsidRPr="00000000" w14:paraId="00000046">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Garzon Diaz, K., Villamil Duarte, A., Velasco Forero, S., &amp; Herrera Jacobo, S. (2024). Post-pandemic face-to-face learning environments for undergraduate students: A scoping review protocol. </w:t>
      </w:r>
      <w:r w:rsidDel="00000000" w:rsidR="00000000" w:rsidRPr="00000000">
        <w:rPr>
          <w:rFonts w:ascii="Times New Roman" w:cs="Times New Roman" w:eastAsia="Times New Roman" w:hAnsi="Times New Roman"/>
          <w:i w:val="1"/>
          <w:iCs w:val="1"/>
          <w:color w:val="222222"/>
          <w:highlight w:val="white"/>
          <w:rtl w:val="0"/>
        </w:rPr>
        <w:t xml:space="preserve">PLoS One</w:t>
      </w:r>
      <w:r w:rsidDel="00000000" w:rsidR="00000000" w:rsidRPr="00000000">
        <w:rPr>
          <w:rFonts w:ascii="Times New Roman" w:cs="Times New Roman" w:eastAsia="Times New Roman" w:hAnsi="Times New Roman"/>
          <w:color w:val="222222"/>
          <w:highlight w:val="white"/>
          <w:rtl w:val="0"/>
        </w:rPr>
        <w:t xml:space="preserve">, </w:t>
      </w:r>
      <w:r w:rsidDel="00000000" w:rsidR="00000000" w:rsidRPr="00000000">
        <w:rPr>
          <w:rFonts w:ascii="Times New Roman" w:cs="Times New Roman" w:eastAsia="Times New Roman" w:hAnsi="Times New Roman"/>
          <w:i w:val="1"/>
          <w:iCs w:val="1"/>
          <w:color w:val="222222"/>
          <w:highlight w:val="white"/>
          <w:rtl w:val="0"/>
        </w:rPr>
        <w:t xml:space="preserve">19</w:t>
      </w:r>
      <w:r w:rsidDel="00000000" w:rsidR="00000000" w:rsidRPr="00000000">
        <w:rPr>
          <w:rFonts w:ascii="Times New Roman" w:cs="Times New Roman" w:eastAsia="Times New Roman" w:hAnsi="Times New Roman"/>
          <w:color w:val="222222"/>
          <w:highlight w:val="white"/>
          <w:rtl w:val="0"/>
        </w:rPr>
        <w:t xml:space="preserve">(11), e0309932.</w:t>
      </w:r>
    </w:p>
    <w:p w:rsidR="00000000" w:rsidDel="00000000" w:rsidP="00000000" w:rsidRDefault="00000000" w:rsidRPr="00000000" w14:paraId="00000047">
      <w:pPr>
        <w:spacing w:line="240" w:lineRule="auto"/>
        <w:jc w:val="both"/>
        <w:rPr>
          <w:rFonts w:ascii="Times New Roman" w:cs="Times New Roman" w:eastAsia="Times New Roman" w:hAnsi="Times New Roman"/>
          <w:color w:val="4f4f4f"/>
          <w:highlight w:val="white"/>
        </w:rPr>
      </w:pPr>
      <w:r w:rsidDel="00000000" w:rsidR="00000000" w:rsidRPr="00000000">
        <w:rPr>
          <w:rFonts w:ascii="Times New Roman" w:cs="Times New Roman" w:eastAsia="Times New Roman" w:hAnsi="Times New Roman"/>
          <w:color w:val="222222"/>
          <w:highlight w:val="white"/>
          <w:rtl w:val="0"/>
        </w:rPr>
        <w:t xml:space="preserve">Jardas Antonić, J., Srok, A., &amp; Vretenar, N. (2024). Blended learning in the spotlight of educational management-a scientometric analysis. </w:t>
      </w:r>
      <w:r w:rsidDel="00000000" w:rsidR="00000000" w:rsidRPr="00000000">
        <w:rPr>
          <w:rFonts w:ascii="Times New Roman" w:cs="Times New Roman" w:eastAsia="Times New Roman" w:hAnsi="Times New Roman"/>
          <w:i w:val="1"/>
          <w:iCs w:val="1"/>
          <w:color w:val="222222"/>
          <w:highlight w:val="white"/>
          <w:rtl w:val="0"/>
        </w:rPr>
        <w:t xml:space="preserve">Journal of information and organizational sciences</w:t>
      </w:r>
      <w:r w:rsidDel="00000000" w:rsidR="00000000" w:rsidRPr="00000000">
        <w:rPr>
          <w:rFonts w:ascii="Times New Roman" w:cs="Times New Roman" w:eastAsia="Times New Roman" w:hAnsi="Times New Roman"/>
          <w:color w:val="222222"/>
          <w:highlight w:val="white"/>
          <w:rtl w:val="0"/>
        </w:rPr>
        <w:t xml:space="preserve">, </w:t>
      </w:r>
      <w:r w:rsidDel="00000000" w:rsidR="00000000" w:rsidRPr="00000000">
        <w:rPr>
          <w:rFonts w:ascii="Times New Roman" w:cs="Times New Roman" w:eastAsia="Times New Roman" w:hAnsi="Times New Roman"/>
          <w:i w:val="1"/>
          <w:iCs w:val="1"/>
          <w:color w:val="222222"/>
          <w:highlight w:val="white"/>
          <w:rtl w:val="0"/>
        </w:rPr>
        <w:t xml:space="preserve">48</w:t>
      </w:r>
      <w:r w:rsidDel="00000000" w:rsidR="00000000" w:rsidRPr="00000000">
        <w:rPr>
          <w:rFonts w:ascii="Times New Roman" w:cs="Times New Roman" w:eastAsia="Times New Roman" w:hAnsi="Times New Roman"/>
          <w:color w:val="222222"/>
          <w:highlight w:val="white"/>
          <w:rtl w:val="0"/>
        </w:rPr>
        <w:t xml:space="preserve">(2), 279-294.</w:t>
      </w:r>
      <w:r w:rsidDel="00000000" w:rsidR="00000000" w:rsidRPr="00000000">
        <w:rPr>
          <w:rtl w:val="0"/>
        </w:rPr>
      </w:r>
    </w:p>
    <w:p w:rsidR="00000000" w:rsidDel="00000000" w:rsidP="00000000" w:rsidRDefault="00000000" w:rsidRPr="00000000" w14:paraId="00000048">
      <w:pPr>
        <w:spacing w:line="240" w:lineRule="auto"/>
        <w:jc w:val="both"/>
        <w:rPr>
          <w:rFonts w:ascii="Times New Roman" w:cs="Times New Roman" w:eastAsia="Times New Roman" w:hAnsi="Times New Roman"/>
          <w:color w:val="4f4f4f"/>
          <w:highlight w:val="white"/>
        </w:rPr>
      </w:pPr>
      <w:r w:rsidDel="00000000" w:rsidR="00000000" w:rsidRPr="00000000">
        <w:rPr>
          <w:rFonts w:ascii="Times New Roman" w:cs="Times New Roman" w:eastAsia="Times New Roman" w:hAnsi="Times New Roman"/>
          <w:color w:val="4f4f4f"/>
          <w:highlight w:val="white"/>
          <w:rtl w:val="0"/>
        </w:rPr>
        <w:t xml:space="preserve">Khamitova, A. (2023). Innovative learning spaces of higher education: A systematic mapping review of themes. </w:t>
      </w:r>
      <w:r w:rsidDel="00000000" w:rsidR="00000000" w:rsidRPr="00000000">
        <w:rPr>
          <w:rFonts w:ascii="Times New Roman" w:cs="Times New Roman" w:eastAsia="Times New Roman" w:hAnsi="Times New Roman"/>
          <w:i w:val="1"/>
          <w:iCs w:val="1"/>
          <w:color w:val="4f4f4f"/>
          <w:highlight w:val="white"/>
          <w:rtl w:val="0"/>
        </w:rPr>
        <w:t xml:space="preserve">TechTrends,</w:t>
      </w:r>
      <w:r w:rsidDel="00000000" w:rsidR="00000000" w:rsidRPr="00000000">
        <w:rPr>
          <w:rFonts w:ascii="Times New Roman" w:cs="Times New Roman" w:eastAsia="Times New Roman" w:hAnsi="Times New Roman"/>
          <w:color w:val="4f4f4f"/>
          <w:highlight w:val="white"/>
          <w:rtl w:val="0"/>
        </w:rPr>
        <w:t xml:space="preserve"> 67(6), 830–842. </w:t>
      </w:r>
      <w:hyperlink r:id="rId11">
        <w:r w:rsidDel="00000000" w:rsidR="00000000" w:rsidRPr="00000000">
          <w:rPr>
            <w:rFonts w:ascii="Times New Roman" w:cs="Times New Roman" w:eastAsia="Times New Roman" w:hAnsi="Times New Roman"/>
            <w:color w:val="1266f1"/>
            <w:highlight w:val="white"/>
            <w:rtl w:val="0"/>
          </w:rPr>
          <w:t xml:space="preserve">https://doi.org/10.1007/s11528-023-00892-4</w:t>
        </w:r>
      </w:hyperlink>
      <w:r w:rsidDel="00000000" w:rsidR="00000000" w:rsidRPr="00000000">
        <w:rPr>
          <w:rFonts w:ascii="Times New Roman" w:cs="Times New Roman" w:eastAsia="Times New Roman" w:hAnsi="Times New Roman"/>
          <w:color w:val="4f4f4f"/>
          <w:highlight w:val="white"/>
          <w:rtl w:val="0"/>
        </w:rPr>
        <w:t xml:space="preserve"> </w:t>
      </w:r>
    </w:p>
    <w:p w:rsidR="00000000" w:rsidDel="00000000" w:rsidP="00000000" w:rsidRDefault="00000000" w:rsidRPr="00000000" w14:paraId="00000049">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Lagrutta, R., Carlucci, D., Santarsiero, F., Schiuma, G., &amp; Lerro, A. (2023). Distinguishing the dimensions of learning spaces: A systematic literature review. In </w:t>
      </w:r>
      <w:r w:rsidDel="00000000" w:rsidR="00000000" w:rsidRPr="00000000">
        <w:rPr>
          <w:rFonts w:ascii="Times New Roman" w:cs="Times New Roman" w:eastAsia="Times New Roman" w:hAnsi="Times New Roman"/>
          <w:i w:val="1"/>
          <w:iCs w:val="1"/>
          <w:color w:val="222222"/>
          <w:highlight w:val="white"/>
          <w:rtl w:val="0"/>
        </w:rPr>
        <w:t xml:space="preserve">European Conference on Knowledge Management</w:t>
      </w:r>
      <w:r w:rsidDel="00000000" w:rsidR="00000000" w:rsidRPr="00000000">
        <w:rPr>
          <w:rFonts w:ascii="Times New Roman" w:cs="Times New Roman" w:eastAsia="Times New Roman" w:hAnsi="Times New Roman"/>
          <w:color w:val="222222"/>
          <w:highlight w:val="white"/>
          <w:rtl w:val="0"/>
        </w:rPr>
        <w:t xml:space="preserve"> (Vol. 1, pp. 769-R32). Academic Conferences International Limited.</w:t>
      </w:r>
    </w:p>
    <w:p w:rsidR="00000000" w:rsidDel="00000000" w:rsidP="00000000" w:rsidRDefault="00000000" w:rsidRPr="00000000" w14:paraId="0000004A">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Landau, M., Rogovsky, C., Pose, M. M., Caldeiro, G., &amp; Piatti, G. (2024). Las prácticas de enseñanza mediadas por tecnología en la educación superior. Abordajes en torno a su definición en el escenario pospandemia. In </w:t>
      </w:r>
      <w:r w:rsidDel="00000000" w:rsidR="00000000" w:rsidRPr="00000000">
        <w:rPr>
          <w:rFonts w:ascii="Times New Roman" w:cs="Times New Roman" w:eastAsia="Times New Roman" w:hAnsi="Times New Roman"/>
          <w:i w:val="1"/>
          <w:iCs w:val="1"/>
          <w:color w:val="222222"/>
          <w:highlight w:val="white"/>
          <w:rtl w:val="0"/>
        </w:rPr>
        <w:t xml:space="preserve">III Congreso Internacional de Ciencias Humanas</w:t>
      </w:r>
      <w:r w:rsidDel="00000000" w:rsidR="00000000" w:rsidRPr="00000000">
        <w:rPr>
          <w:rFonts w:ascii="Times New Roman" w:cs="Times New Roman" w:eastAsia="Times New Roman" w:hAnsi="Times New Roman"/>
          <w:color w:val="222222"/>
          <w:highlight w:val="white"/>
          <w:rtl w:val="0"/>
        </w:rPr>
        <w:t xml:space="preserve">. Escuela de Humanidades, Universidad Nacional de San Martín.</w:t>
      </w:r>
    </w:p>
    <w:p w:rsidR="00000000" w:rsidDel="00000000" w:rsidP="00000000" w:rsidRDefault="00000000" w:rsidRPr="00000000" w14:paraId="0000004B">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Lion, C., Perosi, M. V., Jacubovich, J., Palladino, C., &amp; Sordelli, O. (2023). Repensar la educación híbrida después de la pandemia. </w:t>
      </w:r>
      <w:r w:rsidDel="00000000" w:rsidR="00000000" w:rsidRPr="00000000">
        <w:rPr>
          <w:rFonts w:ascii="Times New Roman" w:cs="Times New Roman" w:eastAsia="Times New Roman" w:hAnsi="Times New Roman"/>
          <w:i w:val="1"/>
          <w:iCs w:val="1"/>
          <w:color w:val="222222"/>
          <w:highlight w:val="white"/>
          <w:rtl w:val="0"/>
        </w:rPr>
        <w:t xml:space="preserve">Buenos Aires: IIPEUNESCO</w:t>
      </w:r>
      <w:r w:rsidDel="00000000" w:rsidR="00000000" w:rsidRPr="00000000">
        <w:rPr>
          <w:rFonts w:ascii="Times New Roman" w:cs="Times New Roman" w:eastAsia="Times New Roman" w:hAnsi="Times New Roman"/>
          <w:color w:val="222222"/>
          <w:highlight w:val="white"/>
          <w:rtl w:val="0"/>
        </w:rPr>
        <w:t xml:space="preserve">, 10-1.</w:t>
      </w:r>
    </w:p>
    <w:p w:rsidR="00000000" w:rsidDel="00000000" w:rsidP="00000000" w:rsidRDefault="00000000" w:rsidRPr="00000000" w14:paraId="0000004C">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Papaioannou, G., Volakaki, M. G., Kokolakis, S., &amp; Vouyioukas, D. (2023). Learning spaces in higher education: a state-of-the-art review. </w:t>
      </w:r>
      <w:r w:rsidDel="00000000" w:rsidR="00000000" w:rsidRPr="00000000">
        <w:rPr>
          <w:rFonts w:ascii="Times New Roman" w:cs="Times New Roman" w:eastAsia="Times New Roman" w:hAnsi="Times New Roman"/>
          <w:i w:val="1"/>
          <w:iCs w:val="1"/>
          <w:color w:val="222222"/>
          <w:highlight w:val="white"/>
          <w:rtl w:val="0"/>
        </w:rPr>
        <w:t xml:space="preserve">Trends in Higher Education</w:t>
      </w:r>
      <w:r w:rsidDel="00000000" w:rsidR="00000000" w:rsidRPr="00000000">
        <w:rPr>
          <w:rFonts w:ascii="Times New Roman" w:cs="Times New Roman" w:eastAsia="Times New Roman" w:hAnsi="Times New Roman"/>
          <w:color w:val="222222"/>
          <w:highlight w:val="white"/>
          <w:rtl w:val="0"/>
        </w:rPr>
        <w:t xml:space="preserve">, </w:t>
      </w:r>
      <w:r w:rsidDel="00000000" w:rsidR="00000000" w:rsidRPr="00000000">
        <w:rPr>
          <w:rFonts w:ascii="Times New Roman" w:cs="Times New Roman" w:eastAsia="Times New Roman" w:hAnsi="Times New Roman"/>
          <w:i w:val="1"/>
          <w:iCs w:val="1"/>
          <w:color w:val="222222"/>
          <w:highlight w:val="white"/>
          <w:rtl w:val="0"/>
        </w:rPr>
        <w:t xml:space="preserve">2</w:t>
      </w:r>
      <w:r w:rsidDel="00000000" w:rsidR="00000000" w:rsidRPr="00000000">
        <w:rPr>
          <w:rFonts w:ascii="Times New Roman" w:cs="Times New Roman" w:eastAsia="Times New Roman" w:hAnsi="Times New Roman"/>
          <w:color w:val="222222"/>
          <w:highlight w:val="white"/>
          <w:rtl w:val="0"/>
        </w:rPr>
        <w:t xml:space="preserve">(3), 526-545.</w:t>
      </w:r>
    </w:p>
    <w:p w:rsidR="00000000" w:rsidDel="00000000" w:rsidP="00000000" w:rsidRDefault="00000000" w:rsidRPr="00000000" w14:paraId="0000004D">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Sato, S. N., Condes Moreno, E., Rubio-Zarapuz, A., Dalamitros, A. A., Yañez-Sepulveda, R., Tornero-Aguilera, J. F., &amp; Clemente-Suárez, V. J. (2023). Navigating the new normal: Adapting online and distance learning in the post-pandemic era. </w:t>
      </w:r>
      <w:r w:rsidDel="00000000" w:rsidR="00000000" w:rsidRPr="00000000">
        <w:rPr>
          <w:rFonts w:ascii="Times New Roman" w:cs="Times New Roman" w:eastAsia="Times New Roman" w:hAnsi="Times New Roman"/>
          <w:i w:val="1"/>
          <w:iCs w:val="1"/>
          <w:color w:val="222222"/>
          <w:highlight w:val="white"/>
          <w:rtl w:val="0"/>
        </w:rPr>
        <w:t xml:space="preserve">Education Sciences</w:t>
      </w:r>
      <w:r w:rsidDel="00000000" w:rsidR="00000000" w:rsidRPr="00000000">
        <w:rPr>
          <w:rFonts w:ascii="Times New Roman" w:cs="Times New Roman" w:eastAsia="Times New Roman" w:hAnsi="Times New Roman"/>
          <w:color w:val="222222"/>
          <w:highlight w:val="white"/>
          <w:rtl w:val="0"/>
        </w:rPr>
        <w:t xml:space="preserve">, </w:t>
      </w:r>
      <w:r w:rsidDel="00000000" w:rsidR="00000000" w:rsidRPr="00000000">
        <w:rPr>
          <w:rFonts w:ascii="Times New Roman" w:cs="Times New Roman" w:eastAsia="Times New Roman" w:hAnsi="Times New Roman"/>
          <w:i w:val="1"/>
          <w:iCs w:val="1"/>
          <w:color w:val="222222"/>
          <w:highlight w:val="white"/>
          <w:rtl w:val="0"/>
        </w:rPr>
        <w:t xml:space="preserve">14</w:t>
      </w:r>
      <w:r w:rsidDel="00000000" w:rsidR="00000000" w:rsidRPr="00000000">
        <w:rPr>
          <w:rFonts w:ascii="Times New Roman" w:cs="Times New Roman" w:eastAsia="Times New Roman" w:hAnsi="Times New Roman"/>
          <w:color w:val="222222"/>
          <w:highlight w:val="white"/>
          <w:rtl w:val="0"/>
        </w:rPr>
        <w:t xml:space="preserve">(1), 19.</w:t>
      </w:r>
    </w:p>
    <w:p w:rsidR="00000000" w:rsidDel="00000000" w:rsidP="00000000" w:rsidRDefault="00000000" w:rsidRPr="00000000" w14:paraId="0000004E">
      <w:pPr>
        <w:spacing w:line="240" w:lineRule="auto"/>
        <w:jc w:val="both"/>
        <w:rPr>
          <w:rFonts w:ascii="Times New Roman" w:cs="Times New Roman" w:eastAsia="Times New Roman" w:hAnsi="Times New Roman"/>
          <w:color w:val="222222"/>
          <w:highlight w:val="white"/>
        </w:rPr>
      </w:pPr>
      <w:r w:rsidDel="00000000" w:rsidR="00000000" w:rsidRPr="00000000">
        <w:rPr>
          <w:rFonts w:ascii="Times New Roman" w:cs="Times New Roman" w:eastAsia="Times New Roman" w:hAnsi="Times New Roman"/>
          <w:color w:val="222222"/>
          <w:highlight w:val="white"/>
          <w:rtl w:val="0"/>
        </w:rPr>
        <w:t xml:space="preserve">Velasco, N. (2023). Aprendizaje por medio de la educación bimodal versus la educación presencial: una revisión de experiencias comparativas. </w:t>
      </w:r>
      <w:r w:rsidDel="00000000" w:rsidR="00000000" w:rsidRPr="00000000">
        <w:rPr>
          <w:rFonts w:ascii="Times New Roman" w:cs="Times New Roman" w:eastAsia="Times New Roman" w:hAnsi="Times New Roman"/>
          <w:i w:val="1"/>
          <w:iCs w:val="1"/>
          <w:color w:val="222222"/>
          <w:highlight w:val="white"/>
          <w:rtl w:val="0"/>
        </w:rPr>
        <w:t xml:space="preserve">Revista Saberes Educativos</w:t>
      </w:r>
      <w:r w:rsidDel="00000000" w:rsidR="00000000" w:rsidRPr="00000000">
        <w:rPr>
          <w:rFonts w:ascii="Times New Roman" w:cs="Times New Roman" w:eastAsia="Times New Roman" w:hAnsi="Times New Roman"/>
          <w:color w:val="222222"/>
          <w:highlight w:val="white"/>
          <w:rtl w:val="0"/>
        </w:rPr>
        <w:t xml:space="preserve">, (11), 1–20. </w:t>
      </w:r>
      <w:hyperlink r:id="rId12">
        <w:r w:rsidDel="00000000" w:rsidR="00000000" w:rsidRPr="00000000">
          <w:rPr>
            <w:rFonts w:ascii="Times New Roman" w:cs="Times New Roman" w:eastAsia="Times New Roman" w:hAnsi="Times New Roman"/>
            <w:color w:val="1155cc"/>
            <w:highlight w:val="white"/>
            <w:u w:val="single"/>
            <w:rtl w:val="0"/>
          </w:rPr>
          <w:t xml:space="preserve">https://doi.org/10.5354/2452-5014.2023.71394</w:t>
        </w:r>
      </w:hyperlink>
      <w:r w:rsidDel="00000000" w:rsidR="00000000" w:rsidRPr="00000000">
        <w:rPr>
          <w:rtl w:val="0"/>
        </w:rPr>
      </w:r>
    </w:p>
    <w:p w:rsidR="00000000" w:rsidDel="00000000" w:rsidP="00000000" w:rsidRDefault="00000000" w:rsidRPr="00000000" w14:paraId="0000004F">
      <w:pPr>
        <w:spacing w:line="259"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spacing w:line="240" w:lineRule="auto"/>
        <w:jc w:val="center"/>
        <w:rPr>
          <w:rFonts w:ascii="Times New Roman" w:cs="Times New Roman" w:eastAsia="Times New Roman" w:hAnsi="Times New Roman"/>
        </w:rPr>
      </w:pPr>
      <w:r w:rsidDel="00000000" w:rsidR="00000000" w:rsidRPr="00000000">
        <w:rPr>
          <w:rtl w:val="0"/>
        </w:rPr>
      </w:r>
    </w:p>
    <w:sectPr>
      <w:headerReference r:id="rId13" w:type="default"/>
      <w:footerReference r:id="rId14" w:type="default"/>
      <w:pgSz w:h="16838" w:w="11906" w:orient="portrait"/>
      <w:pgMar w:bottom="1843" w:top="2410" w:left="1701" w:right="1701"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5400040" cy="42862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400040" cy="428625"/>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4">
      <w:pPr>
        <w:spacing w:after="0"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Como la Comisión Nacional de Evaluación y Acreditación Universitaria (CONEAU), el Consejo Interuniversitario Nacional (CIN), la Dirección Nacional de Gestión Universitaria y el Consejo de Universidades,</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2617939" cy="1091320"/>
          <wp:effectExtent b="0" l="0" r="0" t="0"/>
          <wp:docPr id="2"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2617939" cy="109132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_419"/>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1007/s11528-023-00892-4" TargetMode="External"/><Relationship Id="rId10" Type="http://schemas.openxmlformats.org/officeDocument/2006/relationships/image" Target="media/image2.png"/><Relationship Id="rId13" Type="http://schemas.openxmlformats.org/officeDocument/2006/relationships/header" Target="header1.xml"/><Relationship Id="rId12" Type="http://schemas.openxmlformats.org/officeDocument/2006/relationships/hyperlink" Target="https://doi.org/10.5354/2452-5014.2023.7139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s.wikipedia.org/wiki/Revisi%C3%B3n_por_pares" TargetMode="Externa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svercellino@unrn.edu.a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YlJcunklJwNTVEsBI/+shLOFpw==">CgMxLjA4AHIhMXlWMTZzd3paVWdUdVpGRjE2YldPdTNaTUFJZmxtbnZS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