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6FA26C1D" w14:textId="77777777" w:rsidR="00F278EB" w:rsidRPr="00F278EB" w:rsidRDefault="00F278EB" w:rsidP="00F278EB">
      <w:pPr>
        <w:jc w:val="center"/>
        <w:rPr>
          <w:rFonts w:ascii="Times New Roman" w:hAnsi="Times New Roman" w:cs="Times New Roman"/>
          <w:b/>
          <w:bCs/>
        </w:rPr>
      </w:pPr>
      <w:r w:rsidRPr="00F278EB">
        <w:rPr>
          <w:rFonts w:ascii="Times New Roman" w:hAnsi="Times New Roman" w:cs="Times New Roman"/>
          <w:b/>
          <w:bCs/>
        </w:rPr>
        <w:t>Estrategias de persistencia en la universidad: cambio de carrera o de modalidad (online)</w:t>
      </w:r>
    </w:p>
    <w:p w14:paraId="43C49479" w14:textId="77777777" w:rsidR="005F3B2E" w:rsidRPr="00BA642E" w:rsidRDefault="005F3B2E" w:rsidP="001923DC">
      <w:pPr>
        <w:jc w:val="center"/>
        <w:rPr>
          <w:rFonts w:ascii="Times New Roman" w:hAnsi="Times New Roman" w:cs="Times New Roman"/>
        </w:rPr>
      </w:pPr>
    </w:p>
    <w:p w14:paraId="4E738780" w14:textId="2BF4F2E2" w:rsidR="005F3B2E" w:rsidRPr="00BA642E" w:rsidRDefault="00F278EB" w:rsidP="005F3B2E">
      <w:pPr>
        <w:spacing w:after="0" w:line="240" w:lineRule="auto"/>
        <w:jc w:val="right"/>
        <w:rPr>
          <w:rFonts w:ascii="Times New Roman" w:hAnsi="Times New Roman" w:cs="Times New Roman"/>
        </w:rPr>
      </w:pPr>
      <w:r>
        <w:rPr>
          <w:rFonts w:ascii="Times New Roman" w:hAnsi="Times New Roman" w:cs="Times New Roman"/>
        </w:rPr>
        <w:t>Troiano, Helena</w:t>
      </w:r>
    </w:p>
    <w:p w14:paraId="6C2AECCA" w14:textId="36B2A14F" w:rsidR="005F3B2E" w:rsidRPr="00BA642E" w:rsidRDefault="00F278EB" w:rsidP="005F3B2E">
      <w:pPr>
        <w:spacing w:after="0" w:line="240" w:lineRule="auto"/>
        <w:jc w:val="right"/>
        <w:rPr>
          <w:rFonts w:ascii="Times New Roman" w:hAnsi="Times New Roman" w:cs="Times New Roman"/>
        </w:rPr>
      </w:pPr>
      <w:r>
        <w:rPr>
          <w:rFonts w:ascii="Times New Roman" w:hAnsi="Times New Roman" w:cs="Times New Roman"/>
        </w:rPr>
        <w:t>GRET, Departamento de Sociología, Universitat Autònoma de Barcelona</w:t>
      </w:r>
    </w:p>
    <w:p w14:paraId="7D0026CD" w14:textId="4BAA86DF" w:rsidR="005F3B2E" w:rsidRPr="00BA642E" w:rsidRDefault="00F278EB" w:rsidP="005F3B2E">
      <w:pPr>
        <w:spacing w:after="0" w:line="240" w:lineRule="auto"/>
        <w:jc w:val="right"/>
        <w:rPr>
          <w:rFonts w:ascii="Times New Roman" w:hAnsi="Times New Roman" w:cs="Times New Roman"/>
        </w:rPr>
      </w:pPr>
      <w:r>
        <w:rPr>
          <w:rFonts w:ascii="Times New Roman" w:hAnsi="Times New Roman" w:cs="Times New Roman"/>
        </w:rPr>
        <w:t>helena.troiano@uab.cat</w:t>
      </w:r>
    </w:p>
    <w:p w14:paraId="1FA0F857" w14:textId="77777777" w:rsidR="005F3B2E" w:rsidRPr="00BA642E" w:rsidRDefault="005F3B2E" w:rsidP="005F3B2E">
      <w:pPr>
        <w:rPr>
          <w:rFonts w:ascii="Times New Roman" w:hAnsi="Times New Roman" w:cs="Times New Roman"/>
        </w:rPr>
      </w:pPr>
    </w:p>
    <w:p w14:paraId="0915CE36" w14:textId="77777777" w:rsidR="00DD7D90" w:rsidRPr="00DD7D90" w:rsidRDefault="00DD7D90" w:rsidP="00930834">
      <w:pPr>
        <w:spacing w:line="240" w:lineRule="auto"/>
        <w:jc w:val="both"/>
        <w:rPr>
          <w:rFonts w:ascii="Times New Roman" w:hAnsi="Times New Roman" w:cs="Times New Roman"/>
          <w:lang w:val="ca-ES"/>
        </w:rPr>
      </w:pPr>
      <w:r w:rsidRPr="00DD7D90">
        <w:rPr>
          <w:rFonts w:ascii="Times New Roman" w:hAnsi="Times New Roman" w:cs="Times New Roman"/>
          <w:b/>
          <w:bCs/>
          <w:lang w:val="ca-ES"/>
        </w:rPr>
        <w:t>Resumen</w:t>
      </w:r>
    </w:p>
    <w:p w14:paraId="2494A2E5" w14:textId="170D8F36" w:rsidR="00DD7D90" w:rsidRPr="00D96EF3" w:rsidRDefault="00DD7D90" w:rsidP="00930834">
      <w:pPr>
        <w:spacing w:line="240" w:lineRule="auto"/>
        <w:jc w:val="both"/>
        <w:rPr>
          <w:rFonts w:ascii="Times New Roman" w:hAnsi="Times New Roman" w:cs="Times New Roman"/>
          <w:lang w:val="es-ES"/>
        </w:rPr>
      </w:pPr>
      <w:r w:rsidRPr="00D96EF3">
        <w:rPr>
          <w:rFonts w:ascii="Times New Roman" w:hAnsi="Times New Roman" w:cs="Times New Roman"/>
          <w:lang w:val="es-ES"/>
        </w:rPr>
        <w:t xml:space="preserve">La expansión del sistema universitario español ha transformado un modelo de élites en uno de masas, generando una creciente heterogeneidad en los perfiles del estudiantado que desborda los marcos institucionales diseñados bajo supuestos de linealidad. Esta comunicación, basada en una síntesis de diversos estudios del proyecto TRACA, propone un cambio de perspectiva: desplazar el foco desde la retención institucional hacia la persistencia del estudiante, reconociendo las trayectorias complejas </w:t>
      </w:r>
      <w:r w:rsidR="00AE1571">
        <w:rPr>
          <w:rFonts w:ascii="Times New Roman" w:hAnsi="Times New Roman" w:cs="Times New Roman"/>
          <w:lang w:val="es-ES"/>
        </w:rPr>
        <w:t>–</w:t>
      </w:r>
      <w:r w:rsidRPr="00D96EF3">
        <w:rPr>
          <w:rFonts w:ascii="Times New Roman" w:hAnsi="Times New Roman" w:cs="Times New Roman"/>
          <w:lang w:val="es-ES"/>
        </w:rPr>
        <w:t>itinerarios no lineales, intermitentes o con cambios de programa</w:t>
      </w:r>
      <w:r w:rsidR="00AE1571">
        <w:rPr>
          <w:rFonts w:ascii="Times New Roman" w:hAnsi="Times New Roman" w:cs="Times New Roman"/>
          <w:lang w:val="es-ES"/>
        </w:rPr>
        <w:t>–</w:t>
      </w:r>
      <w:r w:rsidRPr="00D96EF3">
        <w:rPr>
          <w:rFonts w:ascii="Times New Roman" w:hAnsi="Times New Roman" w:cs="Times New Roman"/>
          <w:lang w:val="es-ES"/>
        </w:rPr>
        <w:t xml:space="preserve"> como recorridos legítimos y no como indicadores de fracaso.</w:t>
      </w:r>
    </w:p>
    <w:p w14:paraId="7539E449" w14:textId="44200C70" w:rsidR="00DD7D90" w:rsidRPr="00D96EF3" w:rsidRDefault="00DD7D90" w:rsidP="00930834">
      <w:pPr>
        <w:spacing w:line="240" w:lineRule="auto"/>
        <w:jc w:val="both"/>
        <w:rPr>
          <w:rFonts w:ascii="Times New Roman" w:hAnsi="Times New Roman" w:cs="Times New Roman"/>
          <w:lang w:val="es-ES"/>
        </w:rPr>
      </w:pPr>
      <w:r w:rsidRPr="00D96EF3">
        <w:rPr>
          <w:rFonts w:ascii="Times New Roman" w:hAnsi="Times New Roman" w:cs="Times New Roman"/>
          <w:lang w:val="es-ES"/>
        </w:rPr>
        <w:t xml:space="preserve">A partir del análisis de datos de la encuesta ETEFIL-19, se constata que la no linealidad es un fenómeno estructural, afectando al 49,7% de los estudiantes universitarios. El factor de complejidad más frecuente es el cambio de estudios (25,6%), el cual funciona como un proceso de ajuste proactivo entre expectativas y capacidades. No obstante, el análisis revela que la navegación por estas trayectorias está profundamente condicionada por el origen social. Mientras que las clases medias y altas utilizan el cambio como una ventaja compensatoria </w:t>
      </w:r>
      <w:r w:rsidR="00DB4827">
        <w:rPr>
          <w:rFonts w:ascii="Times New Roman" w:hAnsi="Times New Roman" w:cs="Times New Roman"/>
          <w:lang w:val="es-ES"/>
        </w:rPr>
        <w:t>–</w:t>
      </w:r>
      <w:r w:rsidRPr="00D96EF3">
        <w:rPr>
          <w:rFonts w:ascii="Times New Roman" w:hAnsi="Times New Roman" w:cs="Times New Roman"/>
          <w:lang w:val="es-ES"/>
        </w:rPr>
        <w:t>una "red de seguridad" que permite el derecho a equivocarse para evitar el descenso de estatus</w:t>
      </w:r>
      <w:r w:rsidR="00DB4827">
        <w:rPr>
          <w:rFonts w:ascii="Times New Roman" w:hAnsi="Times New Roman" w:cs="Times New Roman"/>
          <w:lang w:val="es-ES"/>
        </w:rPr>
        <w:t>–</w:t>
      </w:r>
      <w:r w:rsidRPr="00D96EF3">
        <w:rPr>
          <w:rFonts w:ascii="Times New Roman" w:hAnsi="Times New Roman" w:cs="Times New Roman"/>
          <w:lang w:val="es-ES"/>
        </w:rPr>
        <w:t>, los estudiantes de clase trabajadora enfrentan un descuento temporal más punitivo y sentimientos de deuda familiar, lo que suele derivar en reorientaciones hacia estudios más cortos (</w:t>
      </w:r>
      <w:r w:rsidRPr="00D96EF3">
        <w:rPr>
          <w:rFonts w:ascii="Times New Roman" w:hAnsi="Times New Roman" w:cs="Times New Roman"/>
          <w:i/>
          <w:iCs/>
          <w:lang w:val="es-ES"/>
        </w:rPr>
        <w:t>reverse transfer</w:t>
      </w:r>
      <w:r w:rsidRPr="00D96EF3">
        <w:rPr>
          <w:rFonts w:ascii="Times New Roman" w:hAnsi="Times New Roman" w:cs="Times New Roman"/>
          <w:lang w:val="es-ES"/>
        </w:rPr>
        <w:t>) o en el abandono definitivo ante las dificultades.</w:t>
      </w:r>
    </w:p>
    <w:p w14:paraId="48F7AE18" w14:textId="4686E0FA" w:rsidR="00DD7D90" w:rsidRPr="00D96EF3" w:rsidRDefault="00DD7D90" w:rsidP="00930834">
      <w:pPr>
        <w:spacing w:line="240" w:lineRule="auto"/>
        <w:jc w:val="both"/>
        <w:rPr>
          <w:rFonts w:ascii="Times New Roman" w:hAnsi="Times New Roman" w:cs="Times New Roman"/>
          <w:lang w:val="es-ES"/>
        </w:rPr>
      </w:pPr>
      <w:r w:rsidRPr="00D96EF3">
        <w:rPr>
          <w:rFonts w:ascii="Times New Roman" w:hAnsi="Times New Roman" w:cs="Times New Roman"/>
          <w:lang w:val="es-ES"/>
        </w:rPr>
        <w:t xml:space="preserve">En este contexto, la universidad online emerge como un mecanismo </w:t>
      </w:r>
      <w:r w:rsidR="00FD47FE">
        <w:rPr>
          <w:rFonts w:ascii="Times New Roman" w:hAnsi="Times New Roman" w:cs="Times New Roman"/>
          <w:lang w:val="es-ES"/>
        </w:rPr>
        <w:t>de posible</w:t>
      </w:r>
      <w:r w:rsidRPr="00D96EF3">
        <w:rPr>
          <w:rFonts w:ascii="Times New Roman" w:hAnsi="Times New Roman" w:cs="Times New Roman"/>
          <w:lang w:val="es-ES"/>
        </w:rPr>
        <w:t xml:space="preserve"> equidad, actuando como una "segunda oportunidad" que permite a los estudiantes no tradicionales resincronizar los hilos de la educación, el trabajo y la familia. El </w:t>
      </w:r>
      <w:r w:rsidR="006C0DE8">
        <w:rPr>
          <w:rFonts w:ascii="Times New Roman" w:hAnsi="Times New Roman" w:cs="Times New Roman"/>
          <w:lang w:val="es-ES"/>
        </w:rPr>
        <w:t>texto</w:t>
      </w:r>
      <w:r w:rsidRPr="00D96EF3">
        <w:rPr>
          <w:rFonts w:ascii="Times New Roman" w:hAnsi="Times New Roman" w:cs="Times New Roman"/>
          <w:lang w:val="es-ES"/>
        </w:rPr>
        <w:t xml:space="preserve"> concluye con la necesidad urgente de reformar los indicadores de evaluación para que monitoricen la persistencia global en el sistema y de garantizar el derecho a una reubicación estratégica.</w:t>
      </w:r>
    </w:p>
    <w:p w14:paraId="35A6682C" w14:textId="58938C04" w:rsidR="00BA642E" w:rsidRPr="007B5B5F" w:rsidRDefault="00BA642E" w:rsidP="00930834">
      <w:pPr>
        <w:spacing w:line="240" w:lineRule="auto"/>
        <w:jc w:val="both"/>
        <w:rPr>
          <w:rFonts w:ascii="Times New Roman" w:hAnsi="Times New Roman" w:cs="Times New Roman"/>
          <w:b/>
          <w:bCs/>
        </w:rPr>
      </w:pPr>
    </w:p>
    <w:p w14:paraId="2994BAB3" w14:textId="316E15C7" w:rsidR="00BA642E" w:rsidRPr="007B5B5F" w:rsidRDefault="00BA642E" w:rsidP="00930834">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D96EF3">
        <w:rPr>
          <w:rFonts w:ascii="Times New Roman" w:hAnsi="Times New Roman" w:cs="Times New Roman"/>
        </w:rPr>
        <w:t>trayectorias complejas</w:t>
      </w:r>
      <w:r w:rsidRPr="007B5B5F">
        <w:rPr>
          <w:rFonts w:ascii="Times New Roman" w:hAnsi="Times New Roman" w:cs="Times New Roman"/>
        </w:rPr>
        <w:t xml:space="preserve">, </w:t>
      </w:r>
      <w:r w:rsidR="00D96EF3">
        <w:rPr>
          <w:rFonts w:ascii="Times New Roman" w:hAnsi="Times New Roman" w:cs="Times New Roman"/>
        </w:rPr>
        <w:t>desigualdad social, persistencia académica, universidad online, ventaja compensatoria.</w:t>
      </w:r>
      <w:r w:rsidRPr="007B5B5F">
        <w:rPr>
          <w:rFonts w:ascii="Times New Roman" w:hAnsi="Times New Roman" w:cs="Times New Roman"/>
        </w:rPr>
        <w:t xml:space="preserve"> </w:t>
      </w:r>
    </w:p>
    <w:p w14:paraId="6A5547A1" w14:textId="36B7FAC2" w:rsidR="00BA642E" w:rsidRPr="007B5B5F" w:rsidRDefault="00BA642E" w:rsidP="00930834">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5972A94F" w14:textId="77777777" w:rsidR="00C14778" w:rsidRPr="001A0D82" w:rsidRDefault="00C14778"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lastRenderedPageBreak/>
        <w:t>La comunicación que aquí se presenta consiste en un estudio de síntesis que se nutre de los resultados de diversos trabajos de análisis enmarcados en el proyecto TRACA, financiado por el Ministerio de Ciencia, Innovación y Universidades del gobierno central de España (PID2023-147162NB-031).</w:t>
      </w:r>
    </w:p>
    <w:p w14:paraId="1ED61085" w14:textId="77777777" w:rsidR="00C14778" w:rsidRPr="001A0D82" w:rsidRDefault="00C14778"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El proyecto TRACA explora las trayectorias educativas complejas poniendo el foco en cómo los estudiantes se desvían de los itinerarios educativos tradicionales. Se parte de la premisa que muchos estudiantes realizan cambios en sus estudios antes de completar una etapa educativa –de grado, de institución o de modalidad (presencial/virtual). El estudio incluye un análisis de desigualdades de origen social, y en algunas ocasiones de género, investigando las causas y el impacto de los cambios de trayectoria en los resultados académicos, con el objetivo de contribuir a la equidad educativa y mejorar las oportunidades del estudiantado.</w:t>
      </w:r>
    </w:p>
    <w:p w14:paraId="15448979" w14:textId="77777777" w:rsidR="00C14778" w:rsidRPr="001A0D82" w:rsidRDefault="00C14778"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Los estudios que constituyen la base de esta síntesis analizan diversas fuentes y bases de datos, todos ellos han dado lugar a resultados de investigación incluidos en artículos que actualmente se encuentran en proceso de evaluación (o de publicación) en diferentes revistas científicas:</w:t>
      </w:r>
    </w:p>
    <w:p w14:paraId="015AA18E" w14:textId="77777777" w:rsidR="00C14778" w:rsidRPr="001A0D82" w:rsidRDefault="00C14778"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Concepto de Trayectorias: Este trabajo propone el marco conceptual de las trayectorias complejas para integrar los recorridos no lineales en la evaluación del sistema y desplazar el foco institucional hacia la persistencia global del estudiante (Troiano y Chales, en revisión).</w:t>
      </w:r>
    </w:p>
    <w:p w14:paraId="0CF479B7" w14:textId="77777777" w:rsidR="00C14778" w:rsidRPr="001A0D82" w:rsidRDefault="00C14778"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Trayectorias tras Bachillerato: La investigación utiliza la encuesta ETEFIL-19 para clasificar los diversos itinerarios educativos tras el bachillerato y explorar las lógicas de mejora o reorientación que definen las trayectorias complejas (Troiano y Cardona-Rubio, en prensa).</w:t>
      </w:r>
    </w:p>
    <w:p w14:paraId="19EE0CA5" w14:textId="77777777" w:rsidR="00C14778" w:rsidRPr="001A0D82" w:rsidRDefault="00C14778"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Cambio de Estudios: Con el análisis de datos longitudinales de una cohorte de estudiantes en el sistema universitario catalán, el artículo demuestra que el cambio temprano de titulación es una vía eficaz de persistencia universitaria, aunque su uso como ventaja compensatoria frente al abandono está condicionado por el origen social (Troiano y Elias, en evaluación).</w:t>
      </w:r>
    </w:p>
    <w:p w14:paraId="5C67C688" w14:textId="77777777" w:rsidR="00C14778" w:rsidRPr="001A0D82" w:rsidRDefault="00C14778"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Universidad Online</w:t>
      </w:r>
      <w:r w:rsidRPr="001A0D82">
        <w:rPr>
          <w:rStyle w:val="ng-star-inserted"/>
          <w:rFonts w:ascii="Times New Roman" w:hAnsi="Times New Roman" w:cs="Times New Roman"/>
          <w:sz w:val="24"/>
          <w:szCs w:val="24"/>
        </w:rPr>
        <w:t>: Este estudio analiza cómo el traslado a la universidad virtual sirve como estrategia de persistencia y “segunda oportunidad” para estudiantes no tradicionales con responsabilidades laborales o familiares (Troiano y Duart, en evaluación).</w:t>
      </w:r>
    </w:p>
    <w:p w14:paraId="5EB2B37E" w14:textId="77777777" w:rsidR="001A0D82" w:rsidRPr="001A0D82" w:rsidRDefault="001A0D82" w:rsidP="00930834">
      <w:pPr>
        <w:pStyle w:val="Textcastell"/>
        <w:jc w:val="both"/>
        <w:rPr>
          <w:rFonts w:ascii="Times New Roman" w:hAnsi="Times New Roman" w:cs="Times New Roman"/>
          <w:b/>
          <w:bCs/>
          <w:sz w:val="24"/>
          <w:szCs w:val="24"/>
        </w:rPr>
      </w:pPr>
      <w:r w:rsidRPr="001A0D82">
        <w:rPr>
          <w:rFonts w:ascii="Times New Roman" w:hAnsi="Times New Roman" w:cs="Times New Roman"/>
          <w:b/>
          <w:bCs/>
          <w:sz w:val="24"/>
          <w:szCs w:val="24"/>
        </w:rPr>
        <w:t>La necesidad de un cambio de perspectiva</w:t>
      </w:r>
    </w:p>
    <w:p w14:paraId="089CD559"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La expansión del sistema universitario español en las últimas décadas no solo ha supuesto un crecimiento cuantitativo en la matriculación, sino una transformación cualitativa que ha dado lugar a una creciente heterogeneidad social y de perfiles estudiantiles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{"citationID":"sHUg8RRZ","properties":{"unsorted":false,"formattedCitation":"(Bara\\uc0\\u241{}ano Cid &amp; Finkel Morgenstern, 2014; Strecker, 2018)","plainCitation":"(Barañano Cid &amp; Finkel Morgenstern, 2014; Strecker, 2018)","noteIndex":0},"citationItems":[{"id":1278,"uris":["http://zotero.org/users/15180246/items/5IKMGILX"],"itemData":{"id":1278,"type":"article-journal","container-title":"Revista de la Asociación de Sociología de la Educación (RASE)","issue":"1","page":"42-60","publisher":"Asociación de Sociología de la Educación (ASE)","title":"Transmisión intergeneracional y composición social de la población estudiantil universitaria española: cambios y continuidades","volume":"7","author":[{"family":"Barañano Cid","given":"Margarita"},{"family":"Finkel Morgenstern","given":"Lucila"}],"issued":{"date-parts":[["2014"]]}}},{"id":1628,"uris":["http://zotero.org/users/15180246/items/665XGJ7S"],"itemData":{"id":1628,"type":"article-journal","page":"586-586","title":"Social Inequality in Higher Education: A longitudinal study of mechanisms of social reproduction in the University transition of young people in Catalonia","author":[{"family":"Strecker","given":"Tanja"}],"issued":{"date-parts":[["2018"]]}}}],"schema":"https://github.com/citation-style-language/schema/raw/master/csl-citation.json"}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(Barañano Cid &amp; Finkel Morgenstern, 2014; Strecker, 2018)</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En este nuevo escenario de "masas", los marcos institucionales diseñados bajo supuestos de continuidad y linealidad han </w:t>
      </w:r>
      <w:r w:rsidRPr="001A0D82">
        <w:rPr>
          <w:rFonts w:ascii="Times New Roman" w:hAnsi="Times New Roman" w:cs="Times New Roman"/>
          <w:sz w:val="24"/>
          <w:szCs w:val="24"/>
        </w:rPr>
        <w:lastRenderedPageBreak/>
        <w:t>quedado desbordados, haciendo necesaria una revisión profunda de cómo evaluamos el éxito y el fracaso académico.</w:t>
      </w:r>
    </w:p>
    <w:p w14:paraId="03B17261"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Tradicionalmente, la gestión universitaria se ha basado en indicadores de eficiencia institucional, como las tasas de idoneidad y graduación, que miden si un estudiante completa sus estudios en el tiempo previsto y en la misma institución donde comenzó. Esta perspectiva impone una visión dicotómica: o bien se sigue el camino lineal "esperado", o bien se cae en el "abandono". Sin embargo, este enfoque resulta insuficiente para captar la realidad de casi la mitad del estudiantado actual, cuyas trayectorias son no lineales, intermitentes o incluyen cambios de programa (Troiano y Chales, en revisión).</w:t>
      </w:r>
    </w:p>
    <w:p w14:paraId="497DABCF"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Para superar este desajuste, es fundamental desplazar el foco desde la institución hacia el estudiante, adoptando el concepto de trayectorias complejas. Una trayectoria compleja se define como aquel itinerario que se aparta del modelo normativo de progresión lineal, continua y en tiempo estándar, caracterizándose por la no linealidad, la heterogeneidad y la discontinuidad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{"citationID":"Y8gPUvCB","properties":{"unsorted":false,"formattedCitation":"(P\\uc0\\u234{}go et\\uc0\\u160{}al., 2024; Troiano et\\uc0\\u160{}al., 2024; Villar-Aguil\\uc0\\u233{}s &amp; Mu\\uc0\\u241{}oz-Rodr\\uc0\\u237{}guez, 2024)","plainCitation":"(Pêgo et al., 2024; Troiano et al., 2024; Villar-Aguilés &amp; Muñoz-Rodríguez, 2024)","noteIndex":0},"citationItems":[{"id":1927,"uris":["http://zotero.org/users/15180246/items/WX67WTBB"],"itemData":{"id":1927,"type":"article-journal","abstract":"The complex trajectories of higher education students are deviations from the regular path due to delays in completing a degree, dropping out, taking breaks, or changing programmes. In this study, we investigated degree changing as a cause of complex student trajectories. We characterised cohorts of students who graduated with a complex trajectory and identified the characteristics that influenced the time to graduation. To support this predictive task, we employed machine learning techniques such as neural networks, support vector machines, and random forests. In addition, we used interpretable techniques such as decision trees to derive managerial insights that could prove useful to decision-makers. We validated the proposed methodology taking the University of Porto (Portugal) as case study. The results show that the time to degree (TTD) of students with and without complex trajectories was different. Moreover, the proposed models effectively predicted TTD, outperforming two benchmark models. The random forest model proved to be the best predictor. Finally, this study shows that the factors that best predict TTD are the median TTD and the admission regime of the programme of destination of transfer students, followed by the admission average of the previous programme. By identifying students who take longer to complete their studies, targeted interventions such as counselling and tutoring can be promoted, potentially improving completion rates and educational outcomes without having to use as many resources.","container-title":"International Journal of Educational Technology in Higher Education","DOI":"10.1186/s41239-024-00438-5","issue":"1","publisher":"Springer Science and Business Media Deutschland GmbH","title":"Students’ complex trajectories: exploring degree change and time to degree","volume":"21","author":[{"family":"Pêgo","given":"João Pedro"},{"family":"Miguéis","given":"Vera Lucia"},{"family":"Soeiro","given":"Alfredo"}],"issued":{"date-parts":[["2024",12]]}}},{"id":508,"uris":["http://zotero.org/users/15180246/items/ZWLZ4PWT"],"itemData":{"id":508,"type":"article-journal","container-title":"International Journal of Educational Technology in Higher Education","DOI":"10.1186/s41239-024-00441-w","ISSN":"2365-9440","issue":"1","journalAbbreviation":"Int J Educ Technol High Educ","language":"en","license":"Creative Commons Reconeixement-NoComercial-SenseObraDerivada 4.0 Llicència Internacional","page":"2-9","source":"DOI.org (Crossref)","title":"From the main track to the winding path: considering the diversity of trajectories at university","title-short":"From the main track to the winding path","volume":"21","author":[{"family":"Troiano","given":"Helena"},{"family":"Brennan","given":"John"},{"family":"Giret","given":"Jean-François"}],"issued":{"date-parts":[["2024",2,2]]}}},{"id":472,"uris":["http://zotero.org/users/15180246/items/KEWKTMIH"],"itemData":{"id":472,"type":"article-journal","abstract":"Abstract\n            Expansion in higher education and changes in student profiles have led to an increase in non-linear trajectories that do not fit into a time frame considered standard. However, universities continue to establish success and failure parameters relating to performance indicators that do not consider the heterogeneity of trajectories. The theoretical perspective on which we base our work is the complexity approach, which resituates what we understand as a trajectory of success (and failure), incorporating a broader view to better understand how students navigate through higher education. Based on research on university dropout and changes of trajectory, we present the results of a study carried out using sequence analysis in face-to-face and online universities. The research question on which this study focuses is whether, given the context of greater heterogeneity and complexity, there could be a greater similarity between the students’ trajectories in face-to-face and online modalities in relation to complex trajectories. The results show that complex trajectories are very present in both modalities, and differences are observed according to students’ gender and age. A key conclusion is the discussion on how we consider success and failure student trajectories in the contemporary university taking into account the perspective of complexity.","container-title":"Journal of New Approaches in Educational Research","DOI":"10.1007/s44322-023-00006-1","ISSN":"2254-7339","issue":"1","journalAbbreviation":"J. New Approaches Educ. Res.","language":"en","page":"4","source":"DOI.org (Crossref)","title":"Complex trajectories in higher education students: online and face-to-face universities","title-short":"Complex trajectories in higher education students","volume":"13","author":[{"family":"Villar-Aguilés","given":"Alícia"},{"family":"Muñoz-Rodríguez","given":"David"}],"issued":{"date-parts":[["2024",3,18]]}}}],"schema":"https://github.com/citation-style-language/schema/raw/master/csl-citation.json"}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(Pêgo et al., 2024; Troiano et al., 2024; Villar-Aguilés &amp; Muñoz-Rodríguez, 2024)</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Desde el punto de vista del estudiante, lo que las instituciones a menudo registran como "abandono" es, en realidad, una reubicación estratégica. El individuo no renuncia a la educación superior, sino que ajusta su rumbo –haciendo una pausa, cambiando de grado o trasladándose de centro– para encontrar un mejor encaje entre sus expectativas, sus capacidades y sus circunstancias vitales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{"citationID":"WwEKL4cz","properties":{"unsorted":false,"formattedCitation":"(Villar Aguil\\uc0\\u233{}s et\\uc0\\u160{}al., 2012)","plainCitation":"(Villar Aguilés et al., 2012)","noteIndex":0},"citationItems":[{"id":1533,"uris":["http://zotero.org/users/15180246/items/AT6R8CSK"],"itemData":{"id":1533,"type":"article-journal","container-title":"Revista Lusófona de Educaçao","DOI":"10.1787/eag-2011-en","page":"139-162","title":"Más que abandono de estudios, trayectorias de reubicación universitaria: Aproximación comparada al caso español y portugués","volume":"21","author":[{"family":"Villar Aguilés","given":"Alícia"},{"family":"Vieira","given":"Maria Manuel"},{"family":"Hernàndez i Dobon","given":"Francesc J."},{"family":"Almeida","given":"Ana Nunes","non-dropping-particle":"de"}],"issued":{"date-parts":[["2012"]]}}}],"schema":"https://github.com/citation-style-language/schema/raw/master/csl-citation.json"}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(Villar Aguilés et al., 2012)</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7535035B"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Bajo esta nueva lente, el indicador de retención (capacidad de una facultad para mantener a un alumno en un grado concreto) debe ceder protagonismo al indicador de persistencia. Lo que realmente importa es la permanencia del estudiante dentro del sistema universitario global. Siguiendo a autores como Tinto, debemos entender que un itinerario que incluye desvíos o reincorporaciones puede ser sinuoso, pero no necesariamente fallido, ya que el objetivo final sigue siendo la obtención de un título satisfactorio desde el punto de vista del individuo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{"citationID":"i18YVtyb","properties":{"unsorted":false,"formattedCitation":"(Tinto, 2017, 2025)","plainCitation":"(Tinto, 2017, 2025)","noteIndex":0},"citationItems":[{"id":1701,"uris":["http://zotero.org/users/15180246/items/YH8ZKTZG"],"itemData":{"id":1701,"type":"article-journal","abstract":"For years, our prevailing view of student retention has been shaped by theories that view student retention through the lens of institutional action and ask what institutions can do to retain their students. Students, however, do not seek to be retained. They seek to persist. The two perspectives, though necessarily related, are not the same. Their interests are different. While the institution’s interest is to increase the proportion of their students who graduate from the institution, the student’s interest is to complete a degree often without regard to the institution in which it is earned. Although there has been much written from the former point of view, much less has been written from the latter. This article seeks to address this imbalance by laying out a conceptual model of student institutional persistence as seen through the eyes of students. Having done so, the article asks what such a model implies about institutional action to promote student persistence.","container-title":"Journal of College Student Retention: Research, Theory and Practice","DOI":"10.1177/1521025115621917","issue":"3","page":"254-269","title":"Through the Eyes of Students","volume":"19","author":[{"family":"Tinto","given":"Vincent"}],"issued":{"date-parts":[["2017"]]}}},{"id":1930,"uris":["http://zotero.org/users/15180246/items/L68N75UQ"],"itemData":{"id":1930,"type":"article-journal","abstract":"Unlike many earlier models of student persistence that viewed the process of student persistence through the lens of the institution, the model proposed here looks at persistence through the eyes of students. It draws on the research on student motivation, student perceptions, and the impact of student networks on student engagement to propose a model of student persistence that stresses the importance of student perceptions of their engagement with others on campus and the meanings their draw from their engagements to their decisions to stay or leave. In doing so, it argues that to further promote student persistence, institutions should ask how their actions can influence student perceptions and in turn their motivation to learn and persist.","container-title":"Journal of College Student Retention","issue":"4","page":"959-969","title":"Student Persistence Through a Different Lens","volume":"26","author":[{"family":"Tinto","given":"Vincent"}],"issued":{"date-parts":[["2025"]]}}}],"schema":"https://github.com/citation-style-language/schema/raw/master/csl-citation.json"}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(Tinto, 2017, 2025)</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0DCEAE20"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Reconocer las trayectorias complejas como recorridos legítimos y no como indicadores de fracaso permite, además, identificar nuevas formas de desigualdad horizontal. No todos los estudiantes navegan la complejidad con los mismos recursos: mientras que para las clases medias el cambio puede ser una "segunda oportunidad" protegida por una red de seguridad, para los estudiantes de entornos vulnerables, la falta de linealidad puede ser el preludio de una exclusión definitiva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{"citationID":"k2SIcjsm","properties":{"unsorted":false,"formattedCitation":"(S\\uc0\\u225{}nchez-Gelabert &amp; Troiano, 2024)","plainCitation":"(Sánchez-Gelabert &amp; Troiano, 2024)","noteIndex":0},"citationItems":[{"id":967,"uris":["http://zotero.org/users/15180246/items/ZZK2248S"],"itemData":{"id":967,"type":"article-journal","container-title":"Studies in Higher Education","DOI":"10.1080/03075079.2023.2281539","ISSN":"0307-5079, 1470-174X","issue":"11","journalAbbreviation":"Studies in Higher Education","language":"en","page":"1867-1883","source":"DOI.org (Crossref)","title":"Compensatory advantage after the first year at university in the Catalan system: between continuing, transferring and dropping out","title-short":"Compensatory advantage after the first year at university in the Catalan system","volume":"49","author":[{"family":"Sánchez-Gelabert","given":"Albert"},{"family":"Troiano","given":"Helena"}],"issued":{"date-parts":[["2024",11]]}}}],"schema":"https://github.com/citation-style-language/schema/raw/master/csl-citation.json"}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(Sánchez-Gelabert &amp; Troiano, 2024; Troiano y Elias, en evaluación)</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4CFAC309"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b/>
          <w:bCs/>
          <w:sz w:val="24"/>
          <w:szCs w:val="24"/>
        </w:rPr>
        <w:t>Hacia una clasificación de las trayectorias complejas</w:t>
      </w:r>
    </w:p>
    <w:p w14:paraId="4B192010"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El cambio de perspectiva propuesto en el anterior apartado tiene implicaciones más allá de la administración universitaria, puesto que obliga a la investigación académica a desplazar su mirada desde la eficiencia de las instituciones hacia la experiencia real de los individuos. Si entendemos que el estudiante busca persistir en el sistema para </w:t>
      </w:r>
      <w:r w:rsidRPr="001A0D82">
        <w:rPr>
          <w:rFonts w:ascii="Times New Roman" w:hAnsi="Times New Roman" w:cs="Times New Roman"/>
          <w:sz w:val="24"/>
          <w:szCs w:val="24"/>
        </w:rPr>
        <w:lastRenderedPageBreak/>
        <w:t>encontrar un encaje entre sus expectativas y su realidad vital, el estudio de estas trayectorias se vuelve imprescindible. Sin embargo, antes de emprender la tarea de analizar tales trayectorias y sus implicaciones, su gran diversidad hace necesario un esfuerzo de clasificación taxonómica que permita ordenar la complejidad empírica y convertirla en una herramienta analítica robusta (Troiano y Chales, en revisión).</w:t>
      </w:r>
    </w:p>
    <w:p w14:paraId="1DEFDFF4"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En este marco, la trayectoria compleja se define formalmente como aquel itinerario que se aparta del modelo institucional de progresión lineal, continua y en tiempo estándar. Para operacionalizar este concepto, la complejidad puede definirse a partir de la concurrencia de cinco factores fundamentales (Troiano y Chales, en revisión):</w:t>
      </w:r>
    </w:p>
    <w:p w14:paraId="166F5AD3"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i/>
          <w:iCs/>
          <w:sz w:val="24"/>
          <w:szCs w:val="24"/>
        </w:rPr>
        <w:t>Abandono</w:t>
      </w:r>
      <w:r w:rsidRPr="001A0D82">
        <w:rPr>
          <w:rFonts w:ascii="Times New Roman" w:hAnsi="Times New Roman" w:cs="Times New Roman"/>
          <w:sz w:val="24"/>
          <w:szCs w:val="24"/>
        </w:rPr>
        <w:t>: Superando la visión dicotómica tradicional, el abandono no se entiende solo como la salida del sistema, sino como un estado específico dentro de la trayectoria. Se distingue entre el abandono sin matrícula –cuando se concluye una etapa y no se matricula la siguiente, es decir, previo a la transición– y el abandono con matrícula, que ocurre una vez iniciada una etapa e implica que el estudiante no llega a graduarse. Para que una trayectoria sea considerada compleja y no simplemente de fracaso, el abandono suele ser un hito temporal tras el cual el estudiante reingresa o se reubica.</w:t>
      </w:r>
    </w:p>
    <w:p w14:paraId="48FC198F"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i/>
          <w:iCs/>
          <w:sz w:val="24"/>
          <w:szCs w:val="24"/>
        </w:rPr>
        <w:t>Intermitencia</w:t>
      </w:r>
      <w:r w:rsidRPr="001A0D82">
        <w:rPr>
          <w:rFonts w:ascii="Times New Roman" w:hAnsi="Times New Roman" w:cs="Times New Roman"/>
          <w:sz w:val="24"/>
          <w:szCs w:val="24"/>
        </w:rPr>
        <w:t>: Este factor describe las pausas temporales en el estudio. Incluye tanto el "stop-out" (interrupción y posterior regreso a los mismos estudios) como el "gap year" o año sabático entre etapas educativas. Estas pausas suelen ser momentos críticos de reorganización biográfica donde se entrelazan los hilos de la educación, el trabajo y la familia.</w:t>
      </w:r>
    </w:p>
    <w:p w14:paraId="0A6D52AD"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i/>
          <w:iCs/>
          <w:sz w:val="24"/>
          <w:szCs w:val="24"/>
        </w:rPr>
        <w:t>Cambio</w:t>
      </w:r>
      <w:r w:rsidRPr="001A0D82">
        <w:rPr>
          <w:rFonts w:ascii="Times New Roman" w:hAnsi="Times New Roman" w:cs="Times New Roman"/>
          <w:sz w:val="24"/>
          <w:szCs w:val="24"/>
        </w:rPr>
        <w:t xml:space="preserve"> (o reubicación): Es la fuente más habitual de complejidad. El estudiante modifica su itinerario inicial trasladándose de programa, institución o modalidad (como el paso de la universidad presencial a la online). Estos cambios pueden analizarse también según su dirección: pueden ser horizontales (dentro del mismo nivel educativo) o verticales descendentes (reverse transfer), como el tránsito de un grado universitario a un programa de formación técnica superior (</w:t>
      </w:r>
      <w:r w:rsidRPr="001A0D82">
        <w:rPr>
          <w:rFonts w:ascii="Times New Roman" w:hAnsi="Times New Roman" w:cs="Times New Roman"/>
          <w:i/>
          <w:iCs/>
          <w:sz w:val="24"/>
          <w:szCs w:val="24"/>
        </w:rPr>
        <w:t>higher VET</w:t>
      </w:r>
      <w:r w:rsidRPr="001A0D82">
        <w:rPr>
          <w:rFonts w:ascii="Times New Roman" w:hAnsi="Times New Roman" w:cs="Times New Roman"/>
          <w:sz w:val="24"/>
          <w:szCs w:val="24"/>
        </w:rPr>
        <w:t>). Además, puede entrar en la clasificación y el análisis la lejanía de la disciplina hacia la que se realiza un cambio de estudios.</w:t>
      </w:r>
    </w:p>
    <w:p w14:paraId="1F097484"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i/>
          <w:iCs/>
          <w:sz w:val="24"/>
          <w:szCs w:val="24"/>
        </w:rPr>
        <w:t>Transición no esperada</w:t>
      </w:r>
      <w:r w:rsidRPr="001A0D82">
        <w:rPr>
          <w:rFonts w:ascii="Times New Roman" w:hAnsi="Times New Roman" w:cs="Times New Roman"/>
          <w:sz w:val="24"/>
          <w:szCs w:val="24"/>
        </w:rPr>
        <w:t>: Se refiere a los pasos entre etapas que no siguen el escalonamiento "natural" o previsto por el sistema. Esto incluye transiciones hacia áreas de conocimiento muy alejadas de la formación completada en la etapa anterior o la matrícula simultánea en dos estudios, como ocurre en los programas de doble grado.</w:t>
      </w:r>
    </w:p>
    <w:p w14:paraId="48C7B23C"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i/>
          <w:iCs/>
          <w:sz w:val="24"/>
          <w:szCs w:val="24"/>
        </w:rPr>
        <w:t>Retraso</w:t>
      </w:r>
      <w:r w:rsidRPr="001A0D82">
        <w:rPr>
          <w:rFonts w:ascii="Times New Roman" w:hAnsi="Times New Roman" w:cs="Times New Roman"/>
          <w:sz w:val="24"/>
          <w:szCs w:val="24"/>
        </w:rPr>
        <w:t>: Este factor agrupa las trayectorias que progresan a un ritmo más lento que la duración teórica prevista. El retraso no debe verse necesariamente como una falta de capacidad para cumplir con las exigencias académicas, sino a menudo como una adaptación funcional –por ejemplo, mediante matrículas a tiempo parcial que permiten al estudiante conciliar sus estudios con responsabilidades laborales–, o como consecuencia de cualquiera de las otras fuentes de complejidad contempladas –siendo las más habituales que generan un retraso la intermitencia o el cambio.</w:t>
      </w:r>
    </w:p>
    <w:p w14:paraId="300D902C"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lastRenderedPageBreak/>
        <w:t xml:space="preserve">En definitiva, estos cinco factores pueden actuar de forma independiente o acumulativa. Su análisis detallado permite comprender que lo que las instituciones a menudo registran como una baja o retraso es, en realidad, una reubicación estratégica o una adaptación a un desajuste de expectativas, a los requerimientos académicos, o a cambios en las condiciones de vida del estudiante. </w:t>
      </w:r>
    </w:p>
    <w:p w14:paraId="1360C2CD" w14:textId="77777777" w:rsidR="001A0D82" w:rsidRPr="001A0D82" w:rsidRDefault="001A0D82" w:rsidP="00930834">
      <w:pPr>
        <w:pStyle w:val="Textcastell"/>
        <w:jc w:val="both"/>
        <w:rPr>
          <w:rFonts w:ascii="Times New Roman" w:hAnsi="Times New Roman" w:cs="Times New Roman"/>
          <w:b/>
          <w:bCs/>
          <w:sz w:val="24"/>
          <w:szCs w:val="24"/>
        </w:rPr>
      </w:pPr>
      <w:r w:rsidRPr="001A0D82">
        <w:rPr>
          <w:rFonts w:ascii="Times New Roman" w:hAnsi="Times New Roman" w:cs="Times New Roman"/>
          <w:b/>
          <w:bCs/>
          <w:sz w:val="24"/>
          <w:szCs w:val="24"/>
        </w:rPr>
        <w:t>Magnitud y medida de las trayectorias complejas</w:t>
      </w:r>
    </w:p>
    <w:p w14:paraId="021DEBA6"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Para contrastar la validez de los conceptos teóricos expuestos anteriormente y analizar cómo se despliegan estos recorridos en la realidad del sistema educativo, se llevó a cabo un análisis (Troiano y Chales, en revisión) a partir de una base de datos de gran robustez estadística: la Encuesta de Transición Educativa-Formativa e Inserción Laboral (ETEFIL-2019), elaborada por el Instituto Nacional de Estadística español (INE). Esta fuente permite realizar un seguimiento longitudinal detallado de una cohorte específica: el alumnado que finalizó con éxito el Bachillerato (educación media superior, rama académica) en el curso 2013-2014 en todo el territorio español. El estudio reconstruye sus itinerarios formativos y laborales durante un periodo de seis cursos (hasta 2019-2020), lo que ofrece una ventana temporal suficiente para observar fenómenos de intermitencia, cambios de centro y graduaciones.</w:t>
      </w:r>
    </w:p>
    <w:p w14:paraId="50E5E31F"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A partir de una muestra inicial de 5.361 individuos, el análisis se focaliza en el subgrupo de 4.325 casos que se matricularon en algún momento en estudios universitarios. Los resultados obtenidos evidencian que la no linealidad no es una anomalía marginal, sino una característica estructural del sistema. Entre el estudiantado con matrícula universitaria, las trayectorias complejas representan el 49,7% de los casos, superando ligeramente a las trayectorias lineales (45,9%), mientras que las trayectorias de abandono definitivo del sistema universitario se sitúan en un 4,4%.</w:t>
      </w:r>
    </w:p>
    <w:p w14:paraId="1E46EF5D"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Al desglosar los factores que componen esta complejidad, se observa que el cambio de área de conocimiento o de institución es la fuente más habitual de diversificación, afectando al 25,6% del total de universitarios y representando el 52% de todos los casos complejos. Por su parte, las transiciones no esperadas (como cursar dobles grados o trasladarse a ciclos formativos tras el paso por la universidad) alcanzan el 15,9%, mientras que la intermitencia o pausas temporales están presentes en el 11,2% de los itinerarios.</w:t>
      </w:r>
    </w:p>
    <w:p w14:paraId="225977C3"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Por otro lado, con datos longitudinales de la cohorte 2013-14 del sistema universitario catalán (universidades presenciales, aproximadamente 34.000 estudiantes), se pone de manifiesto que los estudiantes que optan por la reubicación en su segundo año logran niveles de graduación y persistencia superiores al 70% (Troiano y Elias, en evaluación).</w:t>
      </w:r>
    </w:p>
    <w:p w14:paraId="5D54376C"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Los resultados de una y otra investigación confirman que el cambio es una opción muy habitual y constituye un ajuste proactivo, no una ineficiencia del sistema, lo que refuerza la necesidad de abandonar los indicadores de gestión basados únicamente en la retención institucional para adoptar una mirada centrada en la trayectoria biográfica y la persistencia global en el sistema universitario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{"citationID":"3QwjRN0M","properties":{"unsorted":false,"formattedCitation":"(Tinto, 2025)","plainCitation":"(Tinto, 2025)","noteIndex":0},"citationItems":[{"id":1930,"uris":["http://zotero.org/users/15180246/items/L68N75UQ"],"itemData":{"id":1930,"type":"article-journal","abstract":"Unlike many earlier models of student persistence that viewed the process of student persistence through the lens of the institution, the model proposed here looks at persistence through the eyes of students. It draws on the research on student motivation, student perceptions, and the impact of student networks on student engagement to propose a model of student persistence that stresses the importance of student perceptions of their engagement with others on campus and the meanings their draw from their engagements to their decisions to stay or leave. In doing so, it argues that to further promote student persistence, institutions should ask how their actions can influence student perceptions and in turn their motivation to learn and persist.","container-title":"Journal of College Student Retention","issue":"4","page":"959-969","title":"Student Persistence Through a Different Lens","volume":"26","author":[{"family":"Tinto","given":"Vincent"}],"issued":{"date-parts":[["2025"]]}}}],"schema":"https://github.com/citation-style-language/schema/raw/master/csl-citation.json"}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(Tinto, 2025)</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02DF244C" w14:textId="77777777" w:rsidR="001A0D82" w:rsidRPr="001A0D82" w:rsidRDefault="001A0D82" w:rsidP="00930834">
      <w:pPr>
        <w:pStyle w:val="Textcastell"/>
        <w:jc w:val="both"/>
        <w:rPr>
          <w:rFonts w:ascii="Times New Roman" w:hAnsi="Times New Roman" w:cs="Times New Roman"/>
          <w:b/>
          <w:bCs/>
          <w:sz w:val="24"/>
          <w:szCs w:val="24"/>
        </w:rPr>
      </w:pPr>
      <w:r w:rsidRPr="001A0D82">
        <w:rPr>
          <w:rFonts w:ascii="Times New Roman" w:hAnsi="Times New Roman" w:cs="Times New Roman"/>
          <w:b/>
          <w:bCs/>
          <w:sz w:val="24"/>
          <w:szCs w:val="24"/>
        </w:rPr>
        <w:lastRenderedPageBreak/>
        <w:t>La lógica social del cambio de estudios</w:t>
      </w:r>
    </w:p>
    <w:p w14:paraId="458026F7"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Como se ha analizado en los apartados anteriores, las trayectorias de cambio o reubicación –ya sea de área de conocimiento, de centro o de modalidad– constituyen el factor que más contribuye a la configuración de las trayectorias complejas en la universidad española, representando el 52% de estos itinerarios (Troiano y Chales, en revisión). Por este motivo, este trabajo se centra específicamente en estos procesos de tránsito. Una vez constatada su magnitud estadística, el interés analítico debe desplazarse hacia el significado biográfico y social que estos cambios tienen para los estudiantes que los navegan. Estos recorridos no son meros ajustes técnicos o administrativos; son respuestas estratégicas profundamente condicionadas por el origen social, lo que revela cómo la desigualdad se manifiesta no solo en el acceso, sino en la manera en que se gestiona la permanencia en el sistema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{"citationID":"VsbaYXWq","properties":{"unsorted":false,"formattedCitation":"(S\\uc0\\u225{}nchez-Gelabert &amp; Troiano, 2024; Troiano &amp; S\\uc0\\u225{}nchez-Gelabert, 2025a)","plainCitation":"(Sánchez-Gelabert &amp; Troiano, 2024; Troiano &amp; Sánchez-Gelabert, 2025a)","noteIndex":0},"citationItems":[{"id":967,"uris":["http://zotero.org/users/15180246/items/ZZK2248S"],"itemData":{"id":967,"type":"article-journal","container-title":"Studies in Higher Education","DOI":"10.1080/03075079.2023.2281539","ISSN":"0307-5079, 1470-174X","issue":"11","journalAbbreviation":"Studies in Higher Education","language":"en","page":"1867-1883","source":"DOI.org (Crossref)","title":"Compensatory advantage after the first year at university in the Catalan system: between continuing, transferring and dropping out","title-short":"Compensatory advantage after the first year at university in the Catalan system","volume":"49","author":[{"family":"Sánchez-Gelabert","given":"Albert"},{"family":"Troiano","given":"Helena"}],"issued":{"date-parts":[["2024",11]]}}},{"id":961,"uris":["http://zotero.org/users/15180246/items/FJHGPB9S"],"itemData":{"id":961,"type":"article-journal","abstract":"This article analyses the trajectories followed by university students throughout their degrees using longitudinal data from a cohort entering eleven on-site universities in the Catalan system in 2012–2013 (n = 30,392). The analysis is carried out in two steps. First, types of academic trajectories are identified and described using Group Based Trajectory Modelling, and each type is related to students’ final academic outcomes over a seven-year period. Then, the probability of students belonging to each trajectory type is estimated according to academic and socio-demographic variables, disaggregated by field of study, to detect inequalities and specific patterns across disciplinary areas. The results indicate that the most frequent trajectory is stable high achievers, though trajectories marked by academic difficulties are observed. Academic variables are the strongest predictors of trajectory type, while among socio-demographic factors, age stands out, reflecting the greater time constraints often faced by older students in relation to their broader life course, which can limit ability or willingness to extend their studies when difficulties arise. Gender also has an effect, while social background has a more limited role. Patterns are most marked in STEM, where even high-entry-grade students face greater challenges, and older students show a reduced tendency towards recovery trajectories.","container-title":"European Journal of Higher Education","DOI":"10.1080/21568235.2025.2556438","ISSN":"2156-8235, 2156-8243","journalAbbreviation":"European Journal of Higher Education","language":"en","page":"1-23","source":"DOI.org (Crossref)","title":"Patterns of university progression and social inequalities: delving into complex trajectories in higher education","title-short":"Patterns of university progression and social inequalities","author":[{"family":"Troiano","given":"Helena"},{"family":"Sánchez-Gelabert","given":"Albert"}],"issued":{"date-parts":[["2025",9,12]]}}}],"schema":"https://github.com/citation-style-language/schema/raw/master/csl-citation.json"}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(Sánchez-Gelabert &amp; Troiano, 2024; Troiano &amp; Sánchez-Gelabert, 2025a)</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6063A3C7"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La Teoría de la Elección Racional (TER), en su versión sociologizada, permite comprender esta lógica mediante el concepto de aversión a la pérdida (Loss Aversion)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{"citationID":"88ZeVBpX","properties":{"unsorted":false,"formattedCitation":"(Barone et\\uc0\\u160{}al., 2021; Breen &amp; Yaish, 2006)","plainCitation":"(Barone et al., 2021; Breen &amp; Yaish, 2006)","noteIndex":0},"citationItems":[{"id":1672,"uris":["http://zotero.org/users/15180246/items/83ZVMU4W"],"itemData":{"id":1672,"type":"article-journal","abstract":"This work examines the validity of the two main assumptions of relative risk-aversion models of educational inequality. We compare the Breen-Goldthorpe (BG) and the Breen-Yaish (BY) models in terms of their assumptions about status maintenance motives and beliefs about the occupational risks associated with educational decisions. Concerning the first assumption, our contribution is threefold. First, we criticise the assumption of the BG model that families aim only at avoiding downward mobility and are insensitive to the prospects of upward mobility. We argue that the loss-aversion assumption proposed by BY is a more realistic formulation of status-maintenance motives. Second, we propose and implement a novel empirical approach to assess the validity of the loss-aversion assumption. Third, we present empirical results based on a sample of families of lower secondary school leavers indicating that families are sensitive to the prospects of both upward and downward mobility, and that the loss-aversion hypothesis of BY is empirically supported. As regards the risky choice assumption, we argue that families may not believe that more ambitious educational options entail occupational risks relative to less ambitious ones. We present empirical evidence indicating that, in France, the academic path is not perceived as a risky option. We conclude that, if the restrictive assumptions of the BG model are removed, relative-risk aversion needs not drive educational inequalities.","container-title":"Rationality and Society","DOI":"10.1177/1043463121994087","issue":"2","page":"143-175","title":"Relative risk aversion models: How plausible are their assumptions?","volume":"33","author":[{"family":"Barone","given":"Carlo"},{"family":"Barg","given":"Katherin"},{"family":"Ichou","given":"Mathieu"}],"issued":{"date-parts":[["2021"]]}}},{"id":1736,"uris":["http://zotero.org/users/15180246/items/SS5B9LKL"],"itemData":{"id":1736,"type":"book","abstract":"The Breen and Goldthorpe (1997) model of educational decision making aims to provide an explanation for the temporal constancy of class differences in educational attainment between young people from different class origins. In this paper we test their hypothesis that class differences in educational choices, over and above those that spring from differences in resources and in the subjective probability of succeeding in various educational options, can be explained in terms of what Breen and Goldthorpe call 'relative risk aversion'. For this purpose we use data on men in the British National Child Development Study. We find some support for the relative risk aversion mechanism and we discuss some of the problems that arise is seeking to operationalize tests of the theory.","collection-title":"Mobility and Inequalities: Frontiers of Research in Sociology and Economics","ISBN":"978-0-8047-5249-7","note":"issue: August\npage: 258","number-of-pages":"232","publisher":"Stanford University Press","publisher-place":"Stanford","title":"Testing the Breen – Goldthorpe Model of Educational Decision Making Richard","author":[{"family":"Breen","given":"Richard"},{"family":"Yaish","given":"Meir"}],"issued":{"date-parts":[["2006"]]}}}],"schema":"https://github.com/citation-style-language/schema/raw/master/csl-citation.json"}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(Barone et al., 2021; Breen &amp; Yaish, 2006)</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Según este principio, los individuos están más motivados por evitar el descenso de estatus respecto a su familia de origen que por la propia movilidad ascendente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{"citationID":"dGfynwAV","properties":{"unsorted":false,"formattedCitation":"(Breen, 2001; Goldthorpe, 2010; Hillmert &amp; Jacob, 2003; Holm &amp; Jaeger, 2008)","plainCitation":"(Breen, 2001; Goldthorpe, 2010; Hillmert &amp; Jacob, 2003; Holm &amp; Jaeger, 2008)","noteIndex":0},"citationItems":[{"id":1095,"uris":["http://zotero.org/users/15180246/items/I8S2HWGP"],"itemData":{"id":1095,"type":"article-journal","container-title":"Estudios/Working Papers (Centro de Estudios …","issue":"October","page":"29-29","publisher-place":"Madrid","title":"A rational choice model of educational inequality","author":[{"family":"Breen","given":"Richard"}],"issued":{"date-parts":[["2001"]]}}},{"id":1119,"uris":["http://zotero.org/users/15180246/items/VGYHZBYZ"],"itemData":{"id":1119,"type":"article-journal","container-title":"British Journal of Sociology","issue":"1","page":"311-335","title":"Class analysis and the reorientation of class theory: the case of persisting differentials in educational attainment.","volume":"61","author":[{"family":"Goldthorpe","given":"J. H."}],"issued":{"date-parts":[["2010"]]}}},{"id":474,"uris":["http://zotero.org/users/15180246/items/TXFIEUC7"],"itemData":{"id":474,"type":"article-journal","container-title":"European Sociological Review","DOI":"10.1093/esr/19.3.319","ISSN":"0266-7215, 1468-2672","issue":"3","journalAbbreviation":"European Sociological Review","language":"en","page":"319-334","source":"DOI.org (Crossref)","title":"Social Inequality in Higher Education. Is Vocational Training a Pathway Leading to or Away from University?","volume":"19","author":[{"family":"Hillmert","given":"S."},{"family":"Jacob","given":"Marita"}],"issued":{"date-parts":[["2003",7,1]]}}},{"id":1117,"uris":["http://zotero.org/users/15180246/items/VSLRHGBJ"],"itemData":{"id":1117,"type":"article-journal","container-title":"Research in Social Stratification and Mobility","issue":"3","page":"199-219","title":"Does relative risk aversion explain educational inequality? A dynamic choice approach.","volume":"26","author":[{"family":"Holm","given":"A."},{"family":"Jaeger","given":"M.M."}],"issued":{"date-parts":[["2008"]]}}}],"schema":"https://github.com/citation-style-language/schema/raw/master/csl-citation.json"}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(Breen, 2001; Goldthorpe, 2010; Hillmert &amp; Jacob, 2003; Holm &amp; Jaeger, 2008)</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Esta motivación diferencial genera significados contrapuestos para el cambio de estudios según la clase social:</w:t>
      </w:r>
    </w:p>
    <w:p w14:paraId="698EF629"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Para los estudiantes de clases medias y altas, el cambio de estudios opera bajo el mecanismo de la ventaja compensatoria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{"citationID":"NZoa6Ihz","properties":{"unsorted":false,"formattedCitation":"(F. Bernardi &amp; Cebolla, 2014; Langa, 2020; S\\uc0\\u225{}nchez-Gelabert &amp; Troiano, 2024)","plainCitation":"(F. Bernardi &amp; Cebolla, 2014; Langa, 2020; Sánchez-Gelabert &amp; Troiano, 2024)","noteIndex":0},"citationItems":[{"id":1048,"uris":["http://zotero.org/users/15180246/items/SF5P2HNX"],"itemData":{"id":1048,"type":"article-journal","container-title":"Revista Española de Investigaciones Sociológicas","DOI":"10.5477/cis/reis.146.3","ISSN":"0210-5233","issue":"3","page":"3-22","title":"Clase social de origen y rendimiento escolar como predictores de las trayectorias educativas / Social Class and School Performance as Predictors of Educational Paths in Spain","volume":"146","author":[{"family":"Bernardi","given":"Fabrizio"},{"family":"Cebolla","given":"Héctor"}],"issued":{"date-parts":[["2014"]]}}},{"id":1653,"uris":["http://zotero.org/users/15180246/items/8DJWF5AE"],"itemData":{"id":1653,"type":"article-journal","abstract":"Based on the qualitative analysis of discourse of working-class students, we addressed their experiences as university students in the Spanish context, where important changes have affected the conditions of entering and remaining in the university. We observed that attending a university has become more costly and uncertain, and therefore less attractive for working-class students. We believe that this finding is related to the reduction in university enrollment that has occurred since the implementation of new university policies in 2012. In any case, the new conditions do not seem to contribute to solving the problems of efficiency and inequality in Spain's university system.","container-title":"Revista Mexicana de Investigacion Educativa","issue":"86","page":"603-625","title":"El precio de estudiar en la universidad española para los jóvenes de clases populares Impacto de la reforma de las tasas universitarias de 2012 a través de los discursos de los estudiantes","volume":"25","author":[{"family":"Langa","given":"Delia"}],"issued":{"date-parts":[["2020"]]}}},{"id":967,"uris":["http://zotero.org/users/15180246/items/ZZK2248S"],"itemData":{"id":967,"type":"article-journal","container-title":"Studies in Higher Education","DOI":"10.1080/03075079.2023.2281539","ISSN":"0307-5079, 1470-174X","issue":"11","journalAbbreviation":"Studies in Higher Education","language":"en","page":"1867-1883","source":"DOI.org (Crossref)","title":"Compensatory advantage after the first year at university in the Catalan system: between continuing, transferring and dropping out","title-short":"Compensatory advantage after the first year at university in the Catalan system","volume":"49","author":[{"family":"Sánchez-Gelabert","given":"Albert"},{"family":"Troiano","given":"Helena"}],"issued":{"date-parts":[["2024",11]]}}}],"schema":"https://github.com/citation-style-language/schema/raw/master/csl-citation.json"}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(F. Bernardi &amp; Cebolla, 2014; Langa, 2020; Sánchez-Gelabert &amp; Troiano, 2024)</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Al disponer de una "red de seguridad" compuesta por recursos económicos, capital cultural e información, estos estudiantes pueden permitirse una mayor asunción de riesgos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{"citationID":"9GDTl2iC","properties":{"unsorted":false,"formattedCitation":"(Troiano &amp; S\\uc0\\u225{}nchez-Gelabert, 2025b)","plainCitation":"(Troiano &amp; Sánchez-Gelabert, 2025b)","noteIndex":0},"citationItems":[{"id":1956,"uris":["http://zotero.org/users/15180246/items/A7HWLE6T"],"itemData":{"id":1956,"type":"article-journal","container-title":"Pensamiento Universitario","title":"Transiciones y trayectorias en la educación superior. La progresiva integración de las teorías de la elección racional y las teorías estructural-culturalistas.","volume":"23","author":[{"family":"Troiano","given":"Helena"},{"family":"Sánchez-Gelabert","given":"Albert"}],"issued":{"date-parts":[["2025"]]}}}],"schema":"https://github.com/citation-style-language/schema/raw/master/csl-citation.json"}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(Troiano &amp; Sánchez-Gelabert, 2025b)</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Ante un bajo rendimiento académico inicial o un desajuste de expectativas, el cambio no se vive como un fracaso definitivo, sino como una reubicación estratégica o una segunda oportunidad (Troiano y Elias, en evaluación). Para estas familias, la etapa universitaria es el estado normativo del "ser joven"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{"citationID":"ZlsMgION","properties":{"unsorted":false,"formattedCitation":"(Bourdieu &amp; Passeron, 1964; Langa, 2003, 2020)","plainCitation":"(Bourdieu &amp; Passeron, 1964; Langa, 2003, 2020)","noteIndex":0},"citationItems":[{"id":1917,"uris":["http://zotero.org/users/15180246/items/UUAC3J8X"],"itemData":{"id":1917,"type":"book","publisher":"Les éditions de Minuit","title":"Les héritiers. Les étudiants et la culture.","author":[{"family":"Bourdieu","given":"Pierre"},{"family":"Passeron","given":"Jean-Claude"}],"issued":{"date-parts":[["1964"]]}}},{"id":1287,"uris":["http://zotero.org/users/15180246/items/FEX9I5CW"],"itemData":{"id":1287,"type":"article-journal","publisher":"Universidad Complutense de Madrid","title":"Los estudiantes y sus razones prácticas: heterogeneidad de estrategias de estudiantes universitarios según clase social","author":[{"family":"Langa","given":"Delia"}],"issued":{"date-parts":[["2003"]]}}},{"id":1653,"uris":["http://zotero.org/users/15180246/items/8DJWF5AE"],"itemData":{"id":1653,"type":"article-journal","abstract":"Based on the qualitative analysis of discourse of working-class students, we addressed their experiences as university students in the Spanish context, where important changes have affected the conditions of entering and remaining in the university. We observed that attending a university has become more costly and uncertain, and therefore less attractive for working-class students. We believe that this finding is related to the reduction in university enrollment that has occurred since the implementation of new university policies in 2012. In any case, the new conditions do not seem to contribute to solving the problems of efficiency and inequality in Spain's university system.","container-title":"Revista Mexicana de Investigacion Educativa","issue":"86","page":"603-625","title":"El precio de estudiar en la universidad española para los jóvenes de clases populares Impacto de la reforma de las tasas universitarias de 2012 a través de los discursos de los estudiantes","volume":"25","author":[{"family":"Langa","given":"Delia"}],"issued":{"date-parts":[["2020"]]}}}],"schema":"https://github.com/citation-style-language/schema/raw/master/csl-citation.json"}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(Bourdieu &amp; Passeron, 1964; Langa, 2003, 2020)</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lo que les otorga el "derecho a equivocarse" y a prolongar la trayectoria hasta encontrar el encaje adecuado, siempre con el objetivo de evitar el riesgo de desclasamiento –o de movilidad social descendente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{"citationID":"EGCFDOcL","properties":{"unsorted":false,"formattedCitation":"(Stock\\uc0\\u233{}, 2007)","plainCitation":"(Stocké, 2007)","noteIndex":0},"citationItems":[{"id":1104,"uris":["http://zotero.org/users/15180246/items/GRR8DMJ3"],"itemData":{"id":1104,"type":"article-journal","abstract":"This article tests whether the Breen–Goldthorpe model offers an empirically valid prediction of educational decisions and a complete explanation of how they are affected by social class. This is done using data from a panel study of families who had decided on secondary school tracks for their children in Germany. First, we analysed whether class differences in the costs, success probabilities, and returns from status maintenance, which parents associate with educational options, are created by differences in the families’ objective opportunities and constraints. Consistent with theoretical expectations, we found class effects on the parents’ subjective beliefs and evaluations, which were due to differences in available economic resources and the children’s proven academic ability. Secondly, we tested the prediction that secondary school choice and the effect of class differences on it are the result of cost–benefit considerations. Whereas the subjective beliefs about how likely the children are to complete educational degrees and the motive to maintain the families’ social status proved to be strong predictors for educational decisions, the anticipated costs of educational investments were found to be irrelevant. Inconsistent with predictions, the direct effects of social class on educational decisions were not explained by the theoretically predicted factors. Introduction","container-title":"European Sociological Review","DOI":"10.1093/esr/jcm014","ISSN":"0266-7215","issue":"4","page":"505-519","title":"Explaining educational decision and effects of families' social class position: An empirical test of the breen-goldthorpe model of educational attainment","volume":"23","author":[{"family":"Stocké","given":"Volker"}],"issued":{"date-parts":[["2007"]]}}}],"schema":"https://github.com/citation-style-language/schema/raw/master/csl-citation.json"}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(Stocké, 2007)</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En este grupo, el cambio suele ser horizontal (hacia otro grado universitario), manteniendo la apuesta por el prestigio y los retornos a largo plazo.</w:t>
      </w:r>
    </w:p>
    <w:p w14:paraId="2C86802D"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En contraste, los estudiantes de clase trabajadora navegan los procesos de cambio con una vulnerabilidad mucho mayor. Su lógica de decisión está marcada por un descuento temporal más punitivo, donde el valor de la graduación futura disminuye ante la urgencia de alcanzar la independencia económica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{"citationID":"fOF7s4ot","properties":{"unsorted":false,"formattedCitation":"(Hillmert &amp; Jacob, 2003)","plainCitation":"(Hillmert &amp; Jacob, 2003)","noteIndex":0},"citationItems":[{"id":474,"uris":["http://zotero.org/users/15180246/items/TXFIEUC7"],"itemData":{"id":474,"type":"article-journal","container-title":"European Sociological Review","DOI":"10.1093/esr/19.3.319","ISSN":"0266-7215, 1468-2672","issue":"3","journalAbbreviation":"European Sociological Review","language":"en","page":"319-334","source":"DOI.org (Crossref)","title":"Social Inequality in Higher Education. Is Vocational Training a Pathway Leading to or Away from University?","volume":"19","author":[{"family":"Hillmert","given":"S."},{"family":"Jacob","given":"Marita"}],"issued":{"date-parts":[["2003",7,1]]}}}],"schema":"https://github.com/citation-style-language/schema/raw/master/csl-citation.json"}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(Hillmert &amp; Jacob, 2003)</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Para estos perfiles, la universidad no es un derecho incuestionado, sino un sacrificio parental que genera un fuerte sentimiento de deuda y la percepción de ser una "carga" para la economía familiar </w:t>
      </w:r>
      <w:r w:rsidRPr="001A0D82">
        <w:rPr>
          <w:rFonts w:ascii="Times New Roman" w:hAnsi="Times New Roman" w:cs="Times New Roman"/>
          <w:sz w:val="24"/>
          <w:szCs w:val="24"/>
        </w:rPr>
        <w:lastRenderedPageBreak/>
        <w:fldChar w:fldCharType="begin"/>
      </w:r>
      <w:r w:rsidRPr="001A0D82">
        <w:rPr>
          <w:rFonts w:ascii="Times New Roman" w:hAnsi="Times New Roman" w:cs="Times New Roman"/>
          <w:sz w:val="24"/>
          <w:szCs w:val="24"/>
        </w:rPr>
        <w:instrText xml:space="preserve"> ADDIN ZOTERO_ITEM CSL_CITATION {"citationID":"AW2fYu4u","properties":{"unsorted":false,"formattedCitation":"(Langa, 2019)","plainCitation":"(Langa, 2019)","noteIndex":0},"citationItems":[{"id":1477,"uris":["http://zotero.org/users/15180246/items/WWJFIBJ2"],"itemData":{"id":1477,"type":"article-journal","container-title":"International Journal of Sociology of Education","DOI":"10.17583/rise.2019.3802","issue":"2","page":"105-126","title":"El Sentido de las Becas para los Estudiantes Universitarios de Clases Populares. Impacto Del Nuevo Sistema de Becas en la Universidad Española","volume":"8","author":[{"family":"Langa","given":"Delia"}],"issued":{"date-parts":[["2019"]]}}}],"schema":"https://github.com/citation-style-language/schema/raw/master/csl-citation.json"}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(Langa, 2019)</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Ante un tropiezo académico o una mala elección inicial, su margen de maniobra es estrecho: el riesgo percibido es más alto y los costes –directos, indirectos y de oportunidad– son más gravosos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{"citationID":"Ny6hMow1","properties":{"unsorted":false,"formattedCitation":"(Troiano &amp; S\\uc0\\u225{}nchez-Gelabert, 2025b)","plainCitation":"(Troiano &amp; Sánchez-Gelabert, 2025b)","noteIndex":0},"citationItems":[{"id":1956,"uris":["http://zotero.org/users/15180246/items/A7HWLE6T"],"itemData":{"id":1956,"type":"article-journal","container-title":"Pensamiento Universitario","title":"Transiciones y trayectorias en la educación superior. La progresiva integración de las teorías de la elección racional y las teorías estructural-culturalistas.","volume":"23","author":[{"family":"Troiano","given":"Helena"},{"family":"Sánchez-Gelabert","given":"Albert"}],"issued":{"date-parts":[["2025"]]}}}],"schema":"https://github.com/citation-style-language/schema/raw/master/csl-citation.json"}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(Troiano &amp; Sánchez-Gelabert, 2025b)</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3EF00CCC"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Por ello, en el análisis de la cohorte catalana de estudiantes en la universidad se observa que, ante un mismo rendimiento inicial bajo, los estudiantes de origen social favorecido utilizan el cambio como una segunda oportunidad estratégica, mientras que los estudiantes de primera generación se ven empujados en mayor medida hacia el abandono. Lo que resulta particularmente gravoso es que para estos estudiantes queda claro que la mejor opción es intentar cambiar: para los estudiantes de familias no universitarias que habían tenido muy mal rendimiento (un máximo de ¼ parte de créditos aprobados) la probabilidad de éxito si se quedan en la misma carrera es de 42,4%, y sube hasta el 67,5% si se reubican (Troiano y Elias, en evaluación).</w:t>
      </w:r>
    </w:p>
    <w:p w14:paraId="1A27CEC5"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Por ello, la reubicación en las clases populares suele adoptar la forma de una reorientación adaptativa o un cambio vertical descendente (</w:t>
      </w:r>
      <w:r w:rsidRPr="001A0D82">
        <w:rPr>
          <w:rFonts w:ascii="Times New Roman" w:hAnsi="Times New Roman" w:cs="Times New Roman"/>
          <w:i/>
          <w:iCs/>
          <w:sz w:val="24"/>
          <w:szCs w:val="24"/>
        </w:rPr>
        <w:t>reverse transfer</w:t>
      </w:r>
      <w:r w:rsidRPr="001A0D82">
        <w:rPr>
          <w:rFonts w:ascii="Times New Roman" w:hAnsi="Times New Roman" w:cs="Times New Roman"/>
          <w:sz w:val="24"/>
          <w:szCs w:val="24"/>
        </w:rPr>
        <w:t>). Estos estudiantes tienden a trasladarse hacia estudios más cortos, percibidos como más fáciles o con una inserción laboral más inmediata, como los cursos de Formación Técnica Superior (</w:t>
      </w:r>
      <w:r w:rsidRPr="001A0D82">
        <w:rPr>
          <w:rFonts w:ascii="Times New Roman" w:hAnsi="Times New Roman" w:cs="Times New Roman"/>
          <w:i/>
          <w:iCs/>
          <w:sz w:val="24"/>
          <w:szCs w:val="24"/>
        </w:rPr>
        <w:t>Higher VET</w:t>
      </w:r>
      <w:r w:rsidRPr="001A0D82">
        <w:rPr>
          <w:rFonts w:ascii="Times New Roman" w:hAnsi="Times New Roman" w:cs="Times New Roman"/>
          <w:sz w:val="24"/>
          <w:szCs w:val="24"/>
        </w:rPr>
        <w:t xml:space="preserve">) o grados universitarios de menor duración, para asegurar un retorno rápido y minimizar el coste de persistir en un sistema que sienten que les penaliza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{"citationID":"n5uGjmEz","properties":{"unsorted":false,"formattedCitation":"(Boylan, 2020; Deil-Amen &amp; Goldrick-Rab, 2009; Haas &amp; Hadjar, 2020)","plainCitation":"(Boylan, 2020; Deil-Amen &amp; Goldrick-Rab, 2009; Haas &amp; Hadjar, 2020)","noteIndex":0},"citationItems":[{"id":1661,"uris":["http://zotero.org/users/15180246/items/5G2ZDBPD"],"itemData":{"id":1661,"type":"article-journal","container-title":"Socius: Sociological Research for a Dynamic World","DOI":"10.1177/2378023119895174","page":"1-25","title":"Predicting Postsecondary Pathways : The Effect of Social Background and Academic Factors on Routes through School","volume":"6","author":[{"family":"Boylan","given":"Rebecca L"}],"issued":{"date-parts":[["2020"]]}}},{"id":486,"uris":["http://zotero.org/users/15180246/items/JXJKJ54R"],"itemData":{"id":486,"type":"article-journal","language":"en","source":"Zotero","title":"Institutional Transfer and the Management of Risk in Higher Education","author":[{"family":"Deil-Amen","given":"Regina"},{"family":"Goldrick-Rab","given":"Sara"}],"issued":{"date-parts":[["2009"]]}}},{"id":1500,"uris":["http://zotero.org/users/15180246/items/PIULSY96"],"itemData":{"id":1500,"type":"article-journal","container-title":"Higher Education","DOI":"10.1007/s10734-019-00458-5","page":"1099-1118","title":"Students’ trajectories through higher education: a review of quantitative research.","volume":"79","author":[{"family":"Haas","given":"Christina"},{"family":"Hadjar","given":"Andreas"}],"issued":{"date-parts":[["2020"]]}}}],"schema":"https://github.com/citation-style-language/schema/raw/master/csl-citation.json"}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(Boylan, 2020; Deil-Amen &amp; Goldrick-Rab, 2009; Haas &amp; Hadjar, 2020; Troiano y Cardona-Rubio, en prensa)</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04341B2F"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En definitiva, mientras que para las clases favorecidas el cambio es una herramienta de persistencia para proteger su estatus, para las clases trabajadoras es a menudo un repliegue motivado por la presión económica y la falta de soportes institucionales. Entender esta lógica social es fundamental para que las universidades dejen de evaluar el cambio como una ineficiencia y empiecen a gestionarlo como un mecanismo de equidad que requiere acompañamiento específico, evitando que un desvío se convierta en una exclusión definitiva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{"citationID":"HEHkg2nN","properties":{"unsorted":false,"formattedCitation":"(Troiano et\\uc0\\u160{}al., 2024)","plainCitation":"(Troiano et al., 2024)","noteIndex":0},"citationItems":[{"id":508,"uris":["http://zotero.org/users/15180246/items/ZWLZ4PWT"],"itemData":{"id":508,"type":"article-journal","container-title":"International Journal of Educational Technology in Higher Education","DOI":"10.1186/s41239-024-00441-w","ISSN":"2365-9440","issue":"1","journalAbbreviation":"Int J Educ Technol High Educ","language":"en","license":"Creative Commons Reconeixement-NoComercial-SenseObraDerivada 4.0 Llicència Internacional","page":"2-9","source":"DOI.org (Crossref)","title":"From the main track to the winding path: considering the diversity of trajectories at university","title-short":"From the main track to the winding path","volume":"21","author":[{"family":"Troiano","given":"Helena"},{"family":"Brennan","given":"John"},{"family":"Giret","given":"Jean-François"}],"issued":{"date-parts":[["2024",2,2]]}}}],"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(Troiano et al., 2024)</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5E0395B7" w14:textId="77777777" w:rsidR="001A0D82" w:rsidRPr="001A0D82" w:rsidRDefault="001A0D82" w:rsidP="00930834">
      <w:pPr>
        <w:pStyle w:val="Textcastell"/>
        <w:jc w:val="both"/>
        <w:rPr>
          <w:rFonts w:ascii="Times New Roman" w:hAnsi="Times New Roman" w:cs="Times New Roman"/>
          <w:b/>
          <w:bCs/>
          <w:sz w:val="24"/>
          <w:szCs w:val="24"/>
        </w:rPr>
      </w:pPr>
      <w:r w:rsidRPr="001A0D82">
        <w:rPr>
          <w:rFonts w:ascii="Times New Roman" w:hAnsi="Times New Roman" w:cs="Times New Roman"/>
          <w:b/>
          <w:bCs/>
          <w:sz w:val="24"/>
          <w:szCs w:val="24"/>
        </w:rPr>
        <w:t>El papel de la universidad online en la reubicación universitaria</w:t>
      </w:r>
    </w:p>
    <w:p w14:paraId="4A937DCC"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En el marco de las trayectorias de cambio y de los significados diferenciados por clase social analizados previamente, vale la pena detenerse a examinar qué papel juega un tipo de universidad que ha ido creciendo de manera importante en las últimas décadas: la universidad online. La investigación que se llevó a cabo sobre este fenómeno, específicamente centrada en la transferencia desde modalidades presenciales hacia entornos virtuales como el de la Universitat Oberta de Catalunya (UOC), ofrece pistas fundamentales para comprender cómo este modelo se integra en las estrategias de persistencia de los estudiantes (Troiano y Duart, en revisión).</w:t>
      </w:r>
    </w:p>
    <w:p w14:paraId="174DDFAA"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Para empezar, es crucial identificar el perfil sociodemográfico de quienes optan por este cambio. Los datos cuantitativos obtenidos a través de la encuesta </w:t>
      </w:r>
      <w:r w:rsidRPr="001A0D82">
        <w:rPr>
          <w:rFonts w:ascii="Times New Roman" w:hAnsi="Times New Roman" w:cs="Times New Roman"/>
          <w:i/>
          <w:iCs/>
          <w:sz w:val="24"/>
          <w:szCs w:val="24"/>
        </w:rPr>
        <w:t>Via Universitària IV</w:t>
      </w:r>
      <w:r w:rsidRPr="001A0D82">
        <w:rPr>
          <w:rFonts w:ascii="Times New Roman" w:hAnsi="Times New Roman" w:cs="Times New Roman"/>
          <w:sz w:val="24"/>
          <w:szCs w:val="24"/>
        </w:rPr>
        <w:t xml:space="preserve"> (2023-2025) revelan que el estudiantado que transita hacia la universidad online responde mayoritariamente al perfil de estudiante no tradicional. En comparación con quienes se </w:t>
      </w:r>
      <w:r w:rsidRPr="001A0D82">
        <w:rPr>
          <w:rFonts w:ascii="Times New Roman" w:hAnsi="Times New Roman" w:cs="Times New Roman"/>
          <w:sz w:val="24"/>
          <w:szCs w:val="24"/>
        </w:rPr>
        <w:lastRenderedPageBreak/>
        <w:t xml:space="preserve">trasladan entre instituciones presenciales, los estudiantes que eligen la modalidad virtual tienen una media de edad significativamente más alta (36,2 años frente a 24,8) y proceden de entornos familiares con un menor nivel formativo (un 61,3% tiene progenitores con estudios básicos). Además, presentan indicadores de adultez mucho más marcados: una mayor proporción tiene responsabilidades familiares, trabaja más de media jornada y vive de manera independiente. En este sentido, la universidad online actúa como un mecanismo de equidad y una auténtica “segunda oportunidad” para aquellos perfiles que, debido a su situación vital, encuentran serias barreras en el modelo presencial tradicional, evitando así que un tropiezo inicial se convierta en un abandono definitivo del sistema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{"citationID":"IFOxzzPT","properties":{"unsorted":false,"formattedCitation":"(Jutz et\\uc0\\u160{}al., 2024; Ortagus, 2017; S\\uc0\\u225{}nchez-Gelabert et\\uc0\\u160{}al., 2020; Stone, 2022)","plainCitation":"(Jutz et al., 2024; Ortagus, 2017; Sánchez-Gelabert et al., 2020; Stone, 2022)","noteIndex":0},"citationItems":[{"id":1950,"uris":["http://zotero.org/users/15180246/items/RXRALV3Z"],"itemData":{"id":1950,"type":"article-journal","abstract":"Purpose – Online education enables location-independent learning, potentially providing university students with more ﬂexible study programs and reducing trafﬁc-related CO2 emissions. This paper aims to examine whether online education can contribute to university-related sustainable everyday mobility, with particular consideration given to aspects of social sustainability and potential rebound effects. Speciﬁcally, it explores sustainability dilemmas that arise from conﬂicting social and ecological effects.","container-title":"International Journal of Sustainability in Higher Education","DOI":"10.1108/IJSHE-07-2023-0272","ISSN":"1467-6370, 1467-6370","issue":"9","journalAbbreviation":"IJSHE","language":"en","license":"https://www.emerald.com/insight/site-policies","page":"195-212","source":"DOI.org (Crossref)","title":"Of study enthusiasts and homebirds: students’ everyday mobility and sustainability dilemmas in online higher education","title-short":"Of study enthusiasts and homebirds","volume":"25","author":[{"family":"Jutz","given":"Christopher"},{"family":"Griese","given":"Kai-Michael"},{"family":"Rau","given":"Henrike"},{"family":"Schoppengerd","given":"Johanna"},{"family":"Prehn","given":"Ines"}],"issued":{"date-parts":[["2024",12,16]]}}},{"id":1946,"uris":["http://zotero.org/users/15180246/items/LSPGLCT2"],"itemData":{"id":1946,"type":"article-journal","container-title":"The Internet and Higher Education","DOI":"10.1016/j.iheduc.2016.09.002","ISSN":"10967516","journalAbbreviation":"The Internet and Higher Education","language":"en","page":"47-57","source":"DOI.org (Crossref)","title":"From the periphery to prominence: An examination of the changing profile of online students in American higher education","title-short":"From the periphery to prominence","volume":"32","author":[{"family":"Ortagus","given":"Justin C."}],"issued":{"date-parts":[["2017",1]]}}},{"id":1952,"uris":["http://zotero.org/users/15180246/items/XMFLHLLT"],"itemData":{"id":1952,"type":"article-journal","abstract":"In recent decades, there has been a steady growth in the population who enter higher education in both brick-and-mortar and, in particular, online universities. This has led to an increase in heterogeneous student profiles in a relatively short period of time. The purpose of this paper was to explore the student profiles at a university that gives all its courses online, namely the Universitat Oberta de Catalunya (UOC), and analyse students’ perceptions of their university experience. With this goal in mind, we constructed a student typology based on their social conditions and backgrounds using multiple correspondence analysis. Subsequently, an analysis of variance (Kruskall-Wallis test) was run to detect whether there were any differences in students’ perceptions of the impact of their university experience (N = 1850). Although the prevailing profile of students in the online university continues to reflect students with responsibilities outside of the university (e.g., work and/or family), new profiles have been observed, made up of younger students without any work or family responsibilities. In turn, younger students’ distinct perceptions of their university experience has been observed, depending on student profiles, with older students having more intrinsic perceptions, focused on learning and the acquisition of theoretical knowledge.","container-title":"The International Review of Research in Open and Distributed Learning","DOI":"10.19173/irrodl.v21i3.4784","ISSN":"1492-3831","issue":"3","journalAbbreviation":"IRRODL","language":"en","license":"http://creativecommons.org/licenses/by/4.0","source":"DOI.org (Crossref)","title":"Profiles of Online Students and the Impact of Their University Experience","URL":"http://www.irrodl.org/index.php/irrodl/article/view/4784","volume":"21","author":[{"family":"Sánchez-Gelabert","given":"Albert"},{"family":"Valente","given":"Riccardo"},{"family":"Duart","given":"Josep M"}],"accessed":{"date-parts":[["2026",4,11]]},"issued":{"date-parts":[["2020",6,8]]}}},{"id":1962,"uris":["http://zotero.org/users/15180246/items/G88SQ56I"],"itemData":{"id":1962,"type":"article-journal","abstract":"From being largely at the margins of higher education for many years, online learning now finds itself in the mainstream. This paper offers a critique of the online learning literature both pre- and post-2020, looking at changes in response to this shift. Evidence tells us that online learning plays a significant role in enhancing student equity, widening higher education access and participation for many students who would have found it difficult, if not impossible, to attend university on campus. This includes students from government-identified equity backgrounds, as well as other student cohorts underrepresented at university, such as older working students, parents, and others with caring responsibilities, and those from families with no previous experience of university. The mainstreaming and normalising of online learning now presents an opportunity for universities to learn from both past and emerging evidence, to evaluate past practice and offer a more flexible learning experience that better meets the needs of an even wider range of students. Keeping online learning firmly in the mainstream, while taking an evidence-based approach to ensuring the quality of its design and delivery, has the potential to enhance student equity on a much broader scale.\nImplications for practice or policy:\n\nImproving the quality of online learning, using evidence-based research to design and deliver it more effectively, will enable more students to stay and succeed at university.\nContinuing to offer online study options for all students, that is, keeping it in the mainstream, will further enhance student equity.\nMainstreaming online learning options as part of standard university practice will enable more students to benefit from the greater flexibility of both fully online and hybrid models.","container-title":"Australasian Journal of Educational Technology","DOI":"10.14742/ajet.8136","ISSN":"1449-5554, 1449-3098","issue":"6","journalAbbreviation":"AJET","language":"en","license":"http://creativecommons.org/licenses/by-nc-nd/4.0","page":"139-149","source":"DOI.org (Crossref)","title":"From the margins to the mainstream: The online learning rethink and its implications for enhancing student equity","title-short":"From the margins to the mainstream","volume":"38","author":[{"family":"Stone","given":"Cathy"}],"issued":{"date-parts":[["2022",12,19]]}}}],"schema":"https://github.com/citation-style-language/schema/raw/master/csl-citation.json"}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(Jutz et al., 2024; Ortagus, 2017; Sánchez-Gelabert et al., 2020; Stone, 2022)</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218A4D75"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Las entrevistas en profundidad a estudiantes que transitaron desde universidades presenciales hacia la modalidad virtual (específicamente a la UOC), ofrecen pistas fundamentales sobre el significado que los propios actores atribuyen a esta transición. </w:t>
      </w:r>
    </w:p>
    <w:p w14:paraId="51CA4D08"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Así, al analizar los motivos que desencadenan el traslado, la gestión del tiempo emerge como el factor determinante. Para muchos de estos estudiantes, el empleo remunerado no es una opción, sino una necesidad para financiar sus estudios, lo que genera una incompatibilidad horaria insalvable con las clases magistrales y los ritmos rígidos de la presencialidad. La universidad virtual ofrece una flexibilidad temporal y espacial que permite al alumno recuperar el control sobre su propia vida, adaptando el estudio a sus necesidades y no al revés. A esto se suma el factor de la distancia geográfica, que en la modalidad presencial no solo implica un coste económico directo en transporte o residencia, sino también un desgaste emocional y una pérdida de tiempo que muchos estudiantes experimentan como una frustración acumulada. En algunos casos, el cambio también responde a una búsqueda de autonomía, donde el estudiante prefiere un modelo de aprendizaje independiente que se ajuste mejor a su madurez o a sus rasgos de personalidad.</w:t>
      </w:r>
    </w:p>
    <w:p w14:paraId="58FA0957"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Desde una perspectiva teórica más profunda, el papel de la universidad online adquiere todo su sentido cuando se analiza a través de la interdependencia de los ámbitos del curso de vida: educación, trabajo y familia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{"citationID":"P4t1VepB","properties":{"unsorted":false,"formattedCitation":"(L. Bernardi et\\uc0\\u160{}al., 2019; Schwanitz, 2017)","plainCitation":"(L. Bernardi et al., 2019; Schwanitz, 2017)","noteIndex":0},"citationItems":[{"id":495,"uris":["http://zotero.org/users/15180246/items/5V7ZFCT5"],"itemData":{"id":495,"type":"article-journal","container-title":"Advances in Life Course Research","DOI":"10.1016/j.alcr.2018.11.004","ISSN":"15694909","journalAbbreviation":"Advances in Life Course Research","language":"en","page":"100258","source":"DOI.org (Crossref)","title":"The life course cube: A tool for studying lives","title-short":"The life course cube","volume":"41","author":[{"family":"Bernardi","given":"Laura"},{"family":"Huinink","given":"Johannes"},{"family":"Settersten","given":"Richard A."}],"issued":{"date-parts":[["2019",9]]}}},{"id":1947,"uris":["http://zotero.org/users/15180246/items/2SPDS5JQ"],"itemData":{"id":1947,"type":"article-journal","abstract":"This study uses the second Wave of the Generations and Gender Survey (GGS) to examine young adults’ transition to adulthood in eight European countries (Austria, Bulgaria, Czech Republic, France, Georgia, Hungary, Lithuania, and the Netherlands). I use reconstructed life courses from age 18 to 34 (N = 21,696) to simultaneously study key life course trajectories employing multichannel sequence analysis. In doing so, I adopt a comparative framework which speciﬁcally addresses cross-national differences in young adults’ life course trajectories and cross-national differences in the educational gradient of life course trajectories. The aim of this paper is to provide a holistic picture of young adults’ different pathways out of the parental home and their transition to adulthood in contemporary Europe. The main results indicate that young adults’ life course trajectories differ by education, country and sex, but also that the educational gradient is highly context-speciﬁc across European countries.","container-title":"Advances in Life Course Research","DOI":"10.1016/j.alcr.2017.03.001","ISSN":"15694909","journalAbbreviation":"Advances in Life Course Research","language":"en","page":"21-34","source":"DOI.org (Crossref)","title":"The transition to adulthood and pathways out of the parental home: A cross-national analysis","title-short":"The transition to adulthood and pathways out of the parental home","volume":"32","author":[{"family":"Schwanitz","given":"Katrin"}],"issued":{"date-parts":[["2017",6]]}}}],"schema":"https://github.com/citation-style-language/schema/raw/master/csl-citation.json"}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(L. Bernardi et al., 2019; Schwanitz, 2017)</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En las sociedades contemporáneas, estos ámbitos ya no se suceden de forma lineal, sino que se trenzan como “hilos” simultáneos. La universidad virtual facilita esta resincronización, permitiendo que el individuo avance académicamente sin tener que renunciar a su desarrollo como adulto –por ejemplo, en cuanto a la situación de emancipación, estabilidad laboral o cuidado de familiares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{"citationID":"LLqgiaE1","properties":{"unsorted":false,"formattedCitation":"(Cooper et\\uc0\\u160{}al., 2025; S\\uc0\\u225{}nchez-Gelabert &amp; Elias, 2023; Xavier &amp; Meneses, 2022)","plainCitation":"(Cooper et al., 2025; Sánchez-Gelabert &amp; Elias, 2023; Xavier &amp; Meneses, 2022)","noteIndex":0},"citationItems":[{"id":1948,"uris":["http://zotero.org/users/15180246/items/3IAKWSU9"],"itemData":{"id":1948,"type":"article-journal","abstract":"While educational attainment is increasing in sub-Saharan Africa, formal employment remains elusive. With this context in mind, this study delves into the young adult pathways undertaken by African graduate scholarship recipients post-university. Data from a longitudinal tracer survey was combined with qualitative interviews with graduates from six countries. Survey findings showed complexity with activities like employment, studying and entrepreneurship overlapping over time, with many combining working and/or studying and/or entrepreneurial activity. Qualitative analysis underlined this complexity, with education and work comprehensively entangled. The meaning of ‘employment’ covered various working world practices, often in education, which we call ‘finding a haven in education’ and profiting from various income streams while studying, which we call ‘multiple income streams and educational endeavours’. The interaction between education and work therefore problematises the concept of ‘transitions’, which assumes life-courses move from education into the world of work. We deploy the concepts ‘threads’ and ‘social navigation’ to illustrate this interaction, arguing that African graduates navigate their paths towards adulthood by weaving various thread-like opportunities into a temporarily stable livelihood knot or unravelling threads to create clear segments for income generation. They improvised an unconventional, middle-class African hustle, rather than following linear routes from education to work.","container-title":"Advances in Life Course Research","DOI":"10.1016/j.alcr.2025.100689","ISSN":"15694909","journalAbbreviation":"Advances in Life Course Research","language":"en","page":"100689","source":"DOI.org (Crossref)","title":"Navigating threads of a young adult life-course: Tangled complexity in the education and work pathways of African university graduates","title-short":"Navigating threads of a young adult life-course","volume":"65","author":[{"family":"Cooper","given":"Adam"},{"family":"Juan","given":"Andrea"},{"family":"Mhlanga","given":"Nokhetho"}],"issued":{"date-parts":[["2025",9]]}}},{"id":499,"uris":["http://zotero.org/users/15180246/items/W7VT37RW"],"itemData":{"id":499,"type":"article-journal","abstract":"Abstract\n            The increase in university participation has led to greater complexity in terms of students' trajectories, with the option of changing degree course or higher education institution or, more recently, the mode of study (face-to-face and online learning). These transitions can be strategic moves that facilitate greater continuity in educational trajectories and increase equity within the education system. Online universities offer greater flexibility in terms of time and location, providing new opportunities for students with specific profiles to pursue higher education. This article aims to delve into the complex trajectories of change and to analyse whether there are differences in educational outcomes based on students' social backgrounds. Using registry data from the Catalan university system (n = 42,370), we identify and characterise the trajectories of change and analyse the effect of the interaction between them and social origin on educational outcomes. The results indicate that students from lower social backgrounds and those who also work are most likely to transition to virtual education. However, social background continues to have an effect on the probability of graduating, dropping out or pursuing further studies.","container-title":"International Journal of Educational Technology in Higher Education","DOI":"10.1186/s41239-023-00407-4","ISSN":"2365-9440","issue":"1","journalAbbreviation":"Int J Educ Technol High Educ","language":"en","page":"39","source":"DOI.org (Crossref)","title":"Going online? Does transferring to online university increase the likelihood of graduation among students from lower social background?","title-short":"Going online?","volume":"20","author":[{"family":"Sánchez-Gelabert","given":"Albert"},{"family":"Elias","given":"Marina"}],"issued":{"date-parts":[["2023",7,3]]}}},{"id":1945,"uris":["http://zotero.org/users/15180246/items/2DWHMJVB"],"itemData":{"id":1945,"type":"article-journal","abstract":"Student persistence in the first year of studies is a crucial concern in online higher education. Recent accelerated growth in online programs due to the COVID pandemic has increased concerns over higher dropout rates, which are often connected to students’ time challenges—time poverty, juggling multiple commitments, and fitting studies into busy lives. However, research seldom focuses on students’ perceptions of time issues related to persistence. This study addresses this gap by exploring how 20 second-year students retrospectively viewed their experiences of time challenges and how they impacted their persistence in their first year at an online open university. Content analysis of in-depth interviews demonstrated that time pressure and timeconflicts were crucial barriers for success in the foundational semester; the main barrier was juggling study with multiple priorities. Most persisters had good time management and high levels of intrinsic motivation, satisfaction, and self-determination. However, even procrastinators with heavy work-family duties managed to persevere due to their resilience and personal motivation. Lastly, recommendations and strategies for effective student-based interventions to foster persistence are suggested.","container-title":"International Journal of Educational Technology in Higher Education","DOI":"10.1186/s41239-022-00338-6","ISSN":"2365-9440","issue":"1","journalAbbreviation":"Int J Educ Technol High Educ","language":"en","page":"31","source":"DOI.org (Crossref)","title":"Persistence and time challenges in an open online university: a case study of the experiences of first-year learners","title-short":"Persistence and time challenges in an open online university","volume":"19","author":[{"family":"Xavier","given":"Marlon"},{"family":"Meneses","given":"Julio"}],"issued":{"date-parts":[["2022",12]]}}}],"schema":"https://github.com/citation-style-language/schema/raw/master/csl-citation.json"}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(Cooper et al., 2025; Sánchez-Gelabert &amp; Elias, 2023; Xavier &amp; Meneses, 2022)</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w:t>
      </w:r>
    </w:p>
    <w:p w14:paraId="0B453BDB"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Esta capacidad de integrar esferas vitales es especialmente relevante para mitigar los efectos del descuento temporal, el cual se refiere a cómo el valor percibido de una recompensa futura –la obtención de un título y sus retornos asociados– disminuye a medida que, para alcanzarla, el horizonte temporal se vuelve más lejano y el coste más elevado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{"citationID":"64rGES4o","properties":{"unsorted":false,"formattedCitation":"(L. Bernardi et\\uc0\\u160{}al., 2019; Breen et\\uc0\\u160{}al., 2014; M\\uc0\\u252{}ller &amp; Schneider, 2013)","plainCitation":"(L. Bernardi et al., 2019; Breen et al., 2014; Müller &amp; Schneider, 2013)","noteIndex":0},"citationItems":[{"id":495,"uris":["http://zotero.org/users/15180246/items/5V7ZFCT5"],"itemData":{"id":495,"type":"article-journal","container-title":"Advances in Life Course Research","DOI":"10.1016/j.alcr.2018.11.004","ISSN":"15694909","journalAbbreviation":"Advances in Life Course Research","language":"en","page":"100258","source":"DOI.org (Crossref)","title":"The life course cube: A tool for studying lives","title-short":"The life course cube","volume":"41","author":[{"family":"Bernardi","given":"Laura"},{"family":"Huinink","given":"Johannes"},{"family":"Settersten","given":"Richard A."}],"issued":{"date-parts":[["2019",9]]}}},{"id":1131,"uris":["http://zotero.org/users/15180246/items/A3VIVUTD"],"itemData":{"id":1131,"type":"article-journal","abstract":"We develop a rational choice model of educational decision-making in which the utility of educational choices depends on students’ risk aversion and their time discounting preferences. We argue for the role of risk aversion and time discounting preferences in the choice of different tracks in secondary education and in mediating the impact of socioeconomic background on such choices. Enrolment decisions in Danish secondary education provide our empirical example, and the results are generally in line with the proposed theory in that (i) risk aversion deters students from choosing the academically challenging but economically rewarding academic track in secondary education, (ii) students with a low time discount rate are particularly likely to enter the academic track, and (iii) students from advantaged socioeconomic backgrounds are not affected by risk aversion when making educational decisions.","container-title":"European Sociological Review","DOI":"10.1093/esr/jcu039","issue":"2","page":"258-270","title":"Deciding under doubt: A theory of risk aversion, time discounting preferences, and educational decision-making","volume":"30","author":[{"family":"Breen","given":"Richard"},{"family":"Van De Werfhorst","given":"Herman G."},{"family":"Jæger","given":"Mads Meier"}],"issued":{"date-parts":[["2014"]]}}},{"id":1965,"uris":["http://zotero.org/users/15180246/items/2JRT77KC"],"itemData":{"id":1965,"type":"article-journal","abstract":"Extending access to higher education has led to a growing heterogeneity in the social origins and previous educational biographies of first-year students. They differ in their socialization, their preparedness for tertiary studies, and the salience of alternative options. How do these differences relate to social inequality in dropout from higher education? Drawing on theories and concepts of rational choice, differential learning environments, and selection, we argue that social origins and pre-tertiary educational pathways have at least an initial impact on dropout risks. We draw on retrospective life course data from the “Adult Education and Life-Long Learning” stage of the German National Educational Panel Study (NEPS) to use pre-tertiary pathways to reconstruct educational careers and perform an event history analysis on dropping out of higher education. Results suggest that these pathways substantially influence dropout rates in Germany. Students taking the direct pathway via the Gymnasium (i.e. the school type representing the highest school track) have significantly lower dropout rates than students with an upwardly mobile educational biography or students who obtained a vocational qualification before starting higher education. Whereas students from a higher social background are less prone to drop out than students from a lower social background at universities, social origins do not have any significant direct influence on dropout rates at universities of applied sciences and influence only the likelihood of entering these institutions.","container-title":"Longitudinal and Life Course Studies","DOI":"10.14301/llcs.v4i3.251","ISSN":"17579597","issue":"3","journalAbbreviation":"LLCS","language":"en","page":"218-241","source":"DOI.org (Crossref)","title":"Educational pathways and dropout from higher education in Germany","volume":"4","author":[{"family":"Müller","given":"Sophie"},{"family":"Schneider","given":"Thorsten"}],"issued":{"date-parts":[["2013",10,28]]}}}],"schema":"https://github.com/citation-style-language/schema/raw/master/csl-citation.json"}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(L. Bernardi et al., 2019; Breen et al., 2014; Müller &amp; Schneider, 2013)</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7A15ED96"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lastRenderedPageBreak/>
        <w:t xml:space="preserve">Los estudiantes de clases populares suelen tener una tasa de descuento más punitiva: el valor de un título futuro disminuye rápidamente ante la urgencia de alcanzar la independencia económica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{"citationID":"7KI87yWB","properties":{"unsorted":false,"formattedCitation":"(Hillmert &amp; Jacob, 2003)","plainCitation":"(Hillmert &amp; Jacob, 2003)","noteIndex":0},"citationItems":[{"id":474,"uris":["http://zotero.org/users/15180246/items/TXFIEUC7"],"itemData":{"id":474,"type":"article-journal","container-title":"European Sociological Review","DOI":"10.1093/esr/19.3.319","ISSN":"0266-7215, 1468-2672","issue":"3","journalAbbreviation":"European Sociological Review","language":"en","page":"319-334","source":"DOI.org (Crossref)","title":"Social Inequality in Higher Education. Is Vocational Training a Pathway Leading to or Away from University?","volume":"19","author":[{"family":"Hillmert","given":"S."},{"family":"Jacob","given":"Marita"}],"issued":{"date-parts":[["2003",7,1]]}}}],"schema":"https://github.com/citation-style-language/schema/raw/master/csl-citation.json"}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(Hillmert &amp; Jacob, 2003)</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Para ellos, persistir en la universidad presencial puede ser percibido como una “carga” inasumible para sus familias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{"citationID":"sAcLpYml","properties":{"unsorted":false,"formattedCitation":"(Langa, 2020)","plainCitation":"(Langa, 2020)","noteIndex":0},"citationItems":[{"id":1653,"uris":["http://zotero.org/users/15180246/items/8DJWF5AE"],"itemData":{"id":1653,"type":"article-journal","abstract":"Based on the qualitative analysis of discourse of working-class students, we addressed their experiences as university students in the Spanish context, where important changes have affected the conditions of entering and remaining in the university. We observed that attending a university has become more costly and uncertain, and therefore less attractive for working-class students. We believe that this finding is related to the reduction in university enrollment that has occurred since the implementation of new university policies in 2012. In any case, the new conditions do not seem to contribute to solving the problems of efficiency and inequality in Spain's university system.","container-title":"Revista Mexicana de Investigacion Educativa","issue":"86","page":"603-625","title":"El precio de estudiar en la universidad española para los jóvenes de clases populares Impacto de la reforma de las tasas universitarias de 2012 a través de los discursos de los estudiantes","volume":"25","author":[{"family":"Langa","given":"Delia"}],"issued":{"date-parts":[["2020"]]}}}],"schema":"https://github.com/citation-style-language/schema/raw/master/csl-citation.json"}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(Langa, 2020)</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Al permitir la simultaneidad de estudios y trabajo, la modalidad online reduce el coste de oportunidad y el sentimiento de deuda hacia los progenitores, transformando la trayectoria en un “camino sinuoso” que, aunque pueda ser más lento, resulta biográficamente sostenible y legítimo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{"citationID":"Iys8aGUc","properties":{"unsorted":false,"formattedCitation":"(Troiano et\\uc0\\u160{}al., 2024)","plainCitation":"(Troiano et al., 2024)","noteIndex":0},"citationItems":[{"id":508,"uris":["http://zotero.org/users/15180246/items/ZWLZ4PWT"],"itemData":{"id":508,"type":"article-journal","container-title":"International Journal of Educational Technology in Higher Education","DOI":"10.1186/s41239-024-00441-w","ISSN":"2365-9440","issue":"1","journalAbbreviation":"Int J Educ Technol High Educ","language":"en","license":"Creative Commons Reconeixement-NoComercial-SenseObraDerivada 4.0 Llicència Internacional","page":"2-9","source":"DOI.org (Crossref)","title":"From the main track to the winding path: considering the diversity of trajectories at university","title-short":"From the main track to the winding path","volume":"21","author":[{"family":"Troiano","given":"Helena"},{"family":"Brennan","given":"John"},{"family":"Giret","given":"Jean-François"}],"issued":{"date-parts":[["2024",2,2]]}}}],"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(Troiano et al., 2024)</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36489A10"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Asimismo, la valoración subjetiva que los estudiantes hacen de esta transición confirma que sus expectativas de flexibilidad suelen verse satisfechas, permitiéndoles retomar la motivación y la confianza en su proyecto educativo. No obstante, la experiencia en línea también revela nuevos desafíos que no siempre son previstos. Por un lado, el modelo exige un nivel de autorregulación y disciplina muy elevado, lo que puede derivar en problemas de procrastinación para aquellos con hábitos de estudio menos consolidados. Por otro lado, emerge un sentimiento de aislamiento social debido a la pérdida del contacto humano y de los espacios de interacción informal propios de los campus físicos. A pesar de estos obstáculos y de unos costes de matrícula que a menudo son superiores a los de las universidades públicas presenciales, los estudiantes valoran positivamente la calidad de los materiales y el apoyo del profesorado tutor, que perciben como más accesible que en su etapa anterior.</w:t>
      </w:r>
    </w:p>
    <w:p w14:paraId="1A4B3A59"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En definitiva, en el contexto de las trayectorias de cambio, la universidad online no funciona meramente como un repositorio de contenidos a distancia, sino como una infraestructura de soporte para la persistencia académica de los colectivos más sensibles al riesgo. Al ofrecer una alternativa viable de reubicación, el sistema virtual logra retener a estudiantes que, por edad o clase social, se ven expulsados por la rigidez del modelo tradicional. El cambio a la modalidad virtual no es, por tanto, un indicador de menor capacidad académica –de hecho, muchos alumnos reportan que el nivel de exigencia es mayor de lo esperado–, sino una reorientación estratégica para hacer compatible la ambición educativa con las demandas de una vida adulta compleja. De este modo, el “éxito” se redefine: ya no se trata de graduarse en el tiempo previsto por la institución, sino de mantener viva la apuesta formativa a través de itinerarios flexibles que reconozcan la diversidad de las biografías actuales.</w:t>
      </w:r>
    </w:p>
    <w:p w14:paraId="530A1656" w14:textId="77777777" w:rsidR="001A0D82" w:rsidRPr="001A0D82" w:rsidRDefault="001A0D82" w:rsidP="00930834">
      <w:pPr>
        <w:pStyle w:val="Textcastell"/>
        <w:jc w:val="both"/>
        <w:rPr>
          <w:rFonts w:ascii="Times New Roman" w:hAnsi="Times New Roman" w:cs="Times New Roman"/>
          <w:b/>
          <w:bCs/>
          <w:sz w:val="24"/>
          <w:szCs w:val="24"/>
        </w:rPr>
      </w:pPr>
      <w:r w:rsidRPr="001A0D82">
        <w:rPr>
          <w:rFonts w:ascii="Times New Roman" w:hAnsi="Times New Roman" w:cs="Times New Roman"/>
          <w:b/>
          <w:bCs/>
          <w:sz w:val="24"/>
          <w:szCs w:val="24"/>
        </w:rPr>
        <w:t>Conclusiones para la intervención institucional</w:t>
      </w:r>
    </w:p>
    <w:p w14:paraId="4507CF50"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La expansión del acceso a la educación superior, que ha conllevado una mayor heterogeneidad del conjunto del estudiantado universitario, ha resultado en un incremento de la complejidad de las trayectorias académicas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{"citationID":"wFSZTabA","properties":{"unsorted":false,"formattedCitation":"(Langa, 2020; Troiano &amp; S\\uc0\\u225{}nchez-Gelabert, 2025a)","plainCitation":"(Langa, 2020; Troiano &amp; Sánchez-Gelabert, 2025a)","noteIndex":0},"citationItems":[{"id":1653,"uris":["http://zotero.org/users/15180246/items/8DJWF5AE"],"itemData":{"id":1653,"type":"article-journal","abstract":"Based on the qualitative analysis of discourse of working-class students, we addressed their experiences as university students in the Spanish context, where important changes have affected the conditions of entering and remaining in the university. We observed that attending a university has become more costly and uncertain, and therefore less attractive for working-class students. We believe that this finding is related to the reduction in university enrollment that has occurred since the implementation of new university policies in 2012. In any case, the new conditions do not seem to contribute to solving the problems of efficiency and inequality in Spain's university system.","container-title":"Revista Mexicana de Investigacion Educativa","issue":"86","page":"603-625","title":"El precio de estudiar en la universidad española para los jóvenes de clases populares Impacto de la reforma de las tasas universitarias de 2012 a través de los discursos de los estudiantes","volume":"25","author":[{"family":"Langa","given":"Delia"}],"issued":{"date-parts":[["2020"]]}}},{"id":961,"uris":["http://zotero.org/users/15180246/items/FJHGPB9S"],"itemData":{"id":961,"type":"article-journal","abstract":"This article analyses the trajectories followed by university students throughout their degrees using longitudinal data from a cohort entering eleven on-site universities in the Catalan system in 2012–2013 (n = 30,392). The analysis is carried out in two steps. First, types of academic trajectories are identified and described using Group Based Trajectory Modelling, and each type is related to students’ final academic outcomes over a seven-year period. Then, the probability of students belonging to each trajectory type is estimated according to academic and socio-demographic variables, disaggregated by field of study, to detect inequalities and specific patterns across disciplinary areas. The results indicate that the most frequent trajectory is stable high achievers, though trajectories marked by academic difficulties are observed. Academic variables are the strongest predictors of trajectory type, while among socio-demographic factors, age stands out, reflecting the greater time constraints often faced by older students in relation to their broader life course, which can limit ability or willingness to extend their studies when difficulties arise. Gender also has an effect, while social background has a more limited role. Patterns are most marked in STEM, where even high-entry-grade students face greater challenges, and older students show a reduced tendency towards recovery trajectories.","container-title":"European Journal of Higher Education","DOI":"10.1080/21568235.2025.2556438","ISSN":"2156-8235, 2156-8243","journalAbbreviation":"European Journal of Higher Education","language":"en","page":"1-23","source":"DOI.org (Crossref)","title":"Patterns of university progression and social inequalities: delving into complex trajectories in higher education","title-short":"Patterns of university progression and social inequalities","author":[{"family":"Troiano","given":"Helena"},{"family":"Sánchez-Gelabert","given":"Albert"}],"issued":{"date-parts":[["2025",9,12]]}}}],"schema":"https://github.com/citation-style-language/schema/raw/master/csl-citation.json"}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(Langa, 2020; Troiano &amp; Sánchez-Gelabert, 2025a)</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En el contexto español, la realidad empírica, sustentada en datos de la encuesta ETEFIL-19, revela que casi la mitad de los estudiantes (49,7%) siguen trayectorias complejas, marcadas por cambios, intermitencias o reubicaciones, lo que </w:t>
      </w:r>
      <w:r w:rsidRPr="001A0D82">
        <w:rPr>
          <w:rFonts w:ascii="Times New Roman" w:hAnsi="Times New Roman" w:cs="Times New Roman"/>
          <w:sz w:val="24"/>
          <w:szCs w:val="24"/>
        </w:rPr>
        <w:lastRenderedPageBreak/>
        <w:t>convierte la no linealidad en una característica estructural y no en una anomalía marginal (Troiano y Chales, en evaluación).</w:t>
      </w:r>
    </w:p>
    <w:p w14:paraId="57A90362"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La principal conclusión práctica que se deriva de tal constatación es la necesidad de desplazar el foco analítico desde la institución hacia el individuo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{"citationID":"ibzKRrZw","properties":{"unsorted":false,"formattedCitation":"(Tinto, 2025)","plainCitation":"(Tinto, 2025)","noteIndex":0},"citationItems":[{"id":1930,"uris":["http://zotero.org/users/15180246/items/L68N75UQ"],"itemData":{"id":1930,"type":"article-journal","abstract":"Unlike many earlier models of student persistence that viewed the process of student persistence through the lens of the institution, the model proposed here looks at persistence through the eyes of students. It draws on the research on student motivation, student perceptions, and the impact of student networks on student engagement to propose a model of student persistence that stresses the importance of student perceptions of their engagement with others on campus and the meanings their draw from their engagements to their decisions to stay or leave. In doing so, it argues that to further promote student persistence, institutions should ask how their actions can influence student perceptions and in turn their motivation to learn and persist.","container-title":"Journal of College Student Retention","issue":"4","page":"959-969","title":"Student Persistence Through a Different Lens","volume":"26","author":[{"family":"Tinto","given":"Vincent"}],"issued":{"date-parts":[["2025"]]}}}],"schema":"https://github.com/citation-style-language/schema/raw/master/csl-citation.json"}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sz w:val="24"/>
          <w:szCs w:val="24"/>
        </w:rPr>
        <w:t>(Tinto, 2025)</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Los indicadores tradicionales de eficiencia, como las tasas de idoneidad y graduación en el tiempo previsto, resultan insuficientes para captar el sentido de los itinerarios actuales. Se propone sustituir el énfasis en la “retención” (mantener al alumno en un grado concreto) por el de “persistencia” (garantizar que el estudiante permanezca dentro del sistema educativo hasta obtener un título satisfactorio). Bajo esta óptica, un “camino sinuoso” que incluya desvíos estratégicos no debe interpretarse como un fracaso, sino como una reubicación biográficamente coherente que permite al estudiante encontrar un mejor encaje entre sus expectativas y sus capacidades (Troiano y Chales, en evaluación).</w:t>
      </w:r>
    </w:p>
    <w:p w14:paraId="09F39FD8"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Ahora bien, aunque se aboga aquí por una consideración amable de la complejidad, el estudio también evidencia que esta complejidad de las trayectorias es un marcador de desigualdad social. Mientras que las clases medias y altas utilizan el cambio de estudios como una ventaja compensatoria –apoyada en una red de seguridad que les permite ejercer el "derecho a equivocarse"–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{"citationID":"7FYGfTLg","properties":{"unsorted":false,"formattedCitation":"(F. Bernardi &amp; Cebolla, 2014; Langa, 2020; S\\uc0\\u225{}nchez-Gelabert &amp; Troiano, 2024)","plainCitation":"(F. Bernardi &amp; Cebolla, 2014; Langa, 2020; Sánchez-Gelabert &amp; Troiano, 2024)","noteIndex":0},"citationItems":[{"id":1048,"uris":["http://zotero.org/users/15180246/items/SF5P2HNX"],"itemData":{"id":1048,"type":"article-journal","container-title":"Revista Española de Investigaciones Sociológicas","DOI":"10.5477/cis/reis.146.3","ISSN":"0210-5233","issue":"3","page":"3-22","title":"Clase social de origen y rendimiento escolar como predictores de las trayectorias educativas / Social Class and School Performance as Predictors of Educational Paths in Spain","volume":"146","author":[{"family":"Bernardi","given":"Fabrizio"},{"family":"Cebolla","given":"Héctor"}],"issued":{"date-parts":[["2014"]]}}},{"id":1653,"uris":["http://zotero.org/users/15180246/items/8DJWF5AE"],"itemData":{"id":1653,"type":"article-journal","abstract":"Based on the qualitative analysis of discourse of working-class students, we addressed their experiences as university students in the Spanish context, where important changes have affected the conditions of entering and remaining in the university. We observed that attending a university has become more costly and uncertain, and therefore less attractive for working-class students. We believe that this finding is related to the reduction in university enrollment that has occurred since the implementation of new university policies in 2012. In any case, the new conditions do not seem to contribute to solving the problems of efficiency and inequality in Spain's university system.","container-title":"Revista Mexicana de Investigacion Educativa","issue":"86","page":"603-625","title":"El precio de estudiar en la universidad española para los jóvenes de clases populares Impacto de la reforma de las tasas universitarias de 2012 a través de los discursos de los estudiantes","volume":"25","author":[{"family":"Langa","given":"Delia"}],"issued":{"date-parts":[["2020"]]}}},{"id":967,"uris":["http://zotero.org/users/15180246/items/ZZK2248S"],"itemData":{"id":967,"type":"article-journal","container-title":"Studies in Higher Education","DOI":"10.1080/03075079.2023.2281539","ISSN":"0307-5079, 1470-174X","issue":"11","journalAbbreviation":"Studies in Higher Education","language":"en","page":"1867-1883","source":"DOI.org (Crossref)","title":"Compensatory advantage after the first year at university in the Catalan system: between continuing, transferring and dropping out","title-short":"Compensatory advantage after the first year at university in the Catalan system","volume":"49","author":[{"family":"Sánchez-Gelabert","given":"Albert"},{"family":"Troiano","given":"Helena"}],"issued":{"date-parts":[["2024",11]]}}}],"schema":"https://github.com/citation-style-language/schema/raw/master/csl-citation.json"}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(F. Bernardi &amp; Cebolla, 2014; Langa, 2020; Sánchez-Gelabert &amp; Troiano, 2024)</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los estudiantes de clase trabajadora afrontan una tasa de descuento temporal más punitiva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{"citationID":"ufCHe8PR","properties":{"unsorted":false,"formattedCitation":"(Breen et\\uc0\\u160{}al., 2014; Hillmert &amp; Jacob, 2003)","plainCitation":"(Breen et al., 2014; Hillmert &amp; Jacob, 2003)","noteIndex":0},"citationItems":[{"id":1131,"uris":["http://zotero.org/users/15180246/items/A3VIVUTD"],"itemData":{"id":1131,"type":"article-journal","abstract":"We develop a rational choice model of educational decision-making in which the utility of educational choices depends on students’ risk aversion and their time discounting preferences. We argue for the role of risk aversion and time discounting preferences in the choice of different tracks in secondary education and in mediating the impact of socioeconomic background on such choices. Enrolment decisions in Danish secondary education provide our empirical example, and the results are generally in line with the proposed theory in that (i) risk aversion deters students from choosing the academically challenging but economically rewarding academic track in secondary education, (ii) students with a low time discount rate are particularly likely to enter the academic track, and (iii) students from advantaged socioeconomic backgrounds are not affected by risk aversion when making educational decisions.","container-title":"European Sociological Review","DOI":"10.1093/esr/jcu039","issue":"2","page":"258-270","title":"Deciding under doubt: A theory of risk aversion, time discounting preferences, and educational decision-making","volume":"30","author":[{"family":"Breen","given":"Richard"},{"family":"Van De Werfhorst","given":"Herman G."},{"family":"Jæger","given":"Mads Meier"}],"issued":{"date-parts":[["2014"]]}}},{"id":474,"uris":["http://zotero.org/users/15180246/items/TXFIEUC7"],"itemData":{"id":474,"type":"article-journal","container-title":"European Sociological Review","DOI":"10.1093/esr/19.3.319","ISSN":"0266-7215, 1468-2672","issue":"3","journalAbbreviation":"European Sociological Review","language":"en","page":"319-334","source":"DOI.org (Crossref)","title":"Social Inequality in Higher Education. Is Vocational Training a Pathway Leading to or Away from University?","volume":"19","author":[{"family":"Hillmert","given":"S."},{"family":"Jacob","given":"Marita"}],"issued":{"date-parts":[["2003",7,1]]}}}],"schema":"https://github.com/citation-style-language/schema/raw/master/csl-citation.json"}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(Breen et al., 2014; Hillmert &amp; Jacob, 2003)</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xml:space="preserve">. Para estos últimos, la universidad se vive a menudo como una carga económica o un sacrificio parental, lo que les empuja a reorientaciones adaptativas hacia estudios más cortos o con inserción laboral rápida (reverse transfer) ante el primer signo de dificultad </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{"citationID":"pmJIlX72","properties":{"unsorted":false,"formattedCitation":"(Deil-Amen &amp; Goldrick-Rab, 2009; Langa et\\uc0\\u160{}al., 2019; Torrents &amp; Troiano, 2019)","plainCitation":"(Deil-Amen &amp; Goldrick-Rab, 2009; Langa et al., 2019; Torrents &amp; Troiano, 2019)","noteIndex":0},"citationItems":[{"id":486,"uris":["http://zotero.org/users/15180246/items/JXJKJ54R"],"itemData":{"id":486,"type":"article-journal","language":"en","source":"Zotero","title":"Institutional Transfer and the Management of Risk in Higher Education","author":[{"family":"Deil-Amen","given":"Regina"},{"family":"Goldrick-Rab","given":"Sara"}],"issued":{"date-parts":[["2009"]]}}},{"id":1474,"uris":["http://zotero.org/users/15180246/items/YSQ8WASF"],"itemData":{"id":1474,"type":"article-journal","container-title":"RASE: Revista de la Asociación de Sociología de la Educación","DOI":"10.7203/RASE.12.2.14308","issue":"2","page":"228-244","title":"El carácter contingente de las elecciones y la experiencia universitaria: riesgo y origen social.","volume":"12","author":[{"family":"Langa","given":"Delia"},{"family":"Torrents","given":"Dani"},{"family":"Troiano","given":"Helena"}],"issued":{"date-parts":[["2019"]]}}},{"id":1410,"uris":["http://zotero.org/users/15180246/items/JBP5J3XS"],"itemData":{"id":1410,"type":"article-journal","title":"El riesgo estimado en las elecciones educativas y las diferencias según origen social en la educación superior","author":[{"family":"Torrents","given":"Dani"},{"family":"Troiano","given":"Helena"}],"issued":{"date-parts":[["2019"]]}}}],"schema":"https://github.com/citation-style-language/schema/raw/master/csl-citation.json"}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(Deil-Amen &amp; Goldrick-Rab, 2009; Langa et al., 2019; Torrents &amp; Troiano, 2019)</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w:t>
      </w:r>
    </w:p>
    <w:p w14:paraId="6247E1C1"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En este contexto, la universidad online emerge como un pilar fundamental de equidad. Actúa como una verdadera «segunda oportunidad» para estudiantes no tradicionales</w:t>
      </w:r>
      <w:r w:rsidRPr="001A0D82">
        <w:rPr>
          <w:rFonts w:ascii="Times New Roman" w:hAnsi="Times New Roman" w:cs="Times New Roman"/>
          <w:sz w:val="24"/>
          <w:szCs w:val="24"/>
        </w:rPr>
        <w:fldChar w:fldCharType="begin"/>
      </w:r>
      <w:r w:rsidRPr="001A0D82">
        <w:rPr>
          <w:rFonts w:ascii="Times New Roman" w:hAnsi="Times New Roman" w:cs="Times New Roman"/>
          <w:sz w:val="24"/>
          <w:szCs w:val="24"/>
        </w:rPr>
        <w:instrText xml:space="preserve"> ADDIN ZOTERO_ITEM CSL_CITATION {"citationID":"22TFeUq8","properties":{"unsorted":false,"formattedCitation":"(Jutz et\\uc0\\u160{}al., 2024; S\\uc0\\u225{}nchez-Gelabert &amp; Elias, 2023; Stone, 2022)","plainCitation":"(Jutz et al., 2024; Sánchez-Gelabert &amp; Elias, 2023; Stone, 2022)","noteIndex":0},"citationItems":[{"id":1950,"uris":["http://zotero.org/users/15180246/items/RXRALV3Z"],"itemData":{"id":1950,"type":"article-journal","abstract":"Purpose – Online education enables location-independent learning, potentially providing university students with more ﬂexible study programs and reducing trafﬁc-related CO2 emissions. This paper aims to examine whether online education can contribute to university-related sustainable everyday mobility, with particular consideration given to aspects of social sustainability and potential rebound effects. Speciﬁcally, it explores sustainability dilemmas that arise from conﬂicting social and ecological effects.","container-title":"International Journal of Sustainability in Higher Education","DOI":"10.1108/IJSHE-07-2023-0272","ISSN":"1467-6370, 1467-6370","issue":"9","journalAbbreviation":"IJSHE","language":"en","license":"https://www.emerald.com/insight/site-policies","page":"195-212","source":"DOI.org (Crossref)","title":"Of study enthusiasts and homebirds: students’ everyday mobility and sustainability dilemmas in online higher education","title-short":"Of study enthusiasts and homebirds","volume":"25","author":[{"family":"Jutz","given":"Christopher"},{"family":"Griese","given":"Kai-Michael"},{"family":"Rau","given":"Henrike"},{"family":"Schoppengerd","given":"Johanna"},{"family":"Prehn","given":"Ines"}],"issued":{"date-parts":[["2024",12,16]]}}},{"id":499,"uris":["http://zotero.org/users/15180246/items/W7VT37RW"],"itemData":{"id":499,"type":"article-journal","abstract":"Abstract\n            The increase in university participation has led to greater complexity in terms of students' trajectories, with the option of changing degree course or higher education institution or, more recently, the mode of study (face-to-face and online learning). These transitions can be strategic moves that facilitate greater continuity in educational trajectories and increase equity within the education system. Online universities offer greater flexibility in terms of time and location, providing new opportunities for students with specific profiles to pursue higher education. This article aims to delve into the complex trajectories of change and to analyse whether there are differences in educational outcomes based on students' social backgrounds. Using registry data from the Catalan university system (n = 42,370), we identify and characterise the trajectories of change and analyse the effect of the interaction between them and social origin on educational outcomes. The results indicate that students from lower social backgrounds and those who also work are most likely to transition to virtual education. However, social background continues to have an effect on the probability of graduating, dropping out or pursuing further studies.","container-title":"International Journal of Educational Technology in Higher Education","DOI":"10.1186/s41239-023-00407-4","ISSN":"2365-9440","issue":"1","journalAbbreviation":"Int J Educ Technol High Educ","language":"en","page":"39","source":"DOI.org (Crossref)","title":"Going online? Does transferring to online university increase the likelihood of graduation among students from lower social background?","title-short":"Going online?","volume":"20","author":[{"family":"Sánchez-Gelabert","given":"Albert"},{"family":"Elias","given":"Marina"}],"issued":{"date-parts":[["2023",7,3]]}}},{"id":1962,"uris":["http://zotero.org/users/15180246/items/G88SQ56I"],"itemData":{"id":1962,"type":"article-journal","abstract":"From being largely at the margins of higher education for many years, online learning now finds itself in the mainstream. This paper offers a critique of the online learning literature both pre- and post-2020, looking at changes in response to this shift. Evidence tells us that online learning plays a significant role in enhancing student equity, widening higher education access and participation for many students who would have found it difficult, if not impossible, to attend university on campus. This includes students from government-identified equity backgrounds, as well as other student cohorts underrepresented at university, such as older working students, parents, and others with caring responsibilities, and those from families with no previous experience of university. The mainstreaming and normalising of online learning now presents an opportunity for universities to learn from both past and emerging evidence, to evaluate past practice and offer a more flexible learning experience that better meets the needs of an even wider range of students. Keeping online learning firmly in the mainstream, while taking an evidence-based approach to ensuring the quality of its design and delivery, has the potential to enhance student equity on a much broader scale.\nImplications for practice or policy:\n\nImproving the quality of online learning, using evidence-based research to design and deliver it more effectively, will enable more students to stay and succeed at university.\nContinuing to offer online study options for all students, that is, keeping it in the mainstream, will further enhance student equity.\nMainstreaming online learning options as part of standard university practice will enable more students to benefit from the greater flexibility of both fully online and hybrid models.","container-title":"Australasian Journal of Educational Technology","DOI":"10.14742/ajet.8136","ISSN":"1449-5554, 1449-3098","issue":"6","journalAbbreviation":"AJET","language":"en","license":"http://creativecommons.org/licenses/by-nc-nd/4.0","page":"139-149","source":"DOI.org (Crossref)","title":"From the margins to the mainstream: The online learning rethink and its implications for enhancing student equity","title-short":"From the margins to the mainstream","volume":"38","author":[{"family":"Stone","given":"Cathy"}],"issued":{"date-parts":[["2022",12,19]]}}}],"schema":"https://github.com/citation-style-language/schema/raw/master/csl-citation.json"} </w:instrText>
      </w:r>
      <w:r w:rsidRPr="001A0D82">
        <w:rPr>
          <w:rFonts w:ascii="Times New Roman" w:hAnsi="Times New Roman" w:cs="Times New Roman"/>
          <w:sz w:val="24"/>
          <w:szCs w:val="24"/>
        </w:rPr>
        <w:fldChar w:fldCharType="separate"/>
      </w:r>
      <w:r w:rsidRPr="001A0D82">
        <w:rPr>
          <w:rFonts w:ascii="Times New Roman" w:hAnsi="Times New Roman" w:cs="Times New Roman"/>
          <w:kern w:val="0"/>
          <w:sz w:val="24"/>
          <w:szCs w:val="24"/>
        </w:rPr>
        <w:t>(Jutz et al., 2024; Sánchez-Gelabert &amp; Elias, 2023; Stone, 2022)</w:t>
      </w:r>
      <w:r w:rsidRPr="001A0D82">
        <w:rPr>
          <w:rFonts w:ascii="Times New Roman" w:hAnsi="Times New Roman" w:cs="Times New Roman"/>
          <w:sz w:val="24"/>
          <w:szCs w:val="24"/>
        </w:rPr>
        <w:fldChar w:fldCharType="end"/>
      </w:r>
      <w:r w:rsidRPr="001A0D82">
        <w:rPr>
          <w:rFonts w:ascii="Times New Roman" w:hAnsi="Times New Roman" w:cs="Times New Roman"/>
          <w:sz w:val="24"/>
          <w:szCs w:val="24"/>
        </w:rPr>
        <w:t>, permitiendo la resincronización de los "hilos" vitales (educación, trabajo y familia) y reduciendo los costes de oportunidad y de deuda que de otro modo conducirían al abandono definitivo (Troiano y Duart, en evaluación).</w:t>
      </w:r>
    </w:p>
    <w:p w14:paraId="7AACA378"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A partir de la evidencia presentada, se proponen las siguientes líneas de actuación para las políticas públicas y las instituciones académicas:</w:t>
      </w:r>
    </w:p>
    <w:p w14:paraId="4C08242F"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Reforma de los indicadores de evaluación y acreditación: Las instituciones deben abandonar la penalización de la no linealidad. Es necesario desarrollar catálogos de indicadores que monitoricen la persistencia global en el sistema y no solo el éxito en un programa específico, reconociendo el valor de las graduaciones diferidas o las transferencias entre centros.</w:t>
      </w:r>
    </w:p>
    <w:p w14:paraId="6F6106FF"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 xml:space="preserve">Modelo de persistencia: La universidad tiene la responsabilidad ética de democratizar el derecho a la reubicación, asegurando que el cambio de estudios sea una vía accesible </w:t>
      </w:r>
      <w:r w:rsidRPr="001A0D82">
        <w:rPr>
          <w:rFonts w:ascii="Times New Roman" w:hAnsi="Times New Roman" w:cs="Times New Roman"/>
          <w:sz w:val="24"/>
          <w:szCs w:val="24"/>
        </w:rPr>
        <w:lastRenderedPageBreak/>
        <w:t>también para los perfiles no tradicionales y, así, transitar definitivamente de un modelo de “retención” a uno de “apoyo a la persistencia”.</w:t>
      </w:r>
    </w:p>
    <w:p w14:paraId="7856625D"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Garantía del derecho a la orientación continuada: Los servicios de orientación deben dejar de centrarse únicamente en el acceso para convertirse en una brújula de navegación a lo largo de toda la trayectoria universitaria del estudiante. Esto es especialmente crítico en momentos de crisis o cambio de rumbo, evitando que el desajuste de expectativas derive en exclusión.</w:t>
      </w:r>
    </w:p>
    <w:p w14:paraId="25088232"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Flexibilidad y reducción de barreras burocráticas: Se recomienda facilitar el reconocimiento de créditos y simplificar los procesos de traslado entre instituciones y modalidades (presencial y virtual). Evitar dinámicas competitivas entre universidades que penalicen la movilidad académica contribuiría a reducir la percepción de "tiempo perdido" en los estudiantes más vulnerables.</w:t>
      </w:r>
    </w:p>
    <w:p w14:paraId="52778E1B" w14:textId="77777777" w:rsidR="001A0D82" w:rsidRPr="001A0D82" w:rsidRDefault="001A0D82" w:rsidP="00930834">
      <w:pPr>
        <w:pStyle w:val="Textcastell"/>
        <w:jc w:val="both"/>
        <w:rPr>
          <w:rFonts w:ascii="Times New Roman" w:hAnsi="Times New Roman" w:cs="Times New Roman"/>
          <w:sz w:val="24"/>
          <w:szCs w:val="24"/>
        </w:rPr>
      </w:pPr>
      <w:r w:rsidRPr="001A0D82">
        <w:rPr>
          <w:rFonts w:ascii="Times New Roman" w:hAnsi="Times New Roman" w:cs="Times New Roman"/>
          <w:sz w:val="24"/>
          <w:szCs w:val="24"/>
        </w:rPr>
        <w:t>En conclusión, la universidad del siglo XXI debe transformarse en una infraestructura flexible que se ajuste a las biografías reales del estudiantado. Solo reconociendo las trayectorias complejas como recorridos legítimos podrá el sistema universitario cumplir su función de motor de equidad y excelencia social.</w:t>
      </w:r>
    </w:p>
    <w:p w14:paraId="544B704F" w14:textId="77777777" w:rsidR="00BC236F" w:rsidRPr="001A0D82" w:rsidRDefault="00BC236F" w:rsidP="00930834">
      <w:pPr>
        <w:spacing w:line="240" w:lineRule="auto"/>
        <w:jc w:val="both"/>
        <w:rPr>
          <w:rFonts w:ascii="Times New Roman" w:hAnsi="Times New Roman" w:cs="Times New Roman"/>
        </w:rPr>
      </w:pPr>
    </w:p>
    <w:p w14:paraId="39B57161" w14:textId="56B7E087" w:rsidR="005F3B2E" w:rsidRDefault="005F3B2E" w:rsidP="00930834">
      <w:pPr>
        <w:spacing w:line="240" w:lineRule="auto"/>
        <w:jc w:val="both"/>
        <w:rPr>
          <w:rFonts w:ascii="Times New Roman" w:hAnsi="Times New Roman" w:cs="Times New Roman"/>
          <w:b/>
          <w:bCs/>
        </w:rPr>
      </w:pPr>
      <w:r w:rsidRPr="00BA642E">
        <w:rPr>
          <w:rFonts w:ascii="Times New Roman" w:hAnsi="Times New Roman" w:cs="Times New Roman"/>
          <w:b/>
          <w:bCs/>
        </w:rPr>
        <w:t xml:space="preserve">Referencias Bibliográficas </w:t>
      </w:r>
    </w:p>
    <w:p w14:paraId="1965FC84"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fldChar w:fldCharType="begin"/>
      </w:r>
      <w:r w:rsidRPr="007837D4">
        <w:rPr>
          <w:rFonts w:ascii="Times New Roman" w:hAnsi="Times New Roman" w:cs="Times New Roman"/>
        </w:rPr>
        <w:instrText xml:space="preserve"> ADDIN ZOTERO_BIBL {"uncited":[],"omitted":[],"custom":[]} CSL_BIBLIOGRAPHY </w:instrText>
      </w:r>
      <w:r w:rsidRPr="007837D4">
        <w:rPr>
          <w:rFonts w:ascii="Times New Roman" w:hAnsi="Times New Roman" w:cs="Times New Roman"/>
        </w:rPr>
        <w:fldChar w:fldCharType="separate"/>
      </w:r>
      <w:r w:rsidRPr="007837D4">
        <w:rPr>
          <w:rFonts w:ascii="Times New Roman" w:hAnsi="Times New Roman" w:cs="Times New Roman"/>
        </w:rPr>
        <w:t xml:space="preserve">Barañano Cid, M., &amp; Finkel Morgenstern, L. (2014). Transmisión intergeneracional y composición social de la población estudiantil universitaria española: Cambios y continuidades. </w:t>
      </w:r>
      <w:r w:rsidRPr="007837D4">
        <w:rPr>
          <w:rFonts w:ascii="Times New Roman" w:hAnsi="Times New Roman" w:cs="Times New Roman"/>
          <w:i/>
          <w:iCs/>
        </w:rPr>
        <w:t>Revista de la Asociación de Sociología de la Educación (RASE)</w:t>
      </w:r>
      <w:r w:rsidRPr="007837D4">
        <w:rPr>
          <w:rFonts w:ascii="Times New Roman" w:hAnsi="Times New Roman" w:cs="Times New Roman"/>
        </w:rPr>
        <w:t xml:space="preserve">, </w:t>
      </w:r>
      <w:r w:rsidRPr="007837D4">
        <w:rPr>
          <w:rFonts w:ascii="Times New Roman" w:hAnsi="Times New Roman" w:cs="Times New Roman"/>
          <w:i/>
          <w:iCs/>
        </w:rPr>
        <w:t>7</w:t>
      </w:r>
      <w:r w:rsidRPr="007837D4">
        <w:rPr>
          <w:rFonts w:ascii="Times New Roman" w:hAnsi="Times New Roman" w:cs="Times New Roman"/>
        </w:rPr>
        <w:t>(1), 42-60.</w:t>
      </w:r>
    </w:p>
    <w:p w14:paraId="78951882"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Barone, C., Barg, K., &amp; Ichou, M. (2021). Relative risk aversion models: How plausible are their assumptions? </w:t>
      </w:r>
      <w:r w:rsidRPr="007837D4">
        <w:rPr>
          <w:rFonts w:ascii="Times New Roman" w:hAnsi="Times New Roman" w:cs="Times New Roman"/>
          <w:i/>
          <w:iCs/>
        </w:rPr>
        <w:t>Rationality and Society</w:t>
      </w:r>
      <w:r w:rsidRPr="007837D4">
        <w:rPr>
          <w:rFonts w:ascii="Times New Roman" w:hAnsi="Times New Roman" w:cs="Times New Roman"/>
        </w:rPr>
        <w:t xml:space="preserve">, </w:t>
      </w:r>
      <w:r w:rsidRPr="007837D4">
        <w:rPr>
          <w:rFonts w:ascii="Times New Roman" w:hAnsi="Times New Roman" w:cs="Times New Roman"/>
          <w:i/>
          <w:iCs/>
        </w:rPr>
        <w:t>33</w:t>
      </w:r>
      <w:r w:rsidRPr="007837D4">
        <w:rPr>
          <w:rFonts w:ascii="Times New Roman" w:hAnsi="Times New Roman" w:cs="Times New Roman"/>
        </w:rPr>
        <w:t>(2), 143-175. https://doi.org/10.1177/1043463121994087</w:t>
      </w:r>
    </w:p>
    <w:p w14:paraId="0ADA3B26"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Bernardi, F., &amp; Cebolla, H. (2014). Clase social de origen y rendimiento escolar como predictores de las trayectorias educativas / Social Class and School Performance as Predictors of Educational Paths in Spain. </w:t>
      </w:r>
      <w:r w:rsidRPr="007837D4">
        <w:rPr>
          <w:rFonts w:ascii="Times New Roman" w:hAnsi="Times New Roman" w:cs="Times New Roman"/>
          <w:i/>
          <w:iCs/>
        </w:rPr>
        <w:t>Revista Española de Investigaciones Sociológicas</w:t>
      </w:r>
      <w:r w:rsidRPr="007837D4">
        <w:rPr>
          <w:rFonts w:ascii="Times New Roman" w:hAnsi="Times New Roman" w:cs="Times New Roman"/>
        </w:rPr>
        <w:t xml:space="preserve">, </w:t>
      </w:r>
      <w:r w:rsidRPr="007837D4">
        <w:rPr>
          <w:rFonts w:ascii="Times New Roman" w:hAnsi="Times New Roman" w:cs="Times New Roman"/>
          <w:i/>
          <w:iCs/>
        </w:rPr>
        <w:t>146</w:t>
      </w:r>
      <w:r w:rsidRPr="007837D4">
        <w:rPr>
          <w:rFonts w:ascii="Times New Roman" w:hAnsi="Times New Roman" w:cs="Times New Roman"/>
        </w:rPr>
        <w:t>(3), 3-22. https://doi.org/10.5477/cis/reis.146.3</w:t>
      </w:r>
    </w:p>
    <w:p w14:paraId="711BE776"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Bernardi, L., Huinink, J., &amp; Settersten, R. A. (2019). The life course cube: A tool for studying lives. </w:t>
      </w:r>
      <w:r w:rsidRPr="007837D4">
        <w:rPr>
          <w:rFonts w:ascii="Times New Roman" w:hAnsi="Times New Roman" w:cs="Times New Roman"/>
          <w:i/>
          <w:iCs/>
        </w:rPr>
        <w:t>Advances in Life Course Research</w:t>
      </w:r>
      <w:r w:rsidRPr="007837D4">
        <w:rPr>
          <w:rFonts w:ascii="Times New Roman" w:hAnsi="Times New Roman" w:cs="Times New Roman"/>
        </w:rPr>
        <w:t xml:space="preserve">, </w:t>
      </w:r>
      <w:r w:rsidRPr="007837D4">
        <w:rPr>
          <w:rFonts w:ascii="Times New Roman" w:hAnsi="Times New Roman" w:cs="Times New Roman"/>
          <w:i/>
          <w:iCs/>
        </w:rPr>
        <w:t>41</w:t>
      </w:r>
      <w:r w:rsidRPr="007837D4">
        <w:rPr>
          <w:rFonts w:ascii="Times New Roman" w:hAnsi="Times New Roman" w:cs="Times New Roman"/>
        </w:rPr>
        <w:t>, 100258. https://doi.org/10.1016/j.alcr.2018.11.004</w:t>
      </w:r>
    </w:p>
    <w:p w14:paraId="568B7EB8"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Bourdieu, P., &amp; Passeron, J.-C. (1964). </w:t>
      </w:r>
      <w:r w:rsidRPr="007837D4">
        <w:rPr>
          <w:rFonts w:ascii="Times New Roman" w:hAnsi="Times New Roman" w:cs="Times New Roman"/>
          <w:i/>
          <w:iCs/>
        </w:rPr>
        <w:t>Les héritiers. Les étudiants et la culture.</w:t>
      </w:r>
      <w:r w:rsidRPr="007837D4">
        <w:rPr>
          <w:rFonts w:ascii="Times New Roman" w:hAnsi="Times New Roman" w:cs="Times New Roman"/>
        </w:rPr>
        <w:t xml:space="preserve"> Les éditions de Minuit.</w:t>
      </w:r>
    </w:p>
    <w:p w14:paraId="40894591"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Boylan, R. L. (2020). Predicting Postsecondary Pathways: The Effect of Social Background and Academic Factors on Routes through School. </w:t>
      </w:r>
      <w:r w:rsidRPr="007837D4">
        <w:rPr>
          <w:rFonts w:ascii="Times New Roman" w:hAnsi="Times New Roman" w:cs="Times New Roman"/>
          <w:i/>
          <w:iCs/>
        </w:rPr>
        <w:t>Socius: Sociological Research for a Dynamic World</w:t>
      </w:r>
      <w:r w:rsidRPr="007837D4">
        <w:rPr>
          <w:rFonts w:ascii="Times New Roman" w:hAnsi="Times New Roman" w:cs="Times New Roman"/>
        </w:rPr>
        <w:t xml:space="preserve">, </w:t>
      </w:r>
      <w:r w:rsidRPr="007837D4">
        <w:rPr>
          <w:rFonts w:ascii="Times New Roman" w:hAnsi="Times New Roman" w:cs="Times New Roman"/>
          <w:i/>
          <w:iCs/>
        </w:rPr>
        <w:t>6</w:t>
      </w:r>
      <w:r w:rsidRPr="007837D4">
        <w:rPr>
          <w:rFonts w:ascii="Times New Roman" w:hAnsi="Times New Roman" w:cs="Times New Roman"/>
        </w:rPr>
        <w:t>, 1-25. https://doi.org/10.1177/2378023119895174</w:t>
      </w:r>
    </w:p>
    <w:p w14:paraId="6D3E94A7"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lastRenderedPageBreak/>
        <w:t xml:space="preserve">Breen, R. (2001). A rational choice model of educational inequality. </w:t>
      </w:r>
      <w:r w:rsidRPr="007837D4">
        <w:rPr>
          <w:rFonts w:ascii="Times New Roman" w:hAnsi="Times New Roman" w:cs="Times New Roman"/>
          <w:i/>
          <w:iCs/>
        </w:rPr>
        <w:t>Estudios/Working Papers (Centro de Estudios …</w:t>
      </w:r>
      <w:r w:rsidRPr="007837D4">
        <w:rPr>
          <w:rFonts w:ascii="Times New Roman" w:hAnsi="Times New Roman" w:cs="Times New Roman"/>
        </w:rPr>
        <w:t>, (October), 29-29.</w:t>
      </w:r>
    </w:p>
    <w:p w14:paraId="14D9C7BA"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Breen, R., Van De Werfhorst, H. G., &amp; Jæger, M. M. (2014). Deciding under doubt: A theory of risk aversion, time discounting preferences, and educational decision-making. </w:t>
      </w:r>
      <w:r w:rsidRPr="007837D4">
        <w:rPr>
          <w:rFonts w:ascii="Times New Roman" w:hAnsi="Times New Roman" w:cs="Times New Roman"/>
          <w:i/>
          <w:iCs/>
        </w:rPr>
        <w:t>European Sociological Review</w:t>
      </w:r>
      <w:r w:rsidRPr="007837D4">
        <w:rPr>
          <w:rFonts w:ascii="Times New Roman" w:hAnsi="Times New Roman" w:cs="Times New Roman"/>
        </w:rPr>
        <w:t xml:space="preserve">, </w:t>
      </w:r>
      <w:r w:rsidRPr="007837D4">
        <w:rPr>
          <w:rFonts w:ascii="Times New Roman" w:hAnsi="Times New Roman" w:cs="Times New Roman"/>
          <w:i/>
          <w:iCs/>
        </w:rPr>
        <w:t>30</w:t>
      </w:r>
      <w:r w:rsidRPr="007837D4">
        <w:rPr>
          <w:rFonts w:ascii="Times New Roman" w:hAnsi="Times New Roman" w:cs="Times New Roman"/>
        </w:rPr>
        <w:t>(2), 258-270. https://doi.org/10.1093/esr/jcu039</w:t>
      </w:r>
    </w:p>
    <w:p w14:paraId="01CFE432"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Breen, R., &amp; Yaish, M. (2006). </w:t>
      </w:r>
      <w:r w:rsidRPr="007837D4">
        <w:rPr>
          <w:rFonts w:ascii="Times New Roman" w:hAnsi="Times New Roman" w:cs="Times New Roman"/>
          <w:i/>
          <w:iCs/>
        </w:rPr>
        <w:t>Testing the Breen – Goldthorpe Model of Educational Decision Making Richard</w:t>
      </w:r>
      <w:r w:rsidRPr="007837D4">
        <w:rPr>
          <w:rFonts w:ascii="Times New Roman" w:hAnsi="Times New Roman" w:cs="Times New Roman"/>
        </w:rPr>
        <w:t xml:space="preserve"> (Número August, p. 258). Stanford University Press.</w:t>
      </w:r>
    </w:p>
    <w:p w14:paraId="1F71F96E"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Cooper, A., Juan, A., &amp; Mhlanga, N. (2025). Navigating threads of a young adult life-course: Tangled complexity in the education and work pathways of African university graduates. </w:t>
      </w:r>
      <w:r w:rsidRPr="007837D4">
        <w:rPr>
          <w:rFonts w:ascii="Times New Roman" w:hAnsi="Times New Roman" w:cs="Times New Roman"/>
          <w:i/>
          <w:iCs/>
        </w:rPr>
        <w:t>Advances in Life Course Research</w:t>
      </w:r>
      <w:r w:rsidRPr="007837D4">
        <w:rPr>
          <w:rFonts w:ascii="Times New Roman" w:hAnsi="Times New Roman" w:cs="Times New Roman"/>
        </w:rPr>
        <w:t xml:space="preserve">, </w:t>
      </w:r>
      <w:r w:rsidRPr="007837D4">
        <w:rPr>
          <w:rFonts w:ascii="Times New Roman" w:hAnsi="Times New Roman" w:cs="Times New Roman"/>
          <w:i/>
          <w:iCs/>
        </w:rPr>
        <w:t>65</w:t>
      </w:r>
      <w:r w:rsidRPr="007837D4">
        <w:rPr>
          <w:rFonts w:ascii="Times New Roman" w:hAnsi="Times New Roman" w:cs="Times New Roman"/>
        </w:rPr>
        <w:t>, 100689. https://doi.org/10.1016/j.alcr.2025.100689</w:t>
      </w:r>
    </w:p>
    <w:p w14:paraId="727AAB54"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Deil-Amen, R., &amp; Goldrick-Rab, S. (2009). </w:t>
      </w:r>
      <w:r w:rsidRPr="007837D4">
        <w:rPr>
          <w:rFonts w:ascii="Times New Roman" w:hAnsi="Times New Roman" w:cs="Times New Roman"/>
          <w:i/>
          <w:iCs/>
        </w:rPr>
        <w:t>Institutional Transfer and the Management of Risk in Higher Education</w:t>
      </w:r>
      <w:r w:rsidRPr="007837D4">
        <w:rPr>
          <w:rFonts w:ascii="Times New Roman" w:hAnsi="Times New Roman" w:cs="Times New Roman"/>
        </w:rPr>
        <w:t>.</w:t>
      </w:r>
    </w:p>
    <w:p w14:paraId="670BB976"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Goldthorpe, J. H. (2010). Class analysis and the reorientation of class theory: The case of persisting differentials in educational attainment. </w:t>
      </w:r>
      <w:r w:rsidRPr="007837D4">
        <w:rPr>
          <w:rFonts w:ascii="Times New Roman" w:hAnsi="Times New Roman" w:cs="Times New Roman"/>
          <w:i/>
          <w:iCs/>
        </w:rPr>
        <w:t>British Journal of Sociology</w:t>
      </w:r>
      <w:r w:rsidRPr="007837D4">
        <w:rPr>
          <w:rFonts w:ascii="Times New Roman" w:hAnsi="Times New Roman" w:cs="Times New Roman"/>
        </w:rPr>
        <w:t xml:space="preserve">, </w:t>
      </w:r>
      <w:r w:rsidRPr="007837D4">
        <w:rPr>
          <w:rFonts w:ascii="Times New Roman" w:hAnsi="Times New Roman" w:cs="Times New Roman"/>
          <w:i/>
          <w:iCs/>
        </w:rPr>
        <w:t>61</w:t>
      </w:r>
      <w:r w:rsidRPr="007837D4">
        <w:rPr>
          <w:rFonts w:ascii="Times New Roman" w:hAnsi="Times New Roman" w:cs="Times New Roman"/>
        </w:rPr>
        <w:t>(1), 311-335.</w:t>
      </w:r>
    </w:p>
    <w:p w14:paraId="47D6DF20"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Haas, C., &amp; Hadjar, A. (2020). Students’ trajectories through higher education: A review of quantitative research. </w:t>
      </w:r>
      <w:r w:rsidRPr="007837D4">
        <w:rPr>
          <w:rFonts w:ascii="Times New Roman" w:hAnsi="Times New Roman" w:cs="Times New Roman"/>
          <w:i/>
          <w:iCs/>
        </w:rPr>
        <w:t>Higher Education</w:t>
      </w:r>
      <w:r w:rsidRPr="007837D4">
        <w:rPr>
          <w:rFonts w:ascii="Times New Roman" w:hAnsi="Times New Roman" w:cs="Times New Roman"/>
        </w:rPr>
        <w:t xml:space="preserve">, </w:t>
      </w:r>
      <w:r w:rsidRPr="007837D4">
        <w:rPr>
          <w:rFonts w:ascii="Times New Roman" w:hAnsi="Times New Roman" w:cs="Times New Roman"/>
          <w:i/>
          <w:iCs/>
        </w:rPr>
        <w:t>79</w:t>
      </w:r>
      <w:r w:rsidRPr="007837D4">
        <w:rPr>
          <w:rFonts w:ascii="Times New Roman" w:hAnsi="Times New Roman" w:cs="Times New Roman"/>
        </w:rPr>
        <w:t>, 1099-1118. https://doi.org/10.1007/s10734-019-00458-5</w:t>
      </w:r>
    </w:p>
    <w:p w14:paraId="193AA0C0"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Hillmert, S., &amp; Jacob, M. (2003). Social Inequality in Higher Education. Is Vocational Training a Pathway Leading to or Away from University? </w:t>
      </w:r>
      <w:r w:rsidRPr="007837D4">
        <w:rPr>
          <w:rFonts w:ascii="Times New Roman" w:hAnsi="Times New Roman" w:cs="Times New Roman"/>
          <w:i/>
          <w:iCs/>
        </w:rPr>
        <w:t>European Sociological Review</w:t>
      </w:r>
      <w:r w:rsidRPr="007837D4">
        <w:rPr>
          <w:rFonts w:ascii="Times New Roman" w:hAnsi="Times New Roman" w:cs="Times New Roman"/>
        </w:rPr>
        <w:t xml:space="preserve">, </w:t>
      </w:r>
      <w:r w:rsidRPr="007837D4">
        <w:rPr>
          <w:rFonts w:ascii="Times New Roman" w:hAnsi="Times New Roman" w:cs="Times New Roman"/>
          <w:i/>
          <w:iCs/>
        </w:rPr>
        <w:t>19</w:t>
      </w:r>
      <w:r w:rsidRPr="007837D4">
        <w:rPr>
          <w:rFonts w:ascii="Times New Roman" w:hAnsi="Times New Roman" w:cs="Times New Roman"/>
        </w:rPr>
        <w:t>(3), 319-334. https://doi.org/10.1093/esr/19.3.319</w:t>
      </w:r>
    </w:p>
    <w:p w14:paraId="79359C38"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Holm, A., &amp; Jaeger, M. M. (2008). Does relative risk aversion explain educational inequality? A dynamic choice approach. </w:t>
      </w:r>
      <w:r w:rsidRPr="007837D4">
        <w:rPr>
          <w:rFonts w:ascii="Times New Roman" w:hAnsi="Times New Roman" w:cs="Times New Roman"/>
          <w:i/>
          <w:iCs/>
        </w:rPr>
        <w:t>Research in Social Stratification and Mobility</w:t>
      </w:r>
      <w:r w:rsidRPr="007837D4">
        <w:rPr>
          <w:rFonts w:ascii="Times New Roman" w:hAnsi="Times New Roman" w:cs="Times New Roman"/>
        </w:rPr>
        <w:t xml:space="preserve">, </w:t>
      </w:r>
      <w:r w:rsidRPr="007837D4">
        <w:rPr>
          <w:rFonts w:ascii="Times New Roman" w:hAnsi="Times New Roman" w:cs="Times New Roman"/>
          <w:i/>
          <w:iCs/>
        </w:rPr>
        <w:t>26</w:t>
      </w:r>
      <w:r w:rsidRPr="007837D4">
        <w:rPr>
          <w:rFonts w:ascii="Times New Roman" w:hAnsi="Times New Roman" w:cs="Times New Roman"/>
        </w:rPr>
        <w:t>(3), 199-219.</w:t>
      </w:r>
    </w:p>
    <w:p w14:paraId="18B71292"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Jutz, C., Griese, K.-M., Rau, H., Schoppengerd, J., &amp; Prehn, I. (2024). Of study enthusiasts and homebirds: Students’ everyday mobility and sustainability dilemmas in online higher education. </w:t>
      </w:r>
      <w:r w:rsidRPr="007837D4">
        <w:rPr>
          <w:rFonts w:ascii="Times New Roman" w:hAnsi="Times New Roman" w:cs="Times New Roman"/>
          <w:i/>
          <w:iCs/>
        </w:rPr>
        <w:t>International Journal of Sustainability in Higher Education</w:t>
      </w:r>
      <w:r w:rsidRPr="007837D4">
        <w:rPr>
          <w:rFonts w:ascii="Times New Roman" w:hAnsi="Times New Roman" w:cs="Times New Roman"/>
        </w:rPr>
        <w:t xml:space="preserve">, </w:t>
      </w:r>
      <w:r w:rsidRPr="007837D4">
        <w:rPr>
          <w:rFonts w:ascii="Times New Roman" w:hAnsi="Times New Roman" w:cs="Times New Roman"/>
          <w:i/>
          <w:iCs/>
        </w:rPr>
        <w:t>25</w:t>
      </w:r>
      <w:r w:rsidRPr="007837D4">
        <w:rPr>
          <w:rFonts w:ascii="Times New Roman" w:hAnsi="Times New Roman" w:cs="Times New Roman"/>
        </w:rPr>
        <w:t>(9), 195-212. https://doi.org/10.1108/IJSHE-07-2023-0272</w:t>
      </w:r>
    </w:p>
    <w:p w14:paraId="42503931"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Langa, D. (2003). </w:t>
      </w:r>
      <w:r w:rsidRPr="007837D4">
        <w:rPr>
          <w:rFonts w:ascii="Times New Roman" w:hAnsi="Times New Roman" w:cs="Times New Roman"/>
          <w:i/>
          <w:iCs/>
        </w:rPr>
        <w:t>Los estudiantes y sus razones prácticas: Heterogeneidad de estrategias de estudiantes universitarios según clase social</w:t>
      </w:r>
      <w:r w:rsidRPr="007837D4">
        <w:rPr>
          <w:rFonts w:ascii="Times New Roman" w:hAnsi="Times New Roman" w:cs="Times New Roman"/>
        </w:rPr>
        <w:t>.</w:t>
      </w:r>
    </w:p>
    <w:p w14:paraId="1AAED196"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Langa, D. (2019). El Sentido de las Becas para los Estudiantes Universitarios de Clases Populares. Impacto Del Nuevo Sistema de Becas en la Universidad Española. </w:t>
      </w:r>
      <w:r w:rsidRPr="007837D4">
        <w:rPr>
          <w:rFonts w:ascii="Times New Roman" w:hAnsi="Times New Roman" w:cs="Times New Roman"/>
          <w:i/>
          <w:iCs/>
        </w:rPr>
        <w:t>International Journal of Sociology of Education</w:t>
      </w:r>
      <w:r w:rsidRPr="007837D4">
        <w:rPr>
          <w:rFonts w:ascii="Times New Roman" w:hAnsi="Times New Roman" w:cs="Times New Roman"/>
        </w:rPr>
        <w:t xml:space="preserve">, </w:t>
      </w:r>
      <w:r w:rsidRPr="007837D4">
        <w:rPr>
          <w:rFonts w:ascii="Times New Roman" w:hAnsi="Times New Roman" w:cs="Times New Roman"/>
          <w:i/>
          <w:iCs/>
        </w:rPr>
        <w:t>8</w:t>
      </w:r>
      <w:r w:rsidRPr="007837D4">
        <w:rPr>
          <w:rFonts w:ascii="Times New Roman" w:hAnsi="Times New Roman" w:cs="Times New Roman"/>
        </w:rPr>
        <w:t>(2), 105-126. https://doi.org/10.17583/rise.2019.3802</w:t>
      </w:r>
    </w:p>
    <w:p w14:paraId="3FAB3797"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Langa, D. (2020). El precio de estudiar en la universidad española para los jóvenes de clases populares Impacto de la reforma de las tasas universitarias de 2012 a través de los </w:t>
      </w:r>
      <w:r w:rsidRPr="007837D4">
        <w:rPr>
          <w:rFonts w:ascii="Times New Roman" w:hAnsi="Times New Roman" w:cs="Times New Roman"/>
        </w:rPr>
        <w:lastRenderedPageBreak/>
        <w:t xml:space="preserve">discursos de los estudiantes. </w:t>
      </w:r>
      <w:r w:rsidRPr="007837D4">
        <w:rPr>
          <w:rFonts w:ascii="Times New Roman" w:hAnsi="Times New Roman" w:cs="Times New Roman"/>
          <w:i/>
          <w:iCs/>
        </w:rPr>
        <w:t>Revista Mexicana de Investigacion Educativa</w:t>
      </w:r>
      <w:r w:rsidRPr="007837D4">
        <w:rPr>
          <w:rFonts w:ascii="Times New Roman" w:hAnsi="Times New Roman" w:cs="Times New Roman"/>
        </w:rPr>
        <w:t xml:space="preserve">, </w:t>
      </w:r>
      <w:r w:rsidRPr="007837D4">
        <w:rPr>
          <w:rFonts w:ascii="Times New Roman" w:hAnsi="Times New Roman" w:cs="Times New Roman"/>
          <w:i/>
          <w:iCs/>
        </w:rPr>
        <w:t>25</w:t>
      </w:r>
      <w:r w:rsidRPr="007837D4">
        <w:rPr>
          <w:rFonts w:ascii="Times New Roman" w:hAnsi="Times New Roman" w:cs="Times New Roman"/>
        </w:rPr>
        <w:t>(86), 603-625.</w:t>
      </w:r>
    </w:p>
    <w:p w14:paraId="26807C5D"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Langa, D., Torrents, D., &amp; Troiano, H. (2019). El carácter contingente de las elecciones y la experiencia universitaria: Riesgo y origen social. </w:t>
      </w:r>
      <w:r w:rsidRPr="007837D4">
        <w:rPr>
          <w:rFonts w:ascii="Times New Roman" w:hAnsi="Times New Roman" w:cs="Times New Roman"/>
          <w:i/>
          <w:iCs/>
        </w:rPr>
        <w:t>RASE: Revista de la Asociación de Sociología de la Educación</w:t>
      </w:r>
      <w:r w:rsidRPr="007837D4">
        <w:rPr>
          <w:rFonts w:ascii="Times New Roman" w:hAnsi="Times New Roman" w:cs="Times New Roman"/>
        </w:rPr>
        <w:t xml:space="preserve">, </w:t>
      </w:r>
      <w:r w:rsidRPr="007837D4">
        <w:rPr>
          <w:rFonts w:ascii="Times New Roman" w:hAnsi="Times New Roman" w:cs="Times New Roman"/>
          <w:i/>
          <w:iCs/>
        </w:rPr>
        <w:t>12</w:t>
      </w:r>
      <w:r w:rsidRPr="007837D4">
        <w:rPr>
          <w:rFonts w:ascii="Times New Roman" w:hAnsi="Times New Roman" w:cs="Times New Roman"/>
        </w:rPr>
        <w:t>(2), 228-244. https://doi.org/10.7203/RASE.12.2.14308</w:t>
      </w:r>
    </w:p>
    <w:p w14:paraId="2A2FD3D4"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Müller, S., &amp; Schneider, T. (2013). Educational pathways and dropout from higher education in Germany. </w:t>
      </w:r>
      <w:r w:rsidRPr="007837D4">
        <w:rPr>
          <w:rFonts w:ascii="Times New Roman" w:hAnsi="Times New Roman" w:cs="Times New Roman"/>
          <w:i/>
          <w:iCs/>
        </w:rPr>
        <w:t>Longitudinal and Life Course Studies</w:t>
      </w:r>
      <w:r w:rsidRPr="007837D4">
        <w:rPr>
          <w:rFonts w:ascii="Times New Roman" w:hAnsi="Times New Roman" w:cs="Times New Roman"/>
        </w:rPr>
        <w:t xml:space="preserve">, </w:t>
      </w:r>
      <w:r w:rsidRPr="007837D4">
        <w:rPr>
          <w:rFonts w:ascii="Times New Roman" w:hAnsi="Times New Roman" w:cs="Times New Roman"/>
          <w:i/>
          <w:iCs/>
        </w:rPr>
        <w:t>4</w:t>
      </w:r>
      <w:r w:rsidRPr="007837D4">
        <w:rPr>
          <w:rFonts w:ascii="Times New Roman" w:hAnsi="Times New Roman" w:cs="Times New Roman"/>
        </w:rPr>
        <w:t>(3), 218-241. https://doi.org/10.14301/llcs.v4i3.251</w:t>
      </w:r>
    </w:p>
    <w:p w14:paraId="07DE2FE8"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Ortagus, J. C. (2017). From the periphery to prominence: An examination of the changing profile of online students in American higher education. </w:t>
      </w:r>
      <w:r w:rsidRPr="007837D4">
        <w:rPr>
          <w:rFonts w:ascii="Times New Roman" w:hAnsi="Times New Roman" w:cs="Times New Roman"/>
          <w:i/>
          <w:iCs/>
        </w:rPr>
        <w:t>The Internet and Higher Education</w:t>
      </w:r>
      <w:r w:rsidRPr="007837D4">
        <w:rPr>
          <w:rFonts w:ascii="Times New Roman" w:hAnsi="Times New Roman" w:cs="Times New Roman"/>
        </w:rPr>
        <w:t xml:space="preserve">, </w:t>
      </w:r>
      <w:r w:rsidRPr="007837D4">
        <w:rPr>
          <w:rFonts w:ascii="Times New Roman" w:hAnsi="Times New Roman" w:cs="Times New Roman"/>
          <w:i/>
          <w:iCs/>
        </w:rPr>
        <w:t>32</w:t>
      </w:r>
      <w:r w:rsidRPr="007837D4">
        <w:rPr>
          <w:rFonts w:ascii="Times New Roman" w:hAnsi="Times New Roman" w:cs="Times New Roman"/>
        </w:rPr>
        <w:t>, 47-57. https://doi.org/10.1016/j.iheduc.2016.09.002</w:t>
      </w:r>
    </w:p>
    <w:p w14:paraId="71E07A1F"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Pêgo, J. P., Miguéis, V. L., &amp; Soeiro, A. (2024). Students’ complex trajectories: Exploring degree change and time to degree. </w:t>
      </w:r>
      <w:r w:rsidRPr="007837D4">
        <w:rPr>
          <w:rFonts w:ascii="Times New Roman" w:hAnsi="Times New Roman" w:cs="Times New Roman"/>
          <w:i/>
          <w:iCs/>
        </w:rPr>
        <w:t>International Journal of Educational Technology in Higher Education</w:t>
      </w:r>
      <w:r w:rsidRPr="007837D4">
        <w:rPr>
          <w:rFonts w:ascii="Times New Roman" w:hAnsi="Times New Roman" w:cs="Times New Roman"/>
        </w:rPr>
        <w:t xml:space="preserve">, </w:t>
      </w:r>
      <w:r w:rsidRPr="007837D4">
        <w:rPr>
          <w:rFonts w:ascii="Times New Roman" w:hAnsi="Times New Roman" w:cs="Times New Roman"/>
          <w:i/>
          <w:iCs/>
        </w:rPr>
        <w:t>21</w:t>
      </w:r>
      <w:r w:rsidRPr="007837D4">
        <w:rPr>
          <w:rFonts w:ascii="Times New Roman" w:hAnsi="Times New Roman" w:cs="Times New Roman"/>
        </w:rPr>
        <w:t>(1). https://doi.org/10.1186/s41239-024-00438-5</w:t>
      </w:r>
    </w:p>
    <w:p w14:paraId="4BB9E2DC"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Sánchez-Gelabert, A., &amp; Elias, M. (2023). Going online? Does transferring to online university increase the likelihood of graduation among students from lower social background? </w:t>
      </w:r>
      <w:r w:rsidRPr="007837D4">
        <w:rPr>
          <w:rFonts w:ascii="Times New Roman" w:hAnsi="Times New Roman" w:cs="Times New Roman"/>
          <w:i/>
          <w:iCs/>
        </w:rPr>
        <w:t>International Journal of Educational Technology in Higher Education</w:t>
      </w:r>
      <w:r w:rsidRPr="007837D4">
        <w:rPr>
          <w:rFonts w:ascii="Times New Roman" w:hAnsi="Times New Roman" w:cs="Times New Roman"/>
        </w:rPr>
        <w:t xml:space="preserve">, </w:t>
      </w:r>
      <w:r w:rsidRPr="007837D4">
        <w:rPr>
          <w:rFonts w:ascii="Times New Roman" w:hAnsi="Times New Roman" w:cs="Times New Roman"/>
          <w:i/>
          <w:iCs/>
        </w:rPr>
        <w:t>20</w:t>
      </w:r>
      <w:r w:rsidRPr="007837D4">
        <w:rPr>
          <w:rFonts w:ascii="Times New Roman" w:hAnsi="Times New Roman" w:cs="Times New Roman"/>
        </w:rPr>
        <w:t>(1), 39. https://doi.org/10.1186/s41239-023-00407-4</w:t>
      </w:r>
    </w:p>
    <w:p w14:paraId="3540E578"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Sánchez-Gelabert, A., &amp; Troiano, H. (2024). Compensatory advantage after the first year at university in the Catalan system: Between continuing, transferring and dropping out. </w:t>
      </w:r>
      <w:r w:rsidRPr="007837D4">
        <w:rPr>
          <w:rFonts w:ascii="Times New Roman" w:hAnsi="Times New Roman" w:cs="Times New Roman"/>
          <w:i/>
          <w:iCs/>
        </w:rPr>
        <w:t>Studies in Higher Education</w:t>
      </w:r>
      <w:r w:rsidRPr="007837D4">
        <w:rPr>
          <w:rFonts w:ascii="Times New Roman" w:hAnsi="Times New Roman" w:cs="Times New Roman"/>
        </w:rPr>
        <w:t xml:space="preserve">, </w:t>
      </w:r>
      <w:r w:rsidRPr="007837D4">
        <w:rPr>
          <w:rFonts w:ascii="Times New Roman" w:hAnsi="Times New Roman" w:cs="Times New Roman"/>
          <w:i/>
          <w:iCs/>
        </w:rPr>
        <w:t>49</w:t>
      </w:r>
      <w:r w:rsidRPr="007837D4">
        <w:rPr>
          <w:rFonts w:ascii="Times New Roman" w:hAnsi="Times New Roman" w:cs="Times New Roman"/>
        </w:rPr>
        <w:t>(11), 1867-1883. https://doi.org/10.1080/03075079.2023.2281539</w:t>
      </w:r>
    </w:p>
    <w:p w14:paraId="15AFF461"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Sánchez-Gelabert, A., Valente, R., &amp; Duart, J. M. (2020). Profiles of Online Students and the Impact of Their University Experience. </w:t>
      </w:r>
      <w:r w:rsidRPr="007837D4">
        <w:rPr>
          <w:rFonts w:ascii="Times New Roman" w:hAnsi="Times New Roman" w:cs="Times New Roman"/>
          <w:i/>
          <w:iCs/>
        </w:rPr>
        <w:t>The International Review of Research in Open and Distributed Learning</w:t>
      </w:r>
      <w:r w:rsidRPr="007837D4">
        <w:rPr>
          <w:rFonts w:ascii="Times New Roman" w:hAnsi="Times New Roman" w:cs="Times New Roman"/>
        </w:rPr>
        <w:t xml:space="preserve">, </w:t>
      </w:r>
      <w:r w:rsidRPr="007837D4">
        <w:rPr>
          <w:rFonts w:ascii="Times New Roman" w:hAnsi="Times New Roman" w:cs="Times New Roman"/>
          <w:i/>
          <w:iCs/>
        </w:rPr>
        <w:t>21</w:t>
      </w:r>
      <w:r w:rsidRPr="007837D4">
        <w:rPr>
          <w:rFonts w:ascii="Times New Roman" w:hAnsi="Times New Roman" w:cs="Times New Roman"/>
        </w:rPr>
        <w:t>(3). https://doi.org/10.19173/irrodl.v21i3.4784</w:t>
      </w:r>
    </w:p>
    <w:p w14:paraId="1A3EE12B"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Schwanitz, K. (2017). The transition to adulthood and pathways out of the parental home: A cross-national analysis. </w:t>
      </w:r>
      <w:r w:rsidRPr="007837D4">
        <w:rPr>
          <w:rFonts w:ascii="Times New Roman" w:hAnsi="Times New Roman" w:cs="Times New Roman"/>
          <w:i/>
          <w:iCs/>
        </w:rPr>
        <w:t>Advances in Life Course Research</w:t>
      </w:r>
      <w:r w:rsidRPr="007837D4">
        <w:rPr>
          <w:rFonts w:ascii="Times New Roman" w:hAnsi="Times New Roman" w:cs="Times New Roman"/>
        </w:rPr>
        <w:t xml:space="preserve">, </w:t>
      </w:r>
      <w:r w:rsidRPr="007837D4">
        <w:rPr>
          <w:rFonts w:ascii="Times New Roman" w:hAnsi="Times New Roman" w:cs="Times New Roman"/>
          <w:i/>
          <w:iCs/>
        </w:rPr>
        <w:t>32</w:t>
      </w:r>
      <w:r w:rsidRPr="007837D4">
        <w:rPr>
          <w:rFonts w:ascii="Times New Roman" w:hAnsi="Times New Roman" w:cs="Times New Roman"/>
        </w:rPr>
        <w:t>, 21-34. https://doi.org/10.1016/j.alcr.2017.03.001</w:t>
      </w:r>
    </w:p>
    <w:p w14:paraId="7950DD60"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Stocké, V. (2007). Explaining educational decision and effects of families’ social class position: An empirical test of the breen-goldthorpe model of educational attainment. </w:t>
      </w:r>
      <w:r w:rsidRPr="007837D4">
        <w:rPr>
          <w:rFonts w:ascii="Times New Roman" w:hAnsi="Times New Roman" w:cs="Times New Roman"/>
          <w:i/>
          <w:iCs/>
        </w:rPr>
        <w:t>European Sociological Review</w:t>
      </w:r>
      <w:r w:rsidRPr="007837D4">
        <w:rPr>
          <w:rFonts w:ascii="Times New Roman" w:hAnsi="Times New Roman" w:cs="Times New Roman"/>
        </w:rPr>
        <w:t xml:space="preserve">, </w:t>
      </w:r>
      <w:r w:rsidRPr="007837D4">
        <w:rPr>
          <w:rFonts w:ascii="Times New Roman" w:hAnsi="Times New Roman" w:cs="Times New Roman"/>
          <w:i/>
          <w:iCs/>
        </w:rPr>
        <w:t>23</w:t>
      </w:r>
      <w:r w:rsidRPr="007837D4">
        <w:rPr>
          <w:rFonts w:ascii="Times New Roman" w:hAnsi="Times New Roman" w:cs="Times New Roman"/>
        </w:rPr>
        <w:t>(4), 505-519. https://doi.org/10.1093/esr/jcm014</w:t>
      </w:r>
    </w:p>
    <w:p w14:paraId="2E4992E7"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Stone, C. (2022). From the margins to the mainstream: The online learning rethink and its implications for enhancing student equity. </w:t>
      </w:r>
      <w:r w:rsidRPr="007837D4">
        <w:rPr>
          <w:rFonts w:ascii="Times New Roman" w:hAnsi="Times New Roman" w:cs="Times New Roman"/>
          <w:i/>
          <w:iCs/>
        </w:rPr>
        <w:t>Australasian Journal of Educational Technology</w:t>
      </w:r>
      <w:r w:rsidRPr="007837D4">
        <w:rPr>
          <w:rFonts w:ascii="Times New Roman" w:hAnsi="Times New Roman" w:cs="Times New Roman"/>
        </w:rPr>
        <w:t xml:space="preserve">, </w:t>
      </w:r>
      <w:r w:rsidRPr="007837D4">
        <w:rPr>
          <w:rFonts w:ascii="Times New Roman" w:hAnsi="Times New Roman" w:cs="Times New Roman"/>
          <w:i/>
          <w:iCs/>
        </w:rPr>
        <w:t>38</w:t>
      </w:r>
      <w:r w:rsidRPr="007837D4">
        <w:rPr>
          <w:rFonts w:ascii="Times New Roman" w:hAnsi="Times New Roman" w:cs="Times New Roman"/>
        </w:rPr>
        <w:t>(6), 139-149. https://doi.org/10.14742/ajet.8136</w:t>
      </w:r>
    </w:p>
    <w:p w14:paraId="57957877"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Strecker, T. (2018). </w:t>
      </w:r>
      <w:r w:rsidRPr="007837D4">
        <w:rPr>
          <w:rFonts w:ascii="Times New Roman" w:hAnsi="Times New Roman" w:cs="Times New Roman"/>
          <w:i/>
          <w:iCs/>
        </w:rPr>
        <w:t>Social Inequality in Higher Education: A longitudinal study of mechanisms of social reproduction in the University transition of young people in Catalonia</w:t>
      </w:r>
      <w:r w:rsidRPr="007837D4">
        <w:rPr>
          <w:rFonts w:ascii="Times New Roman" w:hAnsi="Times New Roman" w:cs="Times New Roman"/>
        </w:rPr>
        <w:t>. 586-586.</w:t>
      </w:r>
    </w:p>
    <w:p w14:paraId="1C3B5130"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lastRenderedPageBreak/>
        <w:t xml:space="preserve">Tinto, V. (2017). Through the Eyes of Students. </w:t>
      </w:r>
      <w:r w:rsidRPr="007837D4">
        <w:rPr>
          <w:rFonts w:ascii="Times New Roman" w:hAnsi="Times New Roman" w:cs="Times New Roman"/>
          <w:i/>
          <w:iCs/>
        </w:rPr>
        <w:t>Journal of College Student Retention: Research, Theory and Practice</w:t>
      </w:r>
      <w:r w:rsidRPr="007837D4">
        <w:rPr>
          <w:rFonts w:ascii="Times New Roman" w:hAnsi="Times New Roman" w:cs="Times New Roman"/>
        </w:rPr>
        <w:t xml:space="preserve">, </w:t>
      </w:r>
      <w:r w:rsidRPr="007837D4">
        <w:rPr>
          <w:rFonts w:ascii="Times New Roman" w:hAnsi="Times New Roman" w:cs="Times New Roman"/>
          <w:i/>
          <w:iCs/>
        </w:rPr>
        <w:t>19</w:t>
      </w:r>
      <w:r w:rsidRPr="007837D4">
        <w:rPr>
          <w:rFonts w:ascii="Times New Roman" w:hAnsi="Times New Roman" w:cs="Times New Roman"/>
        </w:rPr>
        <w:t>(3), 254-269. https://doi.org/10.1177/1521025115621917</w:t>
      </w:r>
    </w:p>
    <w:p w14:paraId="2AA65DC1"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Tinto, V. (2025). Student Persistence Through a Different Lens. </w:t>
      </w:r>
      <w:r w:rsidRPr="007837D4">
        <w:rPr>
          <w:rFonts w:ascii="Times New Roman" w:hAnsi="Times New Roman" w:cs="Times New Roman"/>
          <w:i/>
          <w:iCs/>
        </w:rPr>
        <w:t>Journal of College Student Retention</w:t>
      </w:r>
      <w:r w:rsidRPr="007837D4">
        <w:rPr>
          <w:rFonts w:ascii="Times New Roman" w:hAnsi="Times New Roman" w:cs="Times New Roman"/>
        </w:rPr>
        <w:t xml:space="preserve">, </w:t>
      </w:r>
      <w:r w:rsidRPr="007837D4">
        <w:rPr>
          <w:rFonts w:ascii="Times New Roman" w:hAnsi="Times New Roman" w:cs="Times New Roman"/>
          <w:i/>
          <w:iCs/>
        </w:rPr>
        <w:t>26</w:t>
      </w:r>
      <w:r w:rsidRPr="007837D4">
        <w:rPr>
          <w:rFonts w:ascii="Times New Roman" w:hAnsi="Times New Roman" w:cs="Times New Roman"/>
        </w:rPr>
        <w:t>(4), 959-969.</w:t>
      </w:r>
    </w:p>
    <w:p w14:paraId="4B677B3F"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Torrents, D., &amp; Troiano, H. (2019). </w:t>
      </w:r>
      <w:r w:rsidRPr="007837D4">
        <w:rPr>
          <w:rFonts w:ascii="Times New Roman" w:hAnsi="Times New Roman" w:cs="Times New Roman"/>
          <w:i/>
          <w:iCs/>
        </w:rPr>
        <w:t>El riesgo estimado en las elecciones educativas y las diferencias según origen social en la educación superior</w:t>
      </w:r>
      <w:r w:rsidRPr="007837D4">
        <w:rPr>
          <w:rFonts w:ascii="Times New Roman" w:hAnsi="Times New Roman" w:cs="Times New Roman"/>
        </w:rPr>
        <w:t>.</w:t>
      </w:r>
    </w:p>
    <w:p w14:paraId="5BEFFA53"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Troiano, H., Brennan, J., &amp; Giret, J.-F. (2024). From the main track to the winding path: Considering the diversity of trajectories at university. </w:t>
      </w:r>
      <w:r w:rsidRPr="007837D4">
        <w:rPr>
          <w:rFonts w:ascii="Times New Roman" w:hAnsi="Times New Roman" w:cs="Times New Roman"/>
          <w:i/>
          <w:iCs/>
        </w:rPr>
        <w:t>International Journal of Educational Technology in Higher Education</w:t>
      </w:r>
      <w:r w:rsidRPr="007837D4">
        <w:rPr>
          <w:rFonts w:ascii="Times New Roman" w:hAnsi="Times New Roman" w:cs="Times New Roman"/>
        </w:rPr>
        <w:t xml:space="preserve">, </w:t>
      </w:r>
      <w:r w:rsidRPr="007837D4">
        <w:rPr>
          <w:rFonts w:ascii="Times New Roman" w:hAnsi="Times New Roman" w:cs="Times New Roman"/>
          <w:i/>
          <w:iCs/>
        </w:rPr>
        <w:t>21</w:t>
      </w:r>
      <w:r w:rsidRPr="007837D4">
        <w:rPr>
          <w:rFonts w:ascii="Times New Roman" w:hAnsi="Times New Roman" w:cs="Times New Roman"/>
        </w:rPr>
        <w:t>(1), 2-9. https://doi.org/10.1186/s41239-024-00441-w</w:t>
      </w:r>
    </w:p>
    <w:p w14:paraId="20632536"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Troiano, H., &amp; Sánchez-Gelabert, A. (2025a). Patterns of university progression and social inequalities: Delving into complex trajectories in higher education. </w:t>
      </w:r>
      <w:r w:rsidRPr="007837D4">
        <w:rPr>
          <w:rFonts w:ascii="Times New Roman" w:hAnsi="Times New Roman" w:cs="Times New Roman"/>
          <w:i/>
          <w:iCs/>
        </w:rPr>
        <w:t>European Journal of Higher Education</w:t>
      </w:r>
      <w:r w:rsidRPr="007837D4">
        <w:rPr>
          <w:rFonts w:ascii="Times New Roman" w:hAnsi="Times New Roman" w:cs="Times New Roman"/>
        </w:rPr>
        <w:t>, 1-23. https://doi.org/10.1080/21568235.2025.2556438</w:t>
      </w:r>
    </w:p>
    <w:p w14:paraId="1697410B"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Troiano, H., &amp; Sánchez-Gelabert, A. (2025b). Transiciones y trayectorias en la educación superior. La progresiva integración de las teorías de la elección racional y las teorías estructural-culturalistas. </w:t>
      </w:r>
      <w:r w:rsidRPr="007837D4">
        <w:rPr>
          <w:rFonts w:ascii="Times New Roman" w:hAnsi="Times New Roman" w:cs="Times New Roman"/>
          <w:i/>
          <w:iCs/>
        </w:rPr>
        <w:t>Pensamiento Universitario</w:t>
      </w:r>
      <w:r w:rsidRPr="007837D4">
        <w:rPr>
          <w:rFonts w:ascii="Times New Roman" w:hAnsi="Times New Roman" w:cs="Times New Roman"/>
        </w:rPr>
        <w:t xml:space="preserve">, </w:t>
      </w:r>
      <w:r w:rsidRPr="007837D4">
        <w:rPr>
          <w:rFonts w:ascii="Times New Roman" w:hAnsi="Times New Roman" w:cs="Times New Roman"/>
          <w:i/>
          <w:iCs/>
        </w:rPr>
        <w:t>23</w:t>
      </w:r>
      <w:r w:rsidRPr="007837D4">
        <w:rPr>
          <w:rFonts w:ascii="Times New Roman" w:hAnsi="Times New Roman" w:cs="Times New Roman"/>
        </w:rPr>
        <w:t>.</w:t>
      </w:r>
    </w:p>
    <w:p w14:paraId="43A6EDDB"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Villar Aguilés, A., Vieira, M. M., Hernàndez i Dobon, F. J., &amp; de Almeida, A. N. (2012). Más que abandono de estudios, trayectorias de reubicación universitaria: Aproximación comparada al caso español y portugués. </w:t>
      </w:r>
      <w:r w:rsidRPr="007837D4">
        <w:rPr>
          <w:rFonts w:ascii="Times New Roman" w:hAnsi="Times New Roman" w:cs="Times New Roman"/>
          <w:i/>
          <w:iCs/>
        </w:rPr>
        <w:t>Revista Lusófona de Educaçao</w:t>
      </w:r>
      <w:r w:rsidRPr="007837D4">
        <w:rPr>
          <w:rFonts w:ascii="Times New Roman" w:hAnsi="Times New Roman" w:cs="Times New Roman"/>
        </w:rPr>
        <w:t xml:space="preserve">, </w:t>
      </w:r>
      <w:r w:rsidRPr="007837D4">
        <w:rPr>
          <w:rFonts w:ascii="Times New Roman" w:hAnsi="Times New Roman" w:cs="Times New Roman"/>
          <w:i/>
          <w:iCs/>
        </w:rPr>
        <w:t>21</w:t>
      </w:r>
      <w:r w:rsidRPr="007837D4">
        <w:rPr>
          <w:rFonts w:ascii="Times New Roman" w:hAnsi="Times New Roman" w:cs="Times New Roman"/>
        </w:rPr>
        <w:t>, 139-162. https://doi.org/10.1787/eag-2011-en</w:t>
      </w:r>
    </w:p>
    <w:p w14:paraId="75FFC080"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Villar-Aguilés, A., &amp; Muñoz-Rodríguez, D. (2024). Complex trajectories in higher education students: Online and face-to-face universities. </w:t>
      </w:r>
      <w:r w:rsidRPr="007837D4">
        <w:rPr>
          <w:rFonts w:ascii="Times New Roman" w:hAnsi="Times New Roman" w:cs="Times New Roman"/>
          <w:i/>
          <w:iCs/>
        </w:rPr>
        <w:t>Journal of New Approaches in Educational Research</w:t>
      </w:r>
      <w:r w:rsidRPr="007837D4">
        <w:rPr>
          <w:rFonts w:ascii="Times New Roman" w:hAnsi="Times New Roman" w:cs="Times New Roman"/>
        </w:rPr>
        <w:t xml:space="preserve">, </w:t>
      </w:r>
      <w:r w:rsidRPr="007837D4">
        <w:rPr>
          <w:rFonts w:ascii="Times New Roman" w:hAnsi="Times New Roman" w:cs="Times New Roman"/>
          <w:i/>
          <w:iCs/>
        </w:rPr>
        <w:t>13</w:t>
      </w:r>
      <w:r w:rsidRPr="007837D4">
        <w:rPr>
          <w:rFonts w:ascii="Times New Roman" w:hAnsi="Times New Roman" w:cs="Times New Roman"/>
        </w:rPr>
        <w:t>(1), 4. https://doi.org/10.1007/s44322-023-00006-1</w:t>
      </w:r>
    </w:p>
    <w:p w14:paraId="6F88D573" w14:textId="77777777" w:rsidR="007837D4" w:rsidRPr="007837D4" w:rsidRDefault="007837D4" w:rsidP="00930834">
      <w:pPr>
        <w:pStyle w:val="Bibliografia"/>
        <w:spacing w:line="240" w:lineRule="auto"/>
        <w:jc w:val="both"/>
        <w:rPr>
          <w:rFonts w:ascii="Times New Roman" w:hAnsi="Times New Roman" w:cs="Times New Roman"/>
        </w:rPr>
      </w:pPr>
      <w:r w:rsidRPr="007837D4">
        <w:rPr>
          <w:rFonts w:ascii="Times New Roman" w:hAnsi="Times New Roman" w:cs="Times New Roman"/>
        </w:rPr>
        <w:t xml:space="preserve">Xavier, M., &amp; Meneses, J. (2022). Persistence and time challenges in an open online university: A case study of the experiences of first-year learners. </w:t>
      </w:r>
      <w:r w:rsidRPr="007837D4">
        <w:rPr>
          <w:rFonts w:ascii="Times New Roman" w:hAnsi="Times New Roman" w:cs="Times New Roman"/>
          <w:i/>
          <w:iCs/>
        </w:rPr>
        <w:t>International Journal of Educational Technology in Higher Education</w:t>
      </w:r>
      <w:r w:rsidRPr="007837D4">
        <w:rPr>
          <w:rFonts w:ascii="Times New Roman" w:hAnsi="Times New Roman" w:cs="Times New Roman"/>
        </w:rPr>
        <w:t xml:space="preserve">, </w:t>
      </w:r>
      <w:r w:rsidRPr="007837D4">
        <w:rPr>
          <w:rFonts w:ascii="Times New Roman" w:hAnsi="Times New Roman" w:cs="Times New Roman"/>
          <w:i/>
          <w:iCs/>
        </w:rPr>
        <w:t>19</w:t>
      </w:r>
      <w:r w:rsidRPr="007837D4">
        <w:rPr>
          <w:rFonts w:ascii="Times New Roman" w:hAnsi="Times New Roman" w:cs="Times New Roman"/>
        </w:rPr>
        <w:t>(1), 31. https://doi.org/10.1186/s41239-022-00338-6</w:t>
      </w:r>
    </w:p>
    <w:p w14:paraId="6F718CCB" w14:textId="77777777" w:rsidR="007837D4" w:rsidRPr="007837D4" w:rsidRDefault="007837D4" w:rsidP="00930834">
      <w:pPr>
        <w:pStyle w:val="Textcastell"/>
        <w:spacing w:line="240" w:lineRule="auto"/>
        <w:jc w:val="both"/>
        <w:rPr>
          <w:rFonts w:ascii="Times New Roman" w:hAnsi="Times New Roman" w:cs="Times New Roman"/>
          <w:sz w:val="24"/>
          <w:szCs w:val="24"/>
        </w:rPr>
      </w:pPr>
      <w:r w:rsidRPr="007837D4">
        <w:rPr>
          <w:rFonts w:ascii="Times New Roman" w:hAnsi="Times New Roman" w:cs="Times New Roman"/>
          <w:sz w:val="24"/>
          <w:szCs w:val="24"/>
        </w:rPr>
        <w:fldChar w:fldCharType="end"/>
      </w:r>
    </w:p>
    <w:p w14:paraId="723336DD" w14:textId="77777777" w:rsidR="007837D4" w:rsidRPr="007837D4" w:rsidRDefault="007837D4" w:rsidP="00930834">
      <w:pPr>
        <w:pStyle w:val="Textdenotaapeudepgina"/>
        <w:jc w:val="both"/>
        <w:rPr>
          <w:rFonts w:ascii="Times New Roman" w:hAnsi="Times New Roman" w:cs="Times New Roman"/>
          <w:sz w:val="24"/>
          <w:szCs w:val="24"/>
        </w:rPr>
      </w:pPr>
      <w:r w:rsidRPr="007837D4">
        <w:rPr>
          <w:rFonts w:ascii="Times New Roman" w:hAnsi="Times New Roman" w:cs="Times New Roman"/>
          <w:sz w:val="24"/>
          <w:szCs w:val="24"/>
        </w:rPr>
        <w:t>Artículos propios vinculados al proyecto TRACA (I+D+i PID2023-147162NB-C31, financiado por MICIU/AEI/10.13039/501100011033/) en los que se basa esta comunicación:</w:t>
      </w:r>
    </w:p>
    <w:p w14:paraId="31CCA483" w14:textId="77777777" w:rsidR="007837D4" w:rsidRPr="007837D4" w:rsidRDefault="007837D4" w:rsidP="00930834">
      <w:pPr>
        <w:pStyle w:val="Textdenotaapeudepgina"/>
        <w:jc w:val="both"/>
        <w:rPr>
          <w:rFonts w:ascii="Times New Roman" w:hAnsi="Times New Roman" w:cs="Times New Roman"/>
          <w:sz w:val="24"/>
          <w:szCs w:val="24"/>
        </w:rPr>
      </w:pPr>
    </w:p>
    <w:p w14:paraId="12D0028B" w14:textId="77777777" w:rsidR="007837D4" w:rsidRPr="007837D4" w:rsidRDefault="007837D4" w:rsidP="00930834">
      <w:pPr>
        <w:jc w:val="both"/>
        <w:rPr>
          <w:rFonts w:ascii="Times New Roman" w:hAnsi="Times New Roman" w:cs="Times New Roman"/>
        </w:rPr>
      </w:pPr>
      <w:r w:rsidRPr="007837D4">
        <w:rPr>
          <w:rFonts w:ascii="Times New Roman" w:hAnsi="Times New Roman" w:cs="Times New Roman"/>
        </w:rPr>
        <w:t>Troiano, H. y Cardona-Rubio, S. (en prensa) Trayectorias educativas complejas tras el bachillerato: cambios de estudios y reorientaciones. Revista Española de Investigaciones Sociológicas (REIS).</w:t>
      </w:r>
    </w:p>
    <w:p w14:paraId="50FE56E0" w14:textId="77777777" w:rsidR="007837D4" w:rsidRPr="007837D4" w:rsidRDefault="007837D4" w:rsidP="00930834">
      <w:pPr>
        <w:jc w:val="both"/>
        <w:rPr>
          <w:rFonts w:ascii="Times New Roman" w:hAnsi="Times New Roman" w:cs="Times New Roman"/>
        </w:rPr>
      </w:pPr>
      <w:r w:rsidRPr="007837D4">
        <w:rPr>
          <w:rFonts w:ascii="Times New Roman" w:hAnsi="Times New Roman" w:cs="Times New Roman"/>
        </w:rPr>
        <w:t>Troiano, H. y Chales, A. (en revisión) Más allá del abandono: el concepto de trayectorias complejas en la educación superior.</w:t>
      </w:r>
    </w:p>
    <w:p w14:paraId="4857BB0C" w14:textId="77777777" w:rsidR="007837D4" w:rsidRPr="007837D4" w:rsidRDefault="007837D4" w:rsidP="00930834">
      <w:pPr>
        <w:jc w:val="both"/>
        <w:rPr>
          <w:rFonts w:ascii="Times New Roman" w:hAnsi="Times New Roman" w:cs="Times New Roman"/>
        </w:rPr>
      </w:pPr>
      <w:r w:rsidRPr="007837D4">
        <w:rPr>
          <w:rFonts w:ascii="Times New Roman" w:hAnsi="Times New Roman" w:cs="Times New Roman"/>
        </w:rPr>
        <w:lastRenderedPageBreak/>
        <w:t>Troiano, H. y Duart, J.M. (en evaluación) Switching from face-to-face to online university: a second chance for young adults?</w:t>
      </w:r>
    </w:p>
    <w:p w14:paraId="68AF95DF" w14:textId="77777777" w:rsidR="007837D4" w:rsidRPr="007837D4" w:rsidRDefault="007837D4" w:rsidP="00930834">
      <w:pPr>
        <w:jc w:val="both"/>
        <w:rPr>
          <w:rFonts w:ascii="Times New Roman" w:hAnsi="Times New Roman" w:cs="Times New Roman"/>
        </w:rPr>
      </w:pPr>
      <w:r w:rsidRPr="007837D4">
        <w:rPr>
          <w:rFonts w:ascii="Times New Roman" w:hAnsi="Times New Roman" w:cs="Times New Roman"/>
        </w:rPr>
        <w:t>Troiano, H. y Elias, M. (en evaluación) Cambiar para persistir: trayectorias universitarias complejas y desigualdad social en Cataluña.</w:t>
      </w:r>
    </w:p>
    <w:p w14:paraId="33157609" w14:textId="77777777" w:rsidR="007837D4" w:rsidRPr="007837D4" w:rsidRDefault="007837D4" w:rsidP="00930834">
      <w:pPr>
        <w:jc w:val="both"/>
        <w:rPr>
          <w:rFonts w:ascii="Times New Roman" w:hAnsi="Times New Roman" w:cs="Times New Roman"/>
        </w:rPr>
      </w:pPr>
    </w:p>
    <w:p w14:paraId="659ED533" w14:textId="77777777" w:rsidR="007837D4" w:rsidRPr="007837D4" w:rsidRDefault="007837D4" w:rsidP="007B5B5F">
      <w:pPr>
        <w:spacing w:line="240" w:lineRule="auto"/>
        <w:rPr>
          <w:rFonts w:ascii="Times New Roman" w:hAnsi="Times New Roman" w:cs="Times New Roman"/>
        </w:rPr>
      </w:pPr>
    </w:p>
    <w:sectPr w:rsidR="007837D4" w:rsidRPr="007837D4"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A464" w14:textId="77777777" w:rsidR="00BE7539" w:rsidRPr="00BA642E" w:rsidRDefault="00BE7539" w:rsidP="00C802F5">
      <w:pPr>
        <w:spacing w:after="0" w:line="240" w:lineRule="auto"/>
      </w:pPr>
      <w:r w:rsidRPr="00BA642E">
        <w:separator/>
      </w:r>
    </w:p>
  </w:endnote>
  <w:endnote w:type="continuationSeparator" w:id="0">
    <w:p w14:paraId="47554F1F" w14:textId="77777777" w:rsidR="00BE7539" w:rsidRPr="00BA642E" w:rsidRDefault="00BE753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eu"/>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29CA9" w14:textId="77777777" w:rsidR="00BE7539" w:rsidRPr="00BA642E" w:rsidRDefault="00BE7539" w:rsidP="00C802F5">
      <w:pPr>
        <w:spacing w:after="0" w:line="240" w:lineRule="auto"/>
      </w:pPr>
      <w:r w:rsidRPr="00BA642E">
        <w:separator/>
      </w:r>
    </w:p>
  </w:footnote>
  <w:footnote w:type="continuationSeparator" w:id="0">
    <w:p w14:paraId="2D9C74E1" w14:textId="77777777" w:rsidR="00BE7539" w:rsidRPr="00BA642E" w:rsidRDefault="00BE753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Capalera"/>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B714B"/>
    <w:rsid w:val="001816D6"/>
    <w:rsid w:val="00184B1B"/>
    <w:rsid w:val="00185F5E"/>
    <w:rsid w:val="001923DC"/>
    <w:rsid w:val="001A0D82"/>
    <w:rsid w:val="002164CA"/>
    <w:rsid w:val="002327C3"/>
    <w:rsid w:val="00312392"/>
    <w:rsid w:val="003A77DE"/>
    <w:rsid w:val="004040C0"/>
    <w:rsid w:val="00437E9C"/>
    <w:rsid w:val="00550766"/>
    <w:rsid w:val="00560F67"/>
    <w:rsid w:val="00573E17"/>
    <w:rsid w:val="005F3B2E"/>
    <w:rsid w:val="006C0DE8"/>
    <w:rsid w:val="00701F64"/>
    <w:rsid w:val="007837D4"/>
    <w:rsid w:val="007B5B5F"/>
    <w:rsid w:val="007D233B"/>
    <w:rsid w:val="0085070B"/>
    <w:rsid w:val="00930834"/>
    <w:rsid w:val="00A17247"/>
    <w:rsid w:val="00AE1571"/>
    <w:rsid w:val="00B558E9"/>
    <w:rsid w:val="00B7214F"/>
    <w:rsid w:val="00BA642E"/>
    <w:rsid w:val="00BC236F"/>
    <w:rsid w:val="00BE7539"/>
    <w:rsid w:val="00C14778"/>
    <w:rsid w:val="00C802F5"/>
    <w:rsid w:val="00C96B2C"/>
    <w:rsid w:val="00CC04C1"/>
    <w:rsid w:val="00D843EC"/>
    <w:rsid w:val="00D96EF3"/>
    <w:rsid w:val="00DB4827"/>
    <w:rsid w:val="00DD7D90"/>
    <w:rsid w:val="00E73FA6"/>
    <w:rsid w:val="00F278EB"/>
    <w:rsid w:val="00FD47F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ol1">
    <w:name w:val="heading 1"/>
    <w:basedOn w:val="Normal"/>
    <w:next w:val="Normal"/>
    <w:link w:val="Ttol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ol2">
    <w:name w:val="heading 2"/>
    <w:basedOn w:val="Normal"/>
    <w:next w:val="Normal"/>
    <w:link w:val="Ttol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ol3">
    <w:name w:val="heading 3"/>
    <w:basedOn w:val="Normal"/>
    <w:next w:val="Normal"/>
    <w:link w:val="Ttol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ol4">
    <w:name w:val="heading 4"/>
    <w:basedOn w:val="Normal"/>
    <w:next w:val="Normal"/>
    <w:link w:val="Ttol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ol5">
    <w:name w:val="heading 5"/>
    <w:basedOn w:val="Normal"/>
    <w:next w:val="Normal"/>
    <w:link w:val="Ttol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1923DC"/>
    <w:rPr>
      <w:rFonts w:asciiTheme="majorHAnsi" w:eastAsiaTheme="majorEastAsia" w:hAnsiTheme="majorHAnsi" w:cstheme="majorBidi"/>
      <w:color w:val="2F5496" w:themeColor="accent1" w:themeShade="BF"/>
      <w:sz w:val="40"/>
      <w:szCs w:val="40"/>
    </w:rPr>
  </w:style>
  <w:style w:type="character" w:customStyle="1" w:styleId="Ttol2Car">
    <w:name w:val="Títol 2 Car"/>
    <w:basedOn w:val="Lletraperdefectedelpargraf"/>
    <w:link w:val="Ttol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ol3Car">
    <w:name w:val="Títol 3 Car"/>
    <w:basedOn w:val="Lletraperdefectedelpargraf"/>
    <w:link w:val="Ttol3"/>
    <w:uiPriority w:val="9"/>
    <w:semiHidden/>
    <w:rsid w:val="001923DC"/>
    <w:rPr>
      <w:rFonts w:eastAsiaTheme="majorEastAsia" w:cstheme="majorBidi"/>
      <w:color w:val="2F5496" w:themeColor="accent1" w:themeShade="BF"/>
      <w:sz w:val="28"/>
      <w:szCs w:val="28"/>
    </w:rPr>
  </w:style>
  <w:style w:type="character" w:customStyle="1" w:styleId="Ttol4Car">
    <w:name w:val="Títol 4 Car"/>
    <w:basedOn w:val="Lletraperdefectedelpargraf"/>
    <w:link w:val="Ttol4"/>
    <w:uiPriority w:val="9"/>
    <w:semiHidden/>
    <w:rsid w:val="001923DC"/>
    <w:rPr>
      <w:rFonts w:eastAsiaTheme="majorEastAsia" w:cstheme="majorBidi"/>
      <w:i/>
      <w:iCs/>
      <w:color w:val="2F5496" w:themeColor="accent1" w:themeShade="BF"/>
    </w:rPr>
  </w:style>
  <w:style w:type="character" w:customStyle="1" w:styleId="Ttol5Car">
    <w:name w:val="Títol 5 Car"/>
    <w:basedOn w:val="Lletraperdefectedelpargraf"/>
    <w:link w:val="Ttol5"/>
    <w:uiPriority w:val="9"/>
    <w:semiHidden/>
    <w:rsid w:val="001923DC"/>
    <w:rPr>
      <w:rFonts w:eastAsiaTheme="majorEastAsia" w:cstheme="majorBidi"/>
      <w:color w:val="2F5496" w:themeColor="accent1" w:themeShade="BF"/>
    </w:rPr>
  </w:style>
  <w:style w:type="character" w:customStyle="1" w:styleId="Ttol6Car">
    <w:name w:val="Títol 6 Car"/>
    <w:basedOn w:val="Lletraperdefectedelpargraf"/>
    <w:link w:val="Ttol6"/>
    <w:uiPriority w:val="9"/>
    <w:semiHidden/>
    <w:rsid w:val="001923DC"/>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1923DC"/>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1923DC"/>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1923DC"/>
    <w:rPr>
      <w:rFonts w:eastAsiaTheme="majorEastAsia" w:cstheme="majorBidi"/>
      <w:color w:val="272727" w:themeColor="text1" w:themeTint="D8"/>
    </w:rPr>
  </w:style>
  <w:style w:type="paragraph" w:styleId="Ttol">
    <w:name w:val="Title"/>
    <w:basedOn w:val="Normal"/>
    <w:next w:val="Normal"/>
    <w:link w:val="Ttol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1923DC"/>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Lletraperdefectedelpargraf"/>
    <w:link w:val="Cita"/>
    <w:uiPriority w:val="29"/>
    <w:rsid w:val="001923DC"/>
    <w:rPr>
      <w:i/>
      <w:iCs/>
      <w:color w:val="404040" w:themeColor="text1" w:themeTint="BF"/>
    </w:rPr>
  </w:style>
  <w:style w:type="paragraph" w:styleId="Pargrafdellista">
    <w:name w:val="List Paragraph"/>
    <w:basedOn w:val="Normal"/>
    <w:uiPriority w:val="34"/>
    <w:qFormat/>
    <w:rsid w:val="001923DC"/>
    <w:pPr>
      <w:ind w:left="720"/>
      <w:contextualSpacing/>
    </w:pPr>
  </w:style>
  <w:style w:type="character" w:styleId="mfasiintens">
    <w:name w:val="Intense Emphasis"/>
    <w:basedOn w:val="Lletraperdefectedelpargraf"/>
    <w:uiPriority w:val="21"/>
    <w:qFormat/>
    <w:rsid w:val="001923DC"/>
    <w:rPr>
      <w:i/>
      <w:iCs/>
      <w:color w:val="2F5496" w:themeColor="accent1" w:themeShade="BF"/>
    </w:rPr>
  </w:style>
  <w:style w:type="paragraph" w:styleId="Citaintensa">
    <w:name w:val="Intense Quote"/>
    <w:basedOn w:val="Normal"/>
    <w:next w:val="Normal"/>
    <w:link w:val="Citaintens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1923DC"/>
    <w:rPr>
      <w:i/>
      <w:iCs/>
      <w:color w:val="2F5496" w:themeColor="accent1" w:themeShade="BF"/>
    </w:rPr>
  </w:style>
  <w:style w:type="character" w:styleId="Refernciaintensa">
    <w:name w:val="Intense Reference"/>
    <w:basedOn w:val="Lletraperdefectedelpargraf"/>
    <w:uiPriority w:val="32"/>
    <w:qFormat/>
    <w:rsid w:val="001923DC"/>
    <w:rPr>
      <w:b/>
      <w:bCs/>
      <w:smallCaps/>
      <w:color w:val="2F5496" w:themeColor="accent1" w:themeShade="BF"/>
      <w:spacing w:val="5"/>
    </w:rPr>
  </w:style>
  <w:style w:type="paragraph" w:styleId="Capalera">
    <w:name w:val="header"/>
    <w:basedOn w:val="Normal"/>
    <w:link w:val="CapaleraCar"/>
    <w:uiPriority w:val="99"/>
    <w:unhideWhenUsed/>
    <w:rsid w:val="00C802F5"/>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C802F5"/>
  </w:style>
  <w:style w:type="paragraph" w:styleId="Peu">
    <w:name w:val="footer"/>
    <w:basedOn w:val="Normal"/>
    <w:link w:val="PeuCar"/>
    <w:uiPriority w:val="99"/>
    <w:unhideWhenUsed/>
    <w:rsid w:val="00C802F5"/>
    <w:pPr>
      <w:tabs>
        <w:tab w:val="center" w:pos="4252"/>
        <w:tab w:val="right" w:pos="8504"/>
      </w:tabs>
      <w:spacing w:after="0" w:line="240" w:lineRule="auto"/>
    </w:pPr>
  </w:style>
  <w:style w:type="character" w:customStyle="1" w:styleId="PeuCar">
    <w:name w:val="Peu Car"/>
    <w:basedOn w:val="Lletraperdefectedelpargraf"/>
    <w:link w:val="Peu"/>
    <w:uiPriority w:val="99"/>
    <w:rsid w:val="00C802F5"/>
  </w:style>
  <w:style w:type="character" w:styleId="Enlla">
    <w:name w:val="Hyperlink"/>
    <w:basedOn w:val="Lletraperdefectedelpargraf"/>
    <w:uiPriority w:val="99"/>
    <w:unhideWhenUsed/>
    <w:rsid w:val="00C802F5"/>
    <w:rPr>
      <w:color w:val="0563C1" w:themeColor="hyperlink"/>
      <w:u w:val="single"/>
    </w:rPr>
  </w:style>
  <w:style w:type="character" w:styleId="Mencisenseresoldre">
    <w:name w:val="Unresolved Mention"/>
    <w:basedOn w:val="Lletraperdefectedelpargraf"/>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DD7D90"/>
    <w:rPr>
      <w:rFonts w:ascii="Times New Roman" w:hAnsi="Times New Roman" w:cs="Times New Roman"/>
    </w:rPr>
  </w:style>
  <w:style w:type="paragraph" w:customStyle="1" w:styleId="Textcastell">
    <w:name w:val="Text castellà"/>
    <w:basedOn w:val="Normal"/>
    <w:link w:val="TextcastellCar"/>
    <w:qFormat/>
    <w:rsid w:val="00C14778"/>
    <w:pPr>
      <w:spacing w:line="259" w:lineRule="auto"/>
    </w:pPr>
    <w:rPr>
      <w:sz w:val="22"/>
      <w:szCs w:val="22"/>
      <w:lang w:val="es-ES"/>
    </w:rPr>
  </w:style>
  <w:style w:type="character" w:customStyle="1" w:styleId="TextcastellCar">
    <w:name w:val="Text castellà Car"/>
    <w:basedOn w:val="Lletraperdefectedelpargraf"/>
    <w:link w:val="Textcastell"/>
    <w:rsid w:val="00C14778"/>
    <w:rPr>
      <w:sz w:val="22"/>
      <w:szCs w:val="22"/>
      <w:lang w:val="es-ES"/>
    </w:rPr>
  </w:style>
  <w:style w:type="character" w:customStyle="1" w:styleId="ng-star-inserted">
    <w:name w:val="ng-star-inserted"/>
    <w:basedOn w:val="Lletraperdefectedelpargraf"/>
    <w:rsid w:val="00C14778"/>
  </w:style>
  <w:style w:type="paragraph" w:styleId="Bibliografia">
    <w:name w:val="Bibliography"/>
    <w:basedOn w:val="Normal"/>
    <w:next w:val="Normal"/>
    <w:uiPriority w:val="37"/>
    <w:semiHidden/>
    <w:unhideWhenUsed/>
    <w:rsid w:val="007837D4"/>
  </w:style>
  <w:style w:type="paragraph" w:styleId="Textdenotaapeudepgina">
    <w:name w:val="footnote text"/>
    <w:basedOn w:val="Normal"/>
    <w:link w:val="TextdenotaapeudepginaCar"/>
    <w:uiPriority w:val="99"/>
    <w:unhideWhenUsed/>
    <w:rsid w:val="007837D4"/>
    <w:pPr>
      <w:spacing w:after="0" w:line="240" w:lineRule="auto"/>
    </w:pPr>
    <w:rPr>
      <w:sz w:val="20"/>
      <w:szCs w:val="20"/>
      <w:lang w:val="es-ES"/>
    </w:rPr>
  </w:style>
  <w:style w:type="character" w:customStyle="1" w:styleId="TextdenotaapeudepginaCar">
    <w:name w:val="Text de nota a peu de pàgina Car"/>
    <w:basedOn w:val="Lletraperdefectedelpargraf"/>
    <w:link w:val="Textdenotaapeudepgina"/>
    <w:uiPriority w:val="99"/>
    <w:rsid w:val="007837D4"/>
    <w:rPr>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17992</Words>
  <Characters>102556</Characters>
  <Application>Microsoft Office Word</Application>
  <DocSecurity>0</DocSecurity>
  <Lines>854</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Helena Troiano Goma</cp:lastModifiedBy>
  <cp:revision>3</cp:revision>
  <dcterms:created xsi:type="dcterms:W3CDTF">2026-07-09T07:40:00Z</dcterms:created>
  <dcterms:modified xsi:type="dcterms:W3CDTF">2026-07-09T07:41:00Z</dcterms:modified>
</cp:coreProperties>
</file>