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La perspectiva de género como innovación curricular en la universidad: percepciones estudiantiles sobre su implementación en carreras de enfermería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Autoría: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Grupo de </w:t>
      </w:r>
      <w:r w:rsidDel="00000000" w:rsidR="00000000" w:rsidRPr="00000000">
        <w:rPr>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studios </w:t>
      </w:r>
      <w:r w:rsidDel="00000000" w:rsidR="00000000" w:rsidRPr="00000000">
        <w:rPr>
          <w:rtl w:val="0"/>
        </w:rPr>
        <w:t xml:space="preserve">Género, Enfermería y Educación Superior</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08">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En Argentina, tanto el Consejo Interuniversitario Nacional (CIN) como la Comisión Nacional de Evaluación y Acreditación Universitaria (CONEAU) impulsan la incorporación de la perspectiva de género en la educación superior. En este marco, y en diálogo con los debates contemporáneos sobre la transformación de los currículos universitarios, esta ponencia presenta avances de una investigación en curso que analiza la transversalización de la perspectiva de género interseccional en la formación de enfermería en instituciones de educación superior del Área Metropolitana de Buenos Aires (AMBA). La investigación surge de un trabajo colaborativo entre docentes e investigadores de distintas universidades AMBA: UNAHUR, UNNOBA, UNSAM y UNTREF. En este trabajo se presentan resultados preliminares correspondientes al relevamiento realizado con estudiantes de enfermería mediante una encuesta online aplicada a 357 participantes, previamente validada en una fase piloto desarrollada en la UNTREF. Los resultados evidencian una valoración ampliamente favorable de la incorporación de la perspectiva de género en la formación universitaria: el 76,1 % de los y las estudiantes la considera relevante o muy relevante; el 58,6 % sostiene que su inclusión resulta fundamental para una formación más inclusiva y efectiva; y el 69,8 % la identifica como una prioridad alta o moderada dentro del plan de estudios. Asimismo, se observan diferencias según trayectorias formativas e instituciones. La valoración positiva tiende a incrementarse a medida que avanza el recorrido académico, mientras que disminuyen las respuestas de neutralidad e incertidumbre en los tramos más avanzados de la carrera. También se registran variaciones entre universidades, lo que sugiere que las experiencias curriculares y las modalidades institucionales de abordaje influyen en la construcción de estas percepciones. Particularmente, el hecho de que los y las estudiantes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GÉNERO, CURRÍCULUM, FORMACIÓN EN ENFERMERÍA, EDUCACIÓN SUPERIOR, INTERSECCIONALIDAD</w:t>
      </w:r>
    </w:p>
    <w:p w:rsidR="00000000" w:rsidDel="00000000" w:rsidP="00000000" w:rsidRDefault="00000000" w:rsidRPr="00000000" w14:paraId="0000000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INTRODUCCIÓN</w:t>
      </w:r>
    </w:p>
    <w:p w:rsidR="00000000" w:rsidDel="00000000" w:rsidP="00000000" w:rsidRDefault="00000000" w:rsidRPr="00000000" w14:paraId="0000000C">
      <w:pPr>
        <w:rPr>
          <w:vertAlign w:val="superscript"/>
        </w:rPr>
      </w:pPr>
      <w:bookmarkStart w:colFirst="0" w:colLast="0" w:name="_heading=h.jak7wbrg2mx2" w:id="0"/>
      <w:bookmarkEnd w:id="0"/>
      <w:r w:rsidDel="00000000" w:rsidR="00000000" w:rsidRPr="00000000">
        <w:rPr>
          <w:rtl w:val="0"/>
        </w:rPr>
        <w:t xml:space="preserve">En los últimos años, el sistema de educación superior argentino ha desarrollado diversas experiencias orientadas a la transversalización de la perspectiva de género en distintas áreas disciplinares (Attardo, 2020; Buquet Corleto, 2016; Cruz, 2021).</w:t>
      </w:r>
      <w:r w:rsidDel="00000000" w:rsidR="00000000" w:rsidRPr="00000000">
        <w:rPr>
          <w:vertAlign w:val="superscript"/>
          <w:rtl w:val="0"/>
        </w:rPr>
        <w:t xml:space="preserve"> </w:t>
      </w:r>
      <w:r w:rsidDel="00000000" w:rsidR="00000000" w:rsidRPr="00000000">
        <w:rPr>
          <w:rtl w:val="0"/>
        </w:rPr>
        <w:t xml:space="preserve">Si bien legal e institucionalmente los avances han sido significativos, se registraron numerosos desafíos que se ven acentuados en el contexto político actual (Attardo, 2020; Cruz, 2021; Lione, 2024).</w:t>
      </w:r>
      <w:r w:rsidDel="00000000" w:rsidR="00000000" w:rsidRPr="00000000">
        <w:rPr>
          <w:vertAlign w:val="superscript"/>
          <w:rtl w:val="0"/>
        </w:rPr>
        <w:t xml:space="preserve"> </w:t>
      </w:r>
      <w:r w:rsidDel="00000000" w:rsidR="00000000" w:rsidRPr="00000000">
        <w:rPr>
          <w:rtl w:val="0"/>
        </w:rPr>
        <w:t xml:space="preserve">En particular, distintos autores (Ruiz-Cantero et al., 2019; Valenzuela et al., 2019) han evidenciado que los sesgos de género en la educación superior en salud no solo impactan en las competencias profesionales de quienes están encargados de la atención sanitaria, sino también en los resultados para la salud de las poblaciones que éstos atienden. Asimismo, la limitada investigación sobre el tema ha contribuido en gran medida a que las desigualdades persistan (Ruiz-Cantero et al., 2020).</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En línea con la legislación argentina, la UNTREF ha promovido la capacitación sobre género en todos los estamentos de la universidad, impulsado medidas orientadas a facilitar su implementación en las carreras. En particular, la carrera de Enfermería ha llevado a cabo un diagnóstico sobre la transversalización de la perspectiva de género en sus contenidos curriculares, indagando en las percepciones de los actores educativos clave (docentes y estudiantes) sobre los obstáculos y facilitadores de esta implementación. En coincidencia con otros estudios realizados en Argentina (Attardo, 2020; Cruz, 2021; Lione, 2024), los resultados subrayan desafíos para su incorporación efectiva, revelando la necesidad de un replanteo curricular que visibilice las prácticas áulicas no reflejadas en los programas, de un mayor trabajo reflexivo con el equipo docente y de promover su integración en las materias profesionales. En cuanto a las/los estudiantes, se observó una actitud positiva hacia la inclusión de contenidos sobre género en su formación, acompañada de una demanda de profundización sobre su efectivización</w:t>
      </w:r>
      <w:r w:rsidDel="00000000" w:rsidR="00000000" w:rsidRPr="00000000">
        <w:rPr>
          <w:color w:val="000000"/>
          <w:rtl w:val="0"/>
        </w:rPr>
        <w:t xml:space="preserve"> práctica (Sánchez Antelo et al., 2025). El </w:t>
      </w:r>
      <w:r w:rsidDel="00000000" w:rsidR="00000000" w:rsidRPr="00000000">
        <w:rPr>
          <w:rtl w:val="0"/>
        </w:rPr>
        <w:t xml:space="preserve">análisis realizado mostró que la implementación presenta ciertas limitaciones para promover cambios en la disciplina. </w:t>
      </w:r>
    </w:p>
    <w:p w:rsidR="00000000" w:rsidDel="00000000" w:rsidP="00000000" w:rsidRDefault="00000000" w:rsidRPr="00000000" w14:paraId="0000000E">
      <w:pPr>
        <w:rPr/>
      </w:pPr>
      <w:r w:rsidDel="00000000" w:rsidR="00000000" w:rsidRPr="00000000">
        <w:rPr>
          <w:rtl w:val="0"/>
        </w:rPr>
        <w:t xml:space="preserve">En este sentido, la UNTREF, como parte de un sistema educativo integrado, enfrenta el reto de adaptarse a un entorno signado por la movilidad de docentes y estudiantes, muchos de los cuales provienen de contextos académicos y sociales diversos, con distintos niveles de exposición a los temas de género e interseccionalidad. Asimismo, considerando la futura inserción de los egresados en un territorio dinámico y complejo, resulta fundamental una mayor articulación entre las instituciones de educación superior para consolidar la transversalización de la perspectiva de género en la formación académica argentina (Rojo et al., 2018). Dicha consolidación requiere de una oferta formativa coherente, que dé cuenta del balance entre la importancia de respetar la identidad institucional propia y, al mismo tiempo, de una estrategia transversal interinstitucional que se traduzca en una corriente disciplinar común de alta calidad, independientemente de la procedencia de estudiantes y docentes. Considerando que el personal de enfermería constituye más del 60% de la fuerza de trabajo en salud y cubre el 80% de las necesidades de atención (Aguirre Raya, 2020; PAHO, 2023), esta consolidación en la formación en enfermería redundaría en un doble impacto: en las competencias profesionales y en la calidad de la atención recibida por la población atendida por los servicios de enfermería. Así, el estudio que da origen a esta comunicación complementa y amplía el realizado en la investigación previa (Sánchez Antelo et al., 2025) y propone comparar los diseños curriculares de carreras de enfermería ofertadas en cuatro universidades nacionales radicadas en el AMBA.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el marco de los debates sobre pedagogía, didáctica y currículum universitario, la transversalización de la perspectiva de género permite interrogar el currículum como proyecto político-cultural (Bolaños Cubero, 2023), las formas de implementación de innovaciones institucionales y las condiciones concretas en las que ciertos saberes logran incorporarse —o no— a las prácticas de enseñanza y aprendizaje (Alcívar Rivas </w:t>
      </w:r>
      <w:r w:rsidDel="00000000" w:rsidR="00000000" w:rsidRPr="00000000">
        <w:rPr>
          <w:b w:val="1"/>
          <w:bCs w:val="1"/>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Chica Gilces, 2025). En este sentido, la pregunta que orienta esta ponencia no refiere únicamente a la valoración del género como contenido formativo, sino a las condiciones pedagógicas, curriculares e institucionales que permiten que dicha perspectiva se consolide como eje transversal en la formación universitaria en Enfermería.</w:t>
      </w:r>
    </w:p>
    <w:p w:rsidR="00000000" w:rsidDel="00000000" w:rsidP="00000000" w:rsidRDefault="00000000" w:rsidRPr="00000000" w14:paraId="00000010">
      <w:pPr>
        <w:rPr/>
      </w:pPr>
      <w:r w:rsidDel="00000000" w:rsidR="00000000" w:rsidRPr="00000000">
        <w:rPr>
          <w:rtl w:val="0"/>
        </w:rPr>
        <w:t xml:space="preserve">Cabe aclarar que el género se entiende como un conjunto de funciones y relaciones entre personas, no basadas en factores biológicos (sexo) sino sociales, económicos, políticos y culturales. Estas relaciones son el producto de un largo proceso histórico de construcción social, que no solo indica diferencias entre lo identificado como “masculino” y “femenino”, sino que también legitima desigualdades y jerarquías, afectando áreas como la familia, la educación y la salud (Chamizo Vega, 2004). Como determinante de la salud, el género refiere a las normas, expectativas y funciones sociales que influyen en la exposición y vulnerabilidad frente a los riesgos para la salud (Chamizo Vega, 2004; PAHO, 2023). Olena Hankivsky (2017) define la interseccionalidad como un enfoque que reconoce que la salud de las personas está influenciada por múltiples factores sociales que interactúan entre sí, como el género, la raza, la clase, la etnia, la sexualidad y otras dimensiones de identidad. Estos factores no actúan de manera aislada, sino que se combinan para generar experiencias de desigualdad y privilegio. En el contexto de la salud, este enfoque permite analizar cómo estas múltiples identidades la afectan de manera diferente, condicionan el acceso a los servicios sanitarios y exacerban las inequidades.</w:t>
      </w:r>
    </w:p>
    <w:p w:rsidR="00000000" w:rsidDel="00000000" w:rsidP="00000000" w:rsidRDefault="00000000" w:rsidRPr="00000000" w14:paraId="00000011">
      <w:pPr>
        <w:rPr/>
      </w:pPr>
      <w:r w:rsidDel="00000000" w:rsidR="00000000" w:rsidRPr="00000000">
        <w:rPr>
          <w:rtl w:val="0"/>
        </w:rPr>
        <w:t xml:space="preserve">Estudios que analizaron la relación entre la investigación en enfermería y género destacan que dichos campos se fortalecen teórica y metodológicamente. Como disciplina cuyo eje central es el cuidado biopsicosocial, fundamenta sus decisiones en la evidencia científica, la ética del cuidado y los derechos de las personas. En este sentido, se posiciona como un campo estratégico para el cambio social y de la salud frente a disciplinas de corte más biomédico (Vuolanto y Laiho, 2017). Integrar la perspectiva de género en su currículo resulta clave para formar profesionales capaces de reconocer los determinantes de la salud y brindar cuidados que respeten la diversidad en contextos complejos. </w:t>
      </w:r>
    </w:p>
    <w:p w:rsidR="00000000" w:rsidDel="00000000" w:rsidP="00000000" w:rsidRDefault="00000000" w:rsidRPr="00000000" w14:paraId="00000012">
      <w:pPr>
        <w:rPr/>
      </w:pPr>
      <w:r w:rsidDel="00000000" w:rsidR="00000000" w:rsidRPr="00000000">
        <w:rPr>
          <w:rtl w:val="0"/>
        </w:rPr>
        <w:t xml:space="preserve">Modificar un currículo requiere analizar las actividades de planificación, evaluación, experiencias estudiantiles y objetivos pedagógicos, así como la adaptación del contenido a distintos contextos culturales. La integración de la perspectiva de género en la educación de enfermería puede ser vista como una innovación en el proceso de enseñanza-aprendizaje. Por tanto, este trabajo se enmarca en la teoría de la difusión de las innovaciones (Greenhalgh et al., 2004; Silva et al., 2022)</w:t>
      </w:r>
      <w:r w:rsidDel="00000000" w:rsidR="00000000" w:rsidRPr="00000000">
        <w:rPr>
          <w:color w:val="000000"/>
          <w:rtl w:val="0"/>
        </w:rPr>
        <w:t xml:space="preserve">,</w:t>
      </w:r>
      <w:r w:rsidDel="00000000" w:rsidR="00000000" w:rsidRPr="00000000">
        <w:rPr>
          <w:color w:val="ff0000"/>
          <w:rtl w:val="0"/>
        </w:rPr>
        <w:t xml:space="preserve"> </w:t>
      </w:r>
      <w:r w:rsidDel="00000000" w:rsidR="00000000" w:rsidRPr="00000000">
        <w:rPr>
          <w:color w:val="000000"/>
          <w:rtl w:val="0"/>
        </w:rPr>
        <w:t xml:space="preserve">que provee herramientas conceptuales para comprender los mecanismos organizacionales (currículo y </w:t>
      </w:r>
      <w:r w:rsidDel="00000000" w:rsidR="00000000" w:rsidRPr="00000000">
        <w:rPr>
          <w:rtl w:val="0"/>
        </w:rPr>
        <w:t xml:space="preserve">política</w:t>
      </w:r>
      <w:r w:rsidDel="00000000" w:rsidR="00000000" w:rsidRPr="00000000">
        <w:rPr>
          <w:color w:val="000000"/>
          <w:rtl w:val="0"/>
        </w:rPr>
        <w:t xml:space="preserve"> institucional) e individuales (docentes, autoridades y estudiantes) por los cuales una innovación (integración de la perspectiva de género interseccional en la educación de enfermería) es adoptada en el plan de estudios, en las materias de la carrera y es diseminada e implementada a través de distintas estrategias institucionales. Desde este enfoque, la adopción depende de la percepción y la experiencia de los actores que deben incorporar la innovación en una rutina de trabajo institucional (docentes), su diseminación requiere esfuerzos activos y planificados para que se adopte (autoridades) y su implementación (integración en los programas y en las prácticas áulicas) depende del apoyo institucional para que se convierta en parte de la enseñanza de la enfermería. </w:t>
      </w:r>
      <w:r w:rsidDel="00000000" w:rsidR="00000000" w:rsidRPr="00000000">
        <w:rPr>
          <w:rtl w:val="0"/>
        </w:rPr>
        <w:t xml:space="preserve">En términos de sostenibilidad, los cambios institucionales dentro de un sistema, como el de educación superior (Bonder, 2022), requieren estrategias de implementación que superen los límites de las instituciones singulares y evalúen los alcances de la transversalización de género a nivel del conjunto/general.</w:t>
      </w:r>
    </w:p>
    <w:p w:rsidR="00000000" w:rsidDel="00000000" w:rsidP="00000000" w:rsidRDefault="00000000" w:rsidRPr="00000000" w14:paraId="00000013">
      <w:pPr>
        <w:rPr/>
      </w:pPr>
      <w:r w:rsidDel="00000000" w:rsidR="00000000" w:rsidRPr="00000000">
        <w:rPr>
          <w:rtl w:val="0"/>
        </w:rPr>
        <w:t xml:space="preserve">La transversalización de la perspectiva de género en las currículas universitarias puede definirse como una estrategia tanto técnica como orientada a la transformación social e institucional que aspira a integrar la dimensión de género en la totalidad de las esferas que componen la formación profesional. Conviene advertir, no obstante, que dicha estrategia no se reduce a un mero incremento del acceso de las mujeres a la toma de decisiones o la formación, sino que persigue una transformación de las formas del conocimiento, de modo que éstas alcancen a reflejar intereses y experiencias históricamente silenciados. Lo que se pone en cuestión, en última instancia, es la supuesta neutralidad del conocimiento tradicional, en la medida en que tal neutralidad suele encubrir una cosmovisión androcéntrica que se presenta a sí misma como universal (Acker, 2012; Gaba et al., 2024).</w:t>
      </w:r>
    </w:p>
    <w:p w:rsidR="00000000" w:rsidDel="00000000" w:rsidP="00000000" w:rsidRDefault="00000000" w:rsidRPr="00000000" w14:paraId="00000014">
      <w:pPr>
        <w:rPr/>
      </w:pPr>
      <w:bookmarkStart w:colFirst="0" w:colLast="0" w:name="_heading=h.fzj2vguhr6uc" w:id="1"/>
      <w:bookmarkEnd w:id="1"/>
      <w:r w:rsidDel="00000000" w:rsidR="00000000" w:rsidRPr="00000000">
        <w:rPr>
          <w:rtl w:val="0"/>
        </w:rPr>
        <w:t xml:space="preserve">La demanda por la transversalización de la perspectiva de género en la educación superior argentina no es un fenómeno coyuntural, sino una respuesta política y epistemológica a las estructuras androcéntricas que históricamente han moldeado la academia. Hitos como la "marea feminista" y la irrupción de la Cuarta Ola, bajo la consigna </w:t>
      </w:r>
      <w:r w:rsidDel="00000000" w:rsidR="00000000" w:rsidRPr="00000000">
        <w:rPr>
          <w:i w:val="1"/>
          <w:iCs w:val="1"/>
          <w:rtl w:val="0"/>
        </w:rPr>
        <w:t xml:space="preserve">Ni Una Menos</w:t>
      </w:r>
      <w:r w:rsidDel="00000000" w:rsidR="00000000" w:rsidRPr="00000000">
        <w:rPr>
          <w:rtl w:val="0"/>
        </w:rPr>
        <w:t xml:space="preserve">, han catalizado una exigencia de transformación radical. Este proceso es estratégico para democratizar las relaciones de "poder-saber", interrumpiendo la matriz de pensamiento colonial y patriarcal que invisibiliza las experiencias de mujeres y disidencias. En instituciones como la Universidad Nacional de Rosario (UNR) y la Universidad Nacional de General Sarmiento (UNGS), este reclamo se traduce en políticas que buscan desbordar la “inclusión marginal” para alcanzar una reforma sustantiva (Rojo et al., 2018; Toledo, 2021). En este escenario, escuchar la voz de las y los estudiantes resulta imperativo, pues como actores protagónicos de la vida universitaria, sus percepciones revelan las tensiones reales entre la retórica institucional y las prácticas pedagógicas cotidianas.</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El estudiantado como actor de la transversalización</w:t>
      </w:r>
    </w:p>
    <w:p w:rsidR="00000000" w:rsidDel="00000000" w:rsidP="00000000" w:rsidRDefault="00000000" w:rsidRPr="00000000" w14:paraId="00000017">
      <w:pPr>
        <w:rPr/>
      </w:pPr>
      <w:r w:rsidDel="00000000" w:rsidR="00000000" w:rsidRPr="00000000">
        <w:rPr>
          <w:rtl w:val="0"/>
        </w:rPr>
        <w:t xml:space="preserve">Resulta menester detenerse en el papel del estudiantado, cuya participación en la transversalización dista de ser pasiva o meramente receptiva. Antes bien, los y las estudiantes se constituyen en un actor multifacético, motor del cambio, evaluador crítico y sujeto activo de la transformación de las instituciones de educación superior. En primer término, se trata de una fuerza impulsora de las reformas ya que su demanda de contenidos actualizados y su participación en movimientos sociales presionan sobre las instituciones para que la perspectiva de género abandone su condición marginal y devenga política institucional. </w:t>
      </w:r>
    </w:p>
    <w:p w:rsidR="00000000" w:rsidDel="00000000" w:rsidP="00000000" w:rsidRDefault="00000000" w:rsidRPr="00000000" w14:paraId="00000018">
      <w:pPr>
        <w:rPr/>
      </w:pPr>
      <w:r w:rsidDel="00000000" w:rsidR="00000000" w:rsidRPr="00000000">
        <w:rPr>
          <w:rtl w:val="0"/>
        </w:rPr>
        <w:t xml:space="preserve">En segundo término, los y las estudiantes intervienen activamente en el análisis de los programas con el objeto de identificar sesgos androcéntricos. Entre las acciones concretas que la literatura sistematiza, cabe mencionar el relevamiento de autorías y la identificación del currículum oculto.</w:t>
      </w:r>
    </w:p>
    <w:p w:rsidR="00000000" w:rsidDel="00000000" w:rsidP="00000000" w:rsidRDefault="00000000" w:rsidRPr="00000000" w14:paraId="00000019">
      <w:pPr>
        <w:rPr/>
      </w:pPr>
      <w:r w:rsidDel="00000000" w:rsidR="00000000" w:rsidRPr="00000000">
        <w:rPr>
          <w:rtl w:val="0"/>
        </w:rPr>
        <w:t xml:space="preserve">El rol así descrito se aparta de la educación bancaria para abrazar una postura reflexiva y participativa. Sin embargo, no conviene asumir que el estudiantado es un grupo homogéneo. En este sentido, este trabajo presenta resultados preliminares que analizan la percepción de las/los estudiantes de enfermería de las instituciones participantes sobre facilitadores y obstáculos en la implementación de la perspectiva de género en las distintas materias. </w:t>
      </w:r>
    </w:p>
    <w:p w:rsidR="00000000" w:rsidDel="00000000" w:rsidP="00000000" w:rsidRDefault="00000000" w:rsidRPr="00000000" w14:paraId="0000001A">
      <w:pPr>
        <w:rPr>
          <w:b w:val="1"/>
          <w:bCs w:val="1"/>
        </w:rPr>
      </w:pPr>
      <w:r w:rsidDel="00000000" w:rsidR="00000000" w:rsidRPr="00000000">
        <w:rPr>
          <w:b w:val="1"/>
          <w:bCs w:val="1"/>
          <w:rtl w:val="0"/>
        </w:rPr>
        <w:t xml:space="preserve">METODOLOGÍA</w:t>
      </w:r>
    </w:p>
    <w:p w:rsidR="00000000" w:rsidDel="00000000" w:rsidP="00000000" w:rsidRDefault="00000000" w:rsidRPr="00000000" w14:paraId="0000001B">
      <w:pPr>
        <w:rPr>
          <w:b w:val="1"/>
          <w:bCs w:val="1"/>
        </w:rPr>
      </w:pPr>
      <w:r w:rsidDel="00000000" w:rsidR="00000000" w:rsidRPr="00000000">
        <w:rPr>
          <w:b w:val="1"/>
          <w:bCs w:val="1"/>
          <w:rtl w:val="0"/>
        </w:rPr>
        <w:t xml:space="preserve">Diseño y población</w:t>
      </w:r>
    </w:p>
    <w:p w:rsidR="00000000" w:rsidDel="00000000" w:rsidP="00000000" w:rsidRDefault="00000000" w:rsidRPr="00000000" w14:paraId="0000001C">
      <w:pPr>
        <w:rPr/>
      </w:pPr>
      <w:r w:rsidDel="00000000" w:rsidR="00000000" w:rsidRPr="00000000">
        <w:rPr>
          <w:rtl w:val="0"/>
        </w:rPr>
        <w:t xml:space="preserve">Con el propósito de caracterizar las percepciones del estudiantado en torno a la transversalización de la perspectiva de género con enfoque interseccional, se llevó a cabo un estudio descriptivo y transversal de enfoque mixto (cuantitativo y cualitativo). La población quedó constituida por estudiantes de carreras de enfermería de universidades nacionales del Área Metropolitana de Buenos Aires. Se trabajó con una muestra no probabilística de carácter voluntario, conformada por 357 estudiantes pertenecientes a cuatro universidades nacionales: la Universidad Nacional de Hurlingham (UNAHUR, n = 149), la Universidad Nacional del Noroeste de la Provincia de Buenos Aires (UNNOBA, n = 83), la Universidad Nacional de Tres de Febrero (UNTREF, n = 79) y la Universidad Nacional de San Martín (UNSAM, n = 46).</w:t>
      </w:r>
    </w:p>
    <w:p w:rsidR="00000000" w:rsidDel="00000000" w:rsidP="00000000" w:rsidRDefault="00000000" w:rsidRPr="00000000" w14:paraId="0000001D">
      <w:pPr>
        <w:rPr>
          <w:b w:val="1"/>
          <w:bCs w:val="1"/>
        </w:rPr>
      </w:pPr>
      <w:r w:rsidDel="00000000" w:rsidR="00000000" w:rsidRPr="00000000">
        <w:rPr>
          <w:b w:val="1"/>
          <w:bCs w:val="1"/>
          <w:rtl w:val="0"/>
        </w:rPr>
        <w:t xml:space="preserve">Instrumento</w:t>
      </w:r>
    </w:p>
    <w:p w:rsidR="00000000" w:rsidDel="00000000" w:rsidP="00000000" w:rsidRDefault="00000000" w:rsidRPr="00000000" w14:paraId="0000001E">
      <w:pPr>
        <w:rPr/>
      </w:pPr>
      <w:r w:rsidDel="00000000" w:rsidR="00000000" w:rsidRPr="00000000">
        <w:rPr>
          <w:rtl w:val="0"/>
        </w:rPr>
        <w:t xml:space="preserve">Los datos se obtuvieron mediante un cuestionario autoadministrado de forma online, estructurado en torno a un conjunto de variables sociodemográficas (edad, sexo registrado al nacer, identidad de género, nivel y tipo de creencia religiosa, nivel socioeconómico percibido, materias aprobadas y experiencia profesional) y a un bloque de ítems destinados a relevar percepciones, actitudes y conocimientos sobre la perspectiva de género en la formación. Cabe señalar que el instrumento utilizado en la etapa anterior, con datos solo de la UNTREF se utilizó una versión abreviada, que omitió algunas variables (el sexo al nacer, el nivel socioeconómico y el conocimiento de los mecanismos institucionales), razón por la cual dicha institución fue excluida de los análisis correspondientes a esas dimensiones.</w:t>
      </w:r>
    </w:p>
    <w:p w:rsidR="00000000" w:rsidDel="00000000" w:rsidP="00000000" w:rsidRDefault="00000000" w:rsidRPr="00000000" w14:paraId="0000001F">
      <w:pPr>
        <w:rPr/>
      </w:pPr>
      <w:r w:rsidDel="00000000" w:rsidR="00000000" w:rsidRPr="00000000">
        <w:rPr>
          <w:rtl w:val="0"/>
        </w:rPr>
        <w:t xml:space="preserve">El instrumento combinó ítems cerrados y preguntas abiertas. Entre los primeros se contaron escalas ordinales relativas al impacto, la relevancia y la prioridad atribuidos a la perspectiva de género, escalas tipo Likert de satisfacción (de 1, nada satisfecho/a, hasta 5, muy satisfecho/a) respecto de su abordaje y del de las desigualdades por raza o etnia, clase social y edad, una batería de tipo Likert sobre actitudes y disposición frente a la atención de población trans y travesti, y preguntas sobre el conocimiento de los mecanismos institucionales de enfrentamiento o denuncia relativos al género y de la oferta de capacitación en el marco de la Ley Micaela(de 1, en desacuerdo,a 5, muy de acuerdo). Las preguntas abiertas, indagaron los aspectos positivos y negativos percibidos, las propuestas de mejora y las temáticas de capacitación de interés.</w:t>
      </w:r>
    </w:p>
    <w:p w:rsidR="00000000" w:rsidDel="00000000" w:rsidP="00000000" w:rsidRDefault="00000000" w:rsidRPr="00000000" w14:paraId="00000020">
      <w:pPr>
        <w:rPr>
          <w:b w:val="1"/>
          <w:bCs w:val="1"/>
        </w:rPr>
      </w:pPr>
      <w:r w:rsidDel="00000000" w:rsidR="00000000" w:rsidRPr="00000000">
        <w:rPr>
          <w:b w:val="1"/>
          <w:bCs w:val="1"/>
          <w:rtl w:val="0"/>
        </w:rPr>
        <w:t xml:space="preserve">Análisis</w:t>
      </w:r>
    </w:p>
    <w:p w:rsidR="00000000" w:rsidDel="00000000" w:rsidP="00000000" w:rsidRDefault="00000000" w:rsidRPr="00000000" w14:paraId="00000021">
      <w:pPr>
        <w:rPr/>
      </w:pPr>
      <w:r w:rsidDel="00000000" w:rsidR="00000000" w:rsidRPr="00000000">
        <w:rPr>
          <w:rtl w:val="0"/>
        </w:rPr>
        <w:t xml:space="preserve">El procesamiento contempló estadística descriptiva (frecuencias, porcentajes y medias) y comparaciones bivariadas por universidad, con el software Excel. La información proveniente de las preguntas abiertas se analizó mediante una codificación temática asistida por la identificación léxica de categorías emergentes, cuyos resultados se reportan como prevalencias aproximadas y se interpretan de manera articulada con los datos cuantitativos.</w:t>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RESULTADOS</w:t>
      </w:r>
    </w:p>
    <w:p w:rsidR="00000000" w:rsidDel="00000000" w:rsidP="00000000" w:rsidRDefault="00000000" w:rsidRPr="00000000" w14:paraId="00000024">
      <w:pPr>
        <w:rPr/>
      </w:pPr>
      <w:r w:rsidDel="00000000" w:rsidR="00000000" w:rsidRPr="00000000">
        <w:rPr>
          <w:rtl w:val="0"/>
        </w:rPr>
        <w:t xml:space="preserve">Se analizaron 357 respuestas de estudiantes de Enfermería de cuatro universidades (UNTREF, UNAHUR, UNNOBA y UNSAM). La muestra está compuesta mayoritariamente por personas que se identifican como mujeres (310 de 357 en las cuatro universidades) y abarca un rango etario amplio (edad media de 33,4 años, con una edad mínima de 18 y una máxima de 68 años), con concentración los grupos de 18 a 44 años. La mayoría afirma ser poco o nada creyente en términos religiosos (53,1%) y un 23,7% vive exclusivamente de sus ingresos.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Tabla 1. Descripción de la población total </w:t>
      </w:r>
    </w:p>
    <w:tbl>
      <w:tblPr>
        <w:tblStyle w:val="Table1"/>
        <w:tblW w:w="849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620"/>
        <w:gridCol w:w="4502"/>
        <w:gridCol w:w="579"/>
        <w:gridCol w:w="793"/>
        <w:tblGridChange w:id="0">
          <w:tblGrid>
            <w:gridCol w:w="2620"/>
            <w:gridCol w:w="4502"/>
            <w:gridCol w:w="579"/>
            <w:gridCol w:w="793"/>
          </w:tblGrid>
        </w:tblGridChange>
      </w:tblGrid>
      <w:tr>
        <w:trPr>
          <w:cantSplit w:val="0"/>
          <w:tblHeader w:val="0"/>
        </w:trPr>
        <w:tc>
          <w:tcPr/>
          <w:p w:rsidR="00000000" w:rsidDel="00000000" w:rsidP="00000000" w:rsidRDefault="00000000" w:rsidRPr="00000000" w14:paraId="00000027">
            <w:pPr>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Variable</w:t>
            </w:r>
            <w:r w:rsidDel="00000000" w:rsidR="00000000" w:rsidRPr="00000000">
              <w:rPr>
                <w:rtl w:val="0"/>
              </w:rPr>
            </w:r>
          </w:p>
        </w:tc>
        <w:tc>
          <w:tcPr/>
          <w:p w:rsidR="00000000" w:rsidDel="00000000" w:rsidP="00000000" w:rsidRDefault="00000000" w:rsidRPr="00000000" w14:paraId="00000028">
            <w:pPr>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Categoría</w:t>
            </w:r>
            <w:r w:rsidDel="00000000" w:rsidR="00000000" w:rsidRPr="00000000">
              <w:rPr>
                <w:rtl w:val="0"/>
              </w:rPr>
            </w:r>
          </w:p>
        </w:tc>
        <w:tc>
          <w:tcPr/>
          <w:p w:rsidR="00000000" w:rsidDel="00000000" w:rsidP="00000000" w:rsidRDefault="00000000" w:rsidRPr="00000000" w14:paraId="00000029">
            <w:pPr>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f</w:t>
            </w:r>
            <w:r w:rsidDel="00000000" w:rsidR="00000000" w:rsidRPr="00000000">
              <w:rPr>
                <w:rtl w:val="0"/>
              </w:rPr>
            </w:r>
          </w:p>
        </w:tc>
        <w:tc>
          <w:tcPr/>
          <w:p w:rsidR="00000000" w:rsidDel="00000000" w:rsidP="00000000" w:rsidRDefault="00000000" w:rsidRPr="00000000" w14:paraId="0000002A">
            <w:pPr>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Edad (rangos)</w:t>
            </w:r>
          </w:p>
        </w:tc>
        <w:tc>
          <w:tcPr/>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 a 24 años</w:t>
            </w:r>
          </w:p>
        </w:tc>
        <w:tc>
          <w:tcPr/>
          <w:p w:rsidR="00000000" w:rsidDel="00000000" w:rsidP="00000000" w:rsidRDefault="00000000" w:rsidRPr="00000000" w14:paraId="000000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95</w:t>
            </w:r>
          </w:p>
        </w:tc>
        <w:tc>
          <w:tcPr/>
          <w:p w:rsidR="00000000" w:rsidDel="00000000" w:rsidP="00000000" w:rsidRDefault="00000000" w:rsidRPr="00000000" w14:paraId="000000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26,5%</w:t>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 a 34 años</w:t>
            </w:r>
          </w:p>
        </w:tc>
        <w:tc>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107</w:t>
            </w:r>
          </w:p>
        </w:tc>
        <w:tc>
          <w:tcPr/>
          <w:p w:rsidR="00000000" w:rsidDel="00000000" w:rsidP="00000000" w:rsidRDefault="00000000" w:rsidRPr="00000000" w14:paraId="000000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29,9%</w:t>
            </w:r>
          </w:p>
        </w:tc>
      </w:tr>
      <w:tr>
        <w:trPr>
          <w:cantSplit w:val="0"/>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35 a 44 años</w:t>
            </w:r>
          </w:p>
        </w:tc>
        <w:tc>
          <w:tcPr/>
          <w:p w:rsidR="00000000" w:rsidDel="00000000" w:rsidP="00000000" w:rsidRDefault="00000000" w:rsidRPr="00000000" w14:paraId="000000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w:t>
            </w:r>
          </w:p>
        </w:tc>
        <w:tc>
          <w:tcPr/>
          <w:p w:rsidR="00000000" w:rsidDel="00000000" w:rsidP="00000000" w:rsidRDefault="00000000" w:rsidRPr="00000000" w14:paraId="0000003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28,5%</w:t>
            </w:r>
          </w:p>
        </w:tc>
      </w:tr>
      <w:tr>
        <w:trPr>
          <w:cantSplit w:val="0"/>
          <w:tblHeader w:val="0"/>
        </w:trPr>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 años o más</w:t>
            </w:r>
          </w:p>
        </w:tc>
        <w:tc>
          <w:tcPr/>
          <w:p w:rsidR="00000000" w:rsidDel="00000000" w:rsidP="00000000" w:rsidRDefault="00000000" w:rsidRPr="00000000" w14:paraId="0000003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w:t>
            </w:r>
          </w:p>
        </w:tc>
        <w:tc>
          <w:tcPr/>
          <w:p w:rsidR="00000000" w:rsidDel="00000000" w:rsidP="00000000" w:rsidRDefault="00000000" w:rsidRPr="00000000" w14:paraId="000000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15,1%</w:t>
            </w:r>
          </w:p>
        </w:tc>
      </w:tr>
      <w:tr>
        <w:trPr>
          <w:cantSplit w:val="0"/>
          <w:tblHeader w:val="0"/>
        </w:trPr>
        <w:tc>
          <w:tcPr>
            <w:vMerge w:val="restart"/>
          </w:tcPr>
          <w:p w:rsidR="00000000" w:rsidDel="00000000" w:rsidP="00000000" w:rsidRDefault="00000000" w:rsidRPr="00000000" w14:paraId="0000003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Identidad de género</w:t>
            </w:r>
          </w:p>
        </w:tc>
        <w:tc>
          <w:tcPr/>
          <w:p w:rsidR="00000000" w:rsidDel="00000000" w:rsidP="00000000" w:rsidRDefault="00000000" w:rsidRPr="00000000" w14:paraId="0000003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Mujer</w:t>
            </w:r>
          </w:p>
        </w:tc>
        <w:tc>
          <w:tcPr/>
          <w:p w:rsidR="00000000" w:rsidDel="00000000" w:rsidP="00000000" w:rsidRDefault="00000000" w:rsidRPr="00000000" w14:paraId="000000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310</w:t>
            </w:r>
          </w:p>
        </w:tc>
        <w:tc>
          <w:tcPr/>
          <w:p w:rsidR="00000000" w:rsidDel="00000000" w:rsidP="00000000" w:rsidRDefault="00000000" w:rsidRPr="00000000" w14:paraId="000000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86,9%</w:t>
            </w:r>
          </w:p>
        </w:tc>
      </w:tr>
      <w:tr>
        <w:trPr>
          <w:cantSplit w:val="0"/>
          <w:tblHeader w:val="0"/>
        </w:trPr>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Varón</w:t>
            </w:r>
          </w:p>
        </w:tc>
        <w:tc>
          <w:tcPr/>
          <w:p w:rsidR="00000000" w:rsidDel="00000000" w:rsidP="00000000" w:rsidRDefault="00000000" w:rsidRPr="00000000" w14:paraId="000000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w:t>
            </w:r>
          </w:p>
        </w:tc>
        <w:tc>
          <w:tcPr/>
          <w:p w:rsidR="00000000" w:rsidDel="00000000" w:rsidP="00000000" w:rsidRDefault="00000000" w:rsidRPr="00000000" w14:paraId="0000004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12,6%</w:t>
            </w:r>
          </w:p>
        </w:tc>
      </w:tr>
      <w:tr>
        <w:trPr>
          <w:cantSplit w:val="0"/>
          <w:tblHeader w:val="0"/>
        </w:trPr>
        <w:tc>
          <w:tcPr>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Otra identidad / ninguna</w:t>
            </w:r>
          </w:p>
        </w:tc>
        <w:tc>
          <w:tcPr/>
          <w:p w:rsidR="00000000" w:rsidDel="00000000" w:rsidP="00000000" w:rsidRDefault="00000000" w:rsidRPr="00000000" w14:paraId="0000004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p w:rsidR="00000000" w:rsidDel="00000000" w:rsidP="00000000" w:rsidRDefault="00000000" w:rsidRPr="00000000" w14:paraId="000000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w:t>
            </w:r>
          </w:p>
        </w:tc>
      </w:tr>
      <w:tr>
        <w:trPr>
          <w:cantSplit w:val="0"/>
          <w:tblHeader w:val="0"/>
        </w:trPr>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Varón trans / masculinidad trans</w:t>
            </w:r>
          </w:p>
        </w:tc>
        <w:tc>
          <w:tcPr/>
          <w:p w:rsidR="00000000" w:rsidDel="00000000" w:rsidP="00000000" w:rsidRDefault="00000000" w:rsidRPr="00000000" w14:paraId="000000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p w:rsidR="00000000" w:rsidDel="00000000" w:rsidP="00000000" w:rsidRDefault="00000000" w:rsidRPr="00000000" w14:paraId="000000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w:t>
            </w:r>
          </w:p>
        </w:tc>
      </w:tr>
      <w:tr>
        <w:trPr>
          <w:cantSplit w:val="0"/>
          <w:tblHeader w:val="0"/>
        </w:trPr>
        <w:tc>
          <w:tcPr>
            <w:vMerge w:val="restart"/>
          </w:tcPr>
          <w:p w:rsidR="00000000" w:rsidDel="00000000" w:rsidP="00000000" w:rsidRDefault="00000000" w:rsidRPr="00000000" w14:paraId="000000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Creencias religiosas</w:t>
            </w:r>
          </w:p>
        </w:tc>
        <w:tc>
          <w:tcPr/>
          <w:p w:rsidR="00000000" w:rsidDel="00000000" w:rsidP="00000000" w:rsidRDefault="00000000" w:rsidRPr="00000000" w14:paraId="000000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Nada creyente</w:t>
            </w:r>
          </w:p>
        </w:tc>
        <w:tc>
          <w:tcPr/>
          <w:p w:rsidR="00000000" w:rsidDel="00000000" w:rsidP="00000000" w:rsidRDefault="00000000" w:rsidRPr="00000000" w14:paraId="000000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w:t>
            </w:r>
          </w:p>
        </w:tc>
        <w:tc>
          <w:tcPr/>
          <w:p w:rsidR="00000000" w:rsidDel="00000000" w:rsidP="00000000" w:rsidRDefault="00000000" w:rsidRPr="00000000" w14:paraId="0000004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12,6%</w:t>
            </w:r>
          </w:p>
        </w:tc>
      </w:tr>
      <w:tr>
        <w:trPr>
          <w:cantSplit w:val="0"/>
          <w:tblHeader w:val="0"/>
        </w:trPr>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Poco creyente</w:t>
            </w:r>
          </w:p>
        </w:tc>
        <w:tc>
          <w:tcPr/>
          <w:p w:rsidR="00000000" w:rsidDel="00000000" w:rsidP="00000000" w:rsidRDefault="00000000" w:rsidRPr="00000000" w14:paraId="0000005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145</w:t>
            </w:r>
          </w:p>
        </w:tc>
        <w:tc>
          <w:tcPr/>
          <w:p w:rsidR="00000000" w:rsidDel="00000000" w:rsidP="00000000" w:rsidRDefault="00000000" w:rsidRPr="00000000" w14:paraId="000000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40,5%</w:t>
            </w:r>
          </w:p>
        </w:tc>
      </w:tr>
      <w:tr>
        <w:trPr>
          <w:cantSplit w:val="0"/>
          <w:tblHeader w:val="0"/>
        </w:trPr>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Bastante creyente</w:t>
            </w:r>
          </w:p>
        </w:tc>
        <w:tc>
          <w:tcPr/>
          <w:p w:rsidR="00000000" w:rsidDel="00000000" w:rsidP="00000000" w:rsidRDefault="00000000" w:rsidRPr="00000000" w14:paraId="0000005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w:t>
            </w:r>
          </w:p>
        </w:tc>
        <w:tc>
          <w:tcPr/>
          <w:p w:rsidR="00000000" w:rsidDel="00000000" w:rsidP="00000000" w:rsidRDefault="00000000" w:rsidRPr="00000000" w14:paraId="000000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31,0%</w:t>
            </w:r>
          </w:p>
        </w:tc>
      </w:tr>
      <w:tr>
        <w:trPr>
          <w:cantSplit w:val="0"/>
          <w:tblHeader w:val="0"/>
        </w:trPr>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Muy creyente</w:t>
            </w:r>
          </w:p>
        </w:tc>
        <w:tc>
          <w:tcPr/>
          <w:p w:rsidR="00000000" w:rsidDel="00000000" w:rsidP="00000000" w:rsidRDefault="00000000" w:rsidRPr="00000000" w14:paraId="000000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57</w:t>
            </w:r>
          </w:p>
        </w:tc>
        <w:tc>
          <w:tcPr/>
          <w:p w:rsidR="00000000" w:rsidDel="00000000" w:rsidP="00000000" w:rsidRDefault="00000000" w:rsidRPr="00000000" w14:paraId="000000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15,9%</w:t>
            </w:r>
          </w:p>
        </w:tc>
      </w:tr>
      <w:tr>
        <w:trPr>
          <w:cantSplit w:val="0"/>
          <w:tblHeader w:val="0"/>
        </w:trPr>
        <w:tc>
          <w:tcPr>
            <w:vMerge w:val="restart"/>
          </w:tcPr>
          <w:p w:rsidR="00000000" w:rsidDel="00000000" w:rsidP="00000000" w:rsidRDefault="00000000" w:rsidRPr="00000000" w14:paraId="0000005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Universidad</w:t>
            </w:r>
          </w:p>
        </w:tc>
        <w:tc>
          <w:tcPr/>
          <w:p w:rsidR="00000000" w:rsidDel="00000000" w:rsidP="00000000" w:rsidRDefault="00000000" w:rsidRPr="00000000" w14:paraId="0000005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UNAHUR</w:t>
            </w:r>
          </w:p>
        </w:tc>
        <w:tc>
          <w:tcPr/>
          <w:p w:rsidR="00000000" w:rsidDel="00000000" w:rsidP="00000000" w:rsidRDefault="00000000" w:rsidRPr="00000000" w14:paraId="0000005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149</w:t>
            </w:r>
          </w:p>
        </w:tc>
        <w:tc>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41,6%</w:t>
            </w:r>
          </w:p>
        </w:tc>
      </w:tr>
      <w:tr>
        <w:trPr>
          <w:cantSplit w:val="0"/>
          <w:tblHeader w:val="0"/>
        </w:trPr>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UNNOBA</w:t>
            </w:r>
          </w:p>
        </w:tc>
        <w:tc>
          <w:tcPr/>
          <w:p w:rsidR="00000000" w:rsidDel="00000000" w:rsidP="00000000" w:rsidRDefault="00000000" w:rsidRPr="00000000" w14:paraId="000000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83</w:t>
            </w:r>
          </w:p>
        </w:tc>
        <w:tc>
          <w:tcPr/>
          <w:p w:rsidR="00000000" w:rsidDel="00000000" w:rsidP="00000000" w:rsidRDefault="00000000" w:rsidRPr="00000000" w14:paraId="000000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23,2%</w:t>
            </w:r>
          </w:p>
        </w:tc>
      </w:tr>
      <w:tr>
        <w:trPr>
          <w:cantSplit w:val="0"/>
          <w:tblHeader w:val="0"/>
        </w:trPr>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UNTREF</w:t>
            </w:r>
          </w:p>
        </w:tc>
        <w:tc>
          <w:tcPr/>
          <w:p w:rsidR="00000000" w:rsidDel="00000000" w:rsidP="00000000" w:rsidRDefault="00000000" w:rsidRPr="00000000" w14:paraId="000000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79</w:t>
            </w:r>
          </w:p>
        </w:tc>
        <w:tc>
          <w:tcPr/>
          <w:p w:rsidR="00000000" w:rsidDel="00000000" w:rsidP="00000000" w:rsidRDefault="00000000" w:rsidRPr="00000000" w14:paraId="0000006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22,1%</w:t>
            </w:r>
          </w:p>
        </w:tc>
      </w:tr>
      <w:tr>
        <w:trPr>
          <w:cantSplit w:val="0"/>
          <w:tblHeader w:val="0"/>
        </w:trPr>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UNSAM</w:t>
            </w:r>
          </w:p>
        </w:tc>
        <w:tc>
          <w:tcPr/>
          <w:p w:rsidR="00000000" w:rsidDel="00000000" w:rsidP="00000000" w:rsidRDefault="00000000" w:rsidRPr="00000000" w14:paraId="0000006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46</w:t>
            </w:r>
          </w:p>
        </w:tc>
        <w:tc>
          <w:tcPr/>
          <w:p w:rsidR="00000000" w:rsidDel="00000000" w:rsidP="00000000" w:rsidRDefault="00000000" w:rsidRPr="00000000" w14:paraId="000000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12,8%</w:t>
            </w:r>
          </w:p>
        </w:tc>
      </w:tr>
      <w:tr>
        <w:trPr>
          <w:cantSplit w:val="0"/>
          <w:tblHeader w:val="0"/>
        </w:trPr>
        <w:tc>
          <w:tcPr>
            <w:vMerge w:val="restart"/>
          </w:tcPr>
          <w:p w:rsidR="00000000" w:rsidDel="00000000" w:rsidP="00000000" w:rsidRDefault="00000000" w:rsidRPr="00000000" w14:paraId="0000006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Vive exclusivamente de…</w:t>
            </w:r>
          </w:p>
        </w:tc>
        <w:tc>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sus ingresos</w:t>
            </w:r>
          </w:p>
        </w:tc>
        <w:tc>
          <w:tcPr/>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84</w:t>
            </w:r>
          </w:p>
        </w:tc>
        <w:tc>
          <w:tcPr/>
          <w:p w:rsidR="00000000" w:rsidDel="00000000" w:rsidP="00000000" w:rsidRDefault="00000000" w:rsidRPr="00000000" w14:paraId="0000006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23,7%</w:t>
            </w:r>
          </w:p>
        </w:tc>
      </w:tr>
      <w:tr>
        <w:trPr>
          <w:cantSplit w:val="0"/>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sus ingresos y un complemento familiar/pareja</w:t>
            </w:r>
          </w:p>
        </w:tc>
        <w:tc>
          <w:tcPr/>
          <w:p w:rsidR="00000000" w:rsidDel="00000000" w:rsidP="00000000" w:rsidRDefault="00000000" w:rsidRPr="00000000" w14:paraId="000000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68</w:t>
            </w:r>
          </w:p>
        </w:tc>
        <w:tc>
          <w:tcPr/>
          <w:p w:rsidR="00000000" w:rsidDel="00000000" w:rsidP="00000000" w:rsidRDefault="00000000" w:rsidRPr="00000000" w14:paraId="0000007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19,2%</w:t>
            </w:r>
          </w:p>
        </w:tc>
      </w:tr>
      <w:tr>
        <w:trPr>
          <w:cantSplit w:val="0"/>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ingresos familiares y de uno propio esporádico</w:t>
            </w:r>
          </w:p>
        </w:tc>
        <w:tc>
          <w:tcPr/>
          <w:p w:rsidR="00000000" w:rsidDel="00000000" w:rsidP="00000000" w:rsidRDefault="00000000" w:rsidRPr="00000000" w14:paraId="0000007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66</w:t>
            </w:r>
          </w:p>
        </w:tc>
        <w:tc>
          <w:tcPr/>
          <w:p w:rsidR="00000000" w:rsidDel="00000000" w:rsidP="00000000" w:rsidRDefault="00000000" w:rsidRPr="00000000" w14:paraId="0000007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18,6%</w:t>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Los ingresos de familia/pareja</w:t>
            </w:r>
          </w:p>
        </w:tc>
        <w:tc>
          <w:tcPr/>
          <w:p w:rsidR="00000000" w:rsidDel="00000000" w:rsidP="00000000" w:rsidRDefault="00000000" w:rsidRPr="00000000" w14:paraId="0000007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56</w:t>
            </w:r>
          </w:p>
        </w:tc>
        <w:tc>
          <w:tcPr/>
          <w:p w:rsidR="00000000" w:rsidDel="00000000" w:rsidP="00000000" w:rsidRDefault="00000000" w:rsidRPr="00000000" w14:paraId="0000007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15,8%</w:t>
            </w:r>
          </w:p>
        </w:tc>
      </w:tr>
      <w:tr>
        <w:trPr>
          <w:cantSplit w:val="0"/>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Otra situación</w:t>
            </w:r>
          </w:p>
        </w:tc>
        <w:tc>
          <w:tcPr/>
          <w:p w:rsidR="00000000" w:rsidDel="00000000" w:rsidP="00000000" w:rsidRDefault="00000000" w:rsidRPr="00000000" w14:paraId="0000007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p w:rsidR="00000000" w:rsidDel="00000000" w:rsidP="00000000" w:rsidRDefault="00000000" w:rsidRPr="00000000" w14:paraId="000000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w:t>
            </w:r>
          </w:p>
        </w:tc>
      </w:tr>
      <w:tr>
        <w:trPr>
          <w:cantSplit w:val="0"/>
          <w:tblHeader w:val="0"/>
        </w:trPr>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80">
            <w:pPr>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Sin datos (UNTREF)</w:t>
            </w:r>
            <w:r w:rsidDel="00000000" w:rsidR="00000000" w:rsidRPr="00000000">
              <w:rPr>
                <w:rtl w:val="0"/>
              </w:rPr>
            </w:r>
          </w:p>
        </w:tc>
        <w:tc>
          <w:tcPr/>
          <w:p w:rsidR="00000000" w:rsidDel="00000000" w:rsidP="00000000" w:rsidRDefault="00000000" w:rsidRPr="00000000" w14:paraId="00000081">
            <w:pPr>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67</w:t>
            </w:r>
            <w:r w:rsidDel="00000000" w:rsidR="00000000" w:rsidRPr="00000000">
              <w:rPr>
                <w:rtl w:val="0"/>
              </w:rPr>
            </w:r>
          </w:p>
        </w:tc>
        <w:tc>
          <w:tcPr/>
          <w:p w:rsidR="00000000" w:rsidDel="00000000" w:rsidP="00000000" w:rsidRDefault="00000000" w:rsidRPr="00000000" w14:paraId="00000082">
            <w:pPr>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18,9%</w:t>
            </w:r>
            <w:r w:rsidDel="00000000" w:rsidR="00000000" w:rsidRPr="00000000">
              <w:rPr>
                <w:rtl w:val="0"/>
              </w:rPr>
            </w:r>
          </w:p>
        </w:tc>
      </w:tr>
    </w:tbl>
    <w:p w:rsidR="00000000" w:rsidDel="00000000" w:rsidP="00000000" w:rsidRDefault="00000000" w:rsidRPr="00000000" w14:paraId="00000083">
      <w:pPr>
        <w:rPr>
          <w:i w:val="1"/>
          <w:iCs w:val="1"/>
          <w:color w:val="ee0000"/>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Valoración general de la perspectiva de género</w:t>
      </w:r>
    </w:p>
    <w:p w:rsidR="00000000" w:rsidDel="00000000" w:rsidP="00000000" w:rsidRDefault="00000000" w:rsidRPr="00000000" w14:paraId="00000085">
      <w:pPr>
        <w:rPr/>
      </w:pPr>
      <w:r w:rsidDel="00000000" w:rsidR="00000000" w:rsidRPr="00000000">
        <w:rPr>
          <w:rtl w:val="0"/>
        </w:rPr>
        <w:t xml:space="preserve">Se construyó a partir de la opinión sobre el impacto de la perspectiva de género en la formación, y se observa que cerca de siete de cada diez estudiantes (69,6%) consideran importante o muy importante el impacto de la perspectiva de género en la formación. Un grupo intermedio (18,7%) adopta una posición ambivalente o neutral, mientras que una minoría (8,7%) expresa una valoración negativa. El panorama es, en conjunto, mayoritariamente positivo, con un núcleo no desdeñable de indefinición.</w:t>
      </w:r>
    </w:p>
    <w:p w:rsidR="00000000" w:rsidDel="00000000" w:rsidP="00000000" w:rsidRDefault="00000000" w:rsidRPr="00000000" w14:paraId="00000086">
      <w:pPr>
        <w:rPr>
          <w:b w:val="1"/>
          <w:bCs w:val="1"/>
        </w:rPr>
      </w:pPr>
      <w:r w:rsidDel="00000000" w:rsidR="00000000" w:rsidRPr="00000000">
        <w:rPr>
          <w:rtl w:val="0"/>
        </w:rPr>
      </w:r>
    </w:p>
    <w:p w:rsidR="00000000" w:rsidDel="00000000" w:rsidP="00000000" w:rsidRDefault="00000000" w:rsidRPr="00000000" w14:paraId="00000087">
      <w:pPr>
        <w:rPr>
          <w:b w:val="1"/>
          <w:bCs w:val="1"/>
        </w:rPr>
      </w:pPr>
      <w:r w:rsidDel="00000000" w:rsidR="00000000" w:rsidRPr="00000000">
        <w:rPr>
          <w:b w:val="1"/>
          <w:bCs w:val="1"/>
          <w:rtl w:val="0"/>
        </w:rPr>
        <w:t xml:space="preserve">Tabla 2. Valoración general sobre incluir género</w:t>
      </w:r>
    </w:p>
    <w:tbl>
      <w:tblPr>
        <w:tblStyle w:val="Table2"/>
        <w:tblW w:w="8504.0" w:type="dxa"/>
        <w:jc w:val="left"/>
        <w:tblLayout w:type="fixed"/>
        <w:tblLook w:val="04A0"/>
      </w:tblPr>
      <w:tblGrid>
        <w:gridCol w:w="5234"/>
        <w:gridCol w:w="1636"/>
        <w:gridCol w:w="1634"/>
        <w:tblGridChange w:id="0">
          <w:tblGrid>
            <w:gridCol w:w="5234"/>
            <w:gridCol w:w="1636"/>
            <w:gridCol w:w="1634"/>
          </w:tblGrid>
        </w:tblGridChange>
      </w:tblGrid>
      <w:tr>
        <w:trPr>
          <w:cantSplit w:val="0"/>
          <w:tblHeader w:val="0"/>
        </w:trPr>
        <w:tc>
          <w:tcPr/>
          <w:p w:rsidR="00000000" w:rsidDel="00000000" w:rsidP="00000000" w:rsidRDefault="00000000" w:rsidRPr="00000000" w14:paraId="00000088">
            <w:pPr>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08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w:t>
            </w:r>
          </w:p>
        </w:tc>
        <w:tc>
          <w:tcPr/>
          <w:p w:rsidR="00000000" w:rsidDel="00000000" w:rsidP="00000000" w:rsidRDefault="00000000" w:rsidRPr="00000000" w14:paraId="0000008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t>
            </w:r>
          </w:p>
        </w:tc>
      </w:tr>
      <w:tr>
        <w:trPr>
          <w:cantSplit w:val="0"/>
          <w:tblHeader w:val="0"/>
        </w:trPr>
        <w:tc>
          <w:tcPr/>
          <w:p w:rsidR="00000000" w:rsidDel="00000000" w:rsidP="00000000" w:rsidRDefault="00000000" w:rsidRPr="00000000" w14:paraId="0000008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Valoración positiva (importante o muy importante)</w:t>
            </w:r>
          </w:p>
        </w:tc>
        <w:tc>
          <w:tcPr/>
          <w:p w:rsidR="00000000" w:rsidDel="00000000" w:rsidP="00000000" w:rsidRDefault="00000000" w:rsidRPr="00000000" w14:paraId="0000008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249</w:t>
            </w:r>
          </w:p>
        </w:tc>
        <w:tc>
          <w:tcPr/>
          <w:p w:rsidR="00000000" w:rsidDel="00000000" w:rsidP="00000000" w:rsidRDefault="00000000" w:rsidRPr="00000000" w14:paraId="0000008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69.6%</w:t>
            </w:r>
          </w:p>
        </w:tc>
      </w:tr>
      <w:tr>
        <w:trPr>
          <w:cantSplit w:val="0"/>
          <w:tblHeader w:val="0"/>
        </w:trPr>
        <w:tc>
          <w:tcPr/>
          <w:p w:rsidR="00000000" w:rsidDel="00000000" w:rsidP="00000000" w:rsidRDefault="00000000" w:rsidRPr="00000000" w14:paraId="0000008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Valoración ambivalente (neutra)</w:t>
            </w:r>
          </w:p>
        </w:tc>
        <w:tc>
          <w:tcPr/>
          <w:p w:rsidR="00000000" w:rsidDel="00000000" w:rsidP="00000000" w:rsidRDefault="00000000" w:rsidRPr="00000000" w14:paraId="0000008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67</w:t>
            </w:r>
          </w:p>
        </w:tc>
        <w:tc>
          <w:tcPr/>
          <w:p w:rsidR="00000000" w:rsidDel="00000000" w:rsidP="00000000" w:rsidRDefault="00000000" w:rsidRPr="00000000" w14:paraId="0000009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18.7%</w:t>
            </w:r>
          </w:p>
        </w:tc>
      </w:tr>
      <w:tr>
        <w:trPr>
          <w:cantSplit w:val="0"/>
          <w:tblHeader w:val="0"/>
        </w:trPr>
        <w:tc>
          <w:tcPr/>
          <w:p w:rsidR="00000000" w:rsidDel="00000000" w:rsidP="00000000" w:rsidRDefault="00000000" w:rsidRPr="00000000" w14:paraId="0000009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Valoración negativa (Poco o Nada importante)</w:t>
            </w:r>
          </w:p>
        </w:tc>
        <w:tc>
          <w:tcPr/>
          <w:p w:rsidR="00000000" w:rsidDel="00000000" w:rsidP="00000000" w:rsidRDefault="00000000" w:rsidRPr="00000000" w14:paraId="0000009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w:t>
            </w:r>
          </w:p>
        </w:tc>
        <w:tc>
          <w:tcPr/>
          <w:p w:rsidR="00000000" w:rsidDel="00000000" w:rsidP="00000000" w:rsidRDefault="00000000" w:rsidRPr="00000000" w14:paraId="0000009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r>
        <w:trPr>
          <w:cantSplit w:val="0"/>
          <w:tblHeader w:val="0"/>
        </w:trPr>
        <w:tc>
          <w:tcPr/>
          <w:p w:rsidR="00000000" w:rsidDel="00000000" w:rsidP="00000000" w:rsidRDefault="00000000" w:rsidRPr="00000000" w14:paraId="0000009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responde</w:t>
            </w:r>
          </w:p>
        </w:tc>
        <w:tc>
          <w:tcPr/>
          <w:p w:rsidR="00000000" w:rsidDel="00000000" w:rsidP="00000000" w:rsidRDefault="00000000" w:rsidRPr="00000000" w14:paraId="0000009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p w:rsidR="00000000" w:rsidDel="00000000" w:rsidP="00000000" w:rsidRDefault="00000000" w:rsidRPr="00000000" w14:paraId="0000009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w:t>
            </w:r>
          </w:p>
        </w:tc>
      </w:tr>
      <w:tr>
        <w:trPr>
          <w:cantSplit w:val="0"/>
          <w:tblHeader w:val="0"/>
        </w:trPr>
        <w:tc>
          <w:tcPr/>
          <w:p w:rsidR="00000000" w:rsidDel="00000000" w:rsidP="00000000" w:rsidRDefault="00000000" w:rsidRPr="00000000" w14:paraId="0000009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Total</w:t>
            </w:r>
          </w:p>
        </w:tc>
        <w:tc>
          <w:tcPr/>
          <w:p w:rsidR="00000000" w:rsidDel="00000000" w:rsidP="00000000" w:rsidRDefault="00000000" w:rsidRPr="00000000" w14:paraId="00000098">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357</w:t>
            </w:r>
            <w:r w:rsidDel="00000000" w:rsidR="00000000" w:rsidRPr="00000000">
              <w:rPr>
                <w:rtl w:val="0"/>
              </w:rPr>
            </w:r>
          </w:p>
        </w:tc>
        <w:tc>
          <w:tcPr/>
          <w:p w:rsidR="00000000" w:rsidDel="00000000" w:rsidP="00000000" w:rsidRDefault="00000000" w:rsidRPr="00000000" w14:paraId="00000099">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100,0%</w:t>
            </w:r>
            <w:r w:rsidDel="00000000" w:rsidR="00000000" w:rsidRPr="00000000">
              <w:rPr>
                <w:rtl w:val="0"/>
              </w:rPr>
            </w:r>
          </w:p>
        </w:tc>
      </w:tr>
    </w:tbl>
    <w:p w:rsidR="00000000" w:rsidDel="00000000" w:rsidP="00000000" w:rsidRDefault="00000000" w:rsidRPr="00000000" w14:paraId="0000009A">
      <w:pPr>
        <w:rPr>
          <w:rFonts w:ascii="Arial" w:cs="Arial" w:eastAsia="Arial" w:hAnsi="Arial"/>
          <w:i w:val="1"/>
          <w:iCs w:val="1"/>
          <w:color w:val="555555"/>
          <w:sz w:val="17"/>
          <w:szCs w:val="17"/>
        </w:rPr>
      </w:pP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Género como tema prioritario en la formación</w:t>
      </w:r>
    </w:p>
    <w:p w:rsidR="00000000" w:rsidDel="00000000" w:rsidP="00000000" w:rsidRDefault="00000000" w:rsidRPr="00000000" w14:paraId="0000009C">
      <w:pPr>
        <w:rPr/>
      </w:pPr>
      <w:r w:rsidDel="00000000" w:rsidR="00000000" w:rsidRPr="00000000">
        <w:rPr>
          <w:rtl w:val="0"/>
        </w:rPr>
        <w:t xml:space="preserve">A partir de la consigna abierta que pedía nombrar tres temas prioritarios para la formación en Enfermería, se codificó sí cada estudiante mencionaba de forma explícita o equivalente “género”, “perspectiva o identidad de género”, “diversidad (sexual)”, “equidad” o “violencia de género”, “inclusión/ atención a personas LGBTQI+”. </w:t>
      </w:r>
    </w:p>
    <w:p w:rsidR="00000000" w:rsidDel="00000000" w:rsidP="00000000" w:rsidRDefault="00000000" w:rsidRPr="00000000" w14:paraId="0000009D">
      <w:pPr>
        <w:rPr/>
      </w:pPr>
      <w:r w:rsidDel="00000000" w:rsidR="00000000" w:rsidRPr="00000000">
        <w:rPr>
          <w:rtl w:val="0"/>
        </w:rPr>
        <w:t xml:space="preserve">Cuando se solicita mencionar temas prioritarios sin sugerir opciones, el género aparece de manera muy poco frecuente: sólo el 4,8% del total de estudiantes de las cuatro universidades lo nombra espontáneamente. La mención es algo mayor en UNTREF (11,4%), menor en </w:t>
      </w:r>
      <w:r w:rsidDel="00000000" w:rsidR="00000000" w:rsidRPr="00000000">
        <w:rPr>
          <w:rtl w:val="0"/>
        </w:rPr>
        <w:t xml:space="preserve">UNAHUR</w:t>
      </w:r>
      <w:r w:rsidDel="00000000" w:rsidR="00000000" w:rsidRPr="00000000">
        <w:rPr>
          <w:rtl w:val="0"/>
        </w:rPr>
        <w:t xml:space="preserve"> (4%) y UNSAM (4,3%), y nula en UNNOBA (0%). Este resultado contrasta con las posturas sobre la perspectiva de género cuando se pregunta directamente ya que es valorada como muy importante, pero rara vez emerge de forma espontánea frente a contenidos técnicos y clínicos.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spacing w:after="160" w:before="40" w:lineRule="auto"/>
        <w:rPr>
          <w:rFonts w:ascii="Arial" w:cs="Arial" w:eastAsia="Arial" w:hAnsi="Arial"/>
          <w:b w:val="1"/>
          <w:bCs w:val="1"/>
          <w:i w:val="1"/>
          <w:iCs w:val="1"/>
          <w:color w:val="555555"/>
          <w:sz w:val="17"/>
          <w:szCs w:val="17"/>
        </w:rPr>
      </w:pPr>
      <w:r w:rsidDel="00000000" w:rsidR="00000000" w:rsidRPr="00000000">
        <w:rPr>
          <w:b w:val="1"/>
          <w:bCs w:val="1"/>
          <w:rtl w:val="0"/>
        </w:rPr>
        <w:t xml:space="preserve">Tabla 3. Categorías de temas prioritarios mencionados</w:t>
      </w:r>
      <w:r w:rsidDel="00000000" w:rsidR="00000000" w:rsidRPr="00000000">
        <w:rPr>
          <w:rFonts w:ascii="Calibri" w:cs="Calibri" w:eastAsia="Calibri" w:hAnsi="Calibri"/>
          <w:sz w:val="20"/>
          <w:szCs w:val="20"/>
          <w:rtl w:val="0"/>
        </w:rPr>
        <w:t xml:space="preserve">*</w:t>
      </w:r>
      <w:r w:rsidDel="00000000" w:rsidR="00000000" w:rsidRPr="00000000">
        <w:rPr>
          <w:b w:val="1"/>
          <w:bCs w:val="1"/>
          <w:rtl w:val="0"/>
        </w:rPr>
        <w:t xml:space="preserve"> — por universidad</w:t>
      </w:r>
      <w:r w:rsidDel="00000000" w:rsidR="00000000" w:rsidRPr="00000000">
        <w:rPr>
          <w:rtl w:val="0"/>
        </w:rPr>
      </w:r>
    </w:p>
    <w:tbl>
      <w:tblPr>
        <w:tblStyle w:val="Table3"/>
        <w:tblW w:w="8504.0" w:type="dxa"/>
        <w:jc w:val="left"/>
        <w:tblLayout w:type="fixed"/>
        <w:tblLook w:val="04A0"/>
      </w:tblPr>
      <w:tblGrid>
        <w:gridCol w:w="3403"/>
        <w:gridCol w:w="566"/>
        <w:gridCol w:w="852"/>
        <w:gridCol w:w="425"/>
        <w:gridCol w:w="850"/>
        <w:gridCol w:w="425"/>
        <w:gridCol w:w="850"/>
        <w:gridCol w:w="420"/>
        <w:gridCol w:w="713"/>
        <w:tblGridChange w:id="0">
          <w:tblGrid>
            <w:gridCol w:w="3403"/>
            <w:gridCol w:w="566"/>
            <w:gridCol w:w="852"/>
            <w:gridCol w:w="425"/>
            <w:gridCol w:w="850"/>
            <w:gridCol w:w="425"/>
            <w:gridCol w:w="850"/>
            <w:gridCol w:w="420"/>
            <w:gridCol w:w="713"/>
          </w:tblGrid>
        </w:tblGridChange>
      </w:tblGrid>
      <w:tr>
        <w:trPr>
          <w:cantSplit w:val="0"/>
          <w:trHeight w:val="300" w:hRule="atLeast"/>
          <w:tblHeader w:val="0"/>
        </w:trPr>
        <w:tc>
          <w:tcPr>
            <w:vMerge w:val="restart"/>
          </w:tcPr>
          <w:p w:rsidR="00000000" w:rsidDel="00000000" w:rsidP="00000000" w:rsidRDefault="00000000" w:rsidRPr="00000000" w14:paraId="000000A0">
            <w:pPr>
              <w:rPr>
                <w:rFonts w:ascii="Calibri" w:cs="Calibri" w:eastAsia="Calibri" w:hAnsi="Calibri"/>
                <w:sz w:val="20"/>
                <w:szCs w:val="20"/>
              </w:rPr>
            </w:pPr>
            <w:r w:rsidDel="00000000" w:rsidR="00000000" w:rsidRPr="00000000">
              <w:rPr>
                <w:rtl w:val="0"/>
              </w:rPr>
            </w:r>
          </w:p>
        </w:tc>
        <w:tc>
          <w:tcPr>
            <w:gridSpan w:val="2"/>
            <w:vAlign w:val="center"/>
          </w:tcPr>
          <w:p w:rsidR="00000000" w:rsidDel="00000000" w:rsidP="00000000" w:rsidRDefault="00000000" w:rsidRPr="00000000" w14:paraId="000000A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UNTREF</w:t>
            </w:r>
          </w:p>
        </w:tc>
        <w:tc>
          <w:tcPr>
            <w:gridSpan w:val="2"/>
            <w:vAlign w:val="center"/>
          </w:tcPr>
          <w:p w:rsidR="00000000" w:rsidDel="00000000" w:rsidP="00000000" w:rsidRDefault="00000000" w:rsidRPr="00000000" w14:paraId="000000A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UNAHUR</w:t>
            </w:r>
          </w:p>
        </w:tc>
        <w:tc>
          <w:tcPr>
            <w:gridSpan w:val="2"/>
            <w:vAlign w:val="center"/>
          </w:tcPr>
          <w:p w:rsidR="00000000" w:rsidDel="00000000" w:rsidP="00000000" w:rsidRDefault="00000000" w:rsidRPr="00000000" w14:paraId="000000A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UNNOBA</w:t>
            </w:r>
          </w:p>
        </w:tc>
        <w:tc>
          <w:tcPr>
            <w:gridSpan w:val="2"/>
            <w:vAlign w:val="center"/>
          </w:tcPr>
          <w:p w:rsidR="00000000" w:rsidDel="00000000" w:rsidP="00000000" w:rsidRDefault="00000000" w:rsidRPr="00000000" w14:paraId="000000A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UNSAM</w:t>
            </w:r>
          </w:p>
        </w:tc>
      </w:tr>
      <w:tr>
        <w:trPr>
          <w:cantSplit w:val="0"/>
          <w:trHeight w:val="320" w:hRule="atLeast"/>
          <w:tblHeader w:val="0"/>
        </w:trPr>
        <w:tc>
          <w:tcPr>
            <w:vMerge w:val="continue"/>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A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0A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0A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0A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0A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0A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0B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0B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300" w:hRule="atLeast"/>
          <w:tblHeader w:val="0"/>
        </w:trPr>
        <w:tc>
          <w:tcPr>
            <w:vAlign w:val="center"/>
          </w:tcPr>
          <w:p w:rsidR="00000000" w:rsidDel="00000000" w:rsidP="00000000" w:rsidRDefault="00000000" w:rsidRPr="00000000" w14:paraId="000000B2">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Salud mental y bienestar del personal de enfermería</w:t>
            </w:r>
            <w:r w:rsidDel="00000000" w:rsidR="00000000" w:rsidRPr="00000000">
              <w:rPr>
                <w:rtl w:val="0"/>
              </w:rPr>
            </w:r>
          </w:p>
        </w:tc>
        <w:tc>
          <w:tcPr>
            <w:vAlign w:val="center"/>
          </w:tcPr>
          <w:p w:rsidR="00000000" w:rsidDel="00000000" w:rsidP="00000000" w:rsidRDefault="00000000" w:rsidRPr="00000000" w14:paraId="000000B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Align w:val="center"/>
          </w:tcPr>
          <w:p w:rsidR="00000000" w:rsidDel="00000000" w:rsidP="00000000" w:rsidRDefault="00000000" w:rsidRPr="00000000" w14:paraId="000000B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11,4%</w:t>
            </w:r>
          </w:p>
        </w:tc>
        <w:tc>
          <w:tcPr>
            <w:vAlign w:val="center"/>
          </w:tcPr>
          <w:p w:rsidR="00000000" w:rsidDel="00000000" w:rsidP="00000000" w:rsidRDefault="00000000" w:rsidRPr="00000000" w14:paraId="000000B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Align w:val="center"/>
          </w:tcPr>
          <w:p w:rsidR="00000000" w:rsidDel="00000000" w:rsidP="00000000" w:rsidRDefault="00000000" w:rsidRPr="00000000" w14:paraId="000000B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c>
          <w:tcPr>
            <w:vAlign w:val="center"/>
          </w:tcPr>
          <w:p w:rsidR="00000000" w:rsidDel="00000000" w:rsidP="00000000" w:rsidRDefault="00000000" w:rsidRPr="00000000" w14:paraId="000000B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0B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w:t>
            </w:r>
          </w:p>
        </w:tc>
        <w:tc>
          <w:tcPr>
            <w:vAlign w:val="center"/>
          </w:tcPr>
          <w:p w:rsidR="00000000" w:rsidDel="00000000" w:rsidP="00000000" w:rsidRDefault="00000000" w:rsidRPr="00000000" w14:paraId="000000B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0B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r>
        <w:trPr>
          <w:cantSplit w:val="0"/>
          <w:trHeight w:val="300" w:hRule="atLeast"/>
          <w:tblHeader w:val="0"/>
        </w:trPr>
        <w:tc>
          <w:tcPr>
            <w:vAlign w:val="center"/>
          </w:tcPr>
          <w:p w:rsidR="00000000" w:rsidDel="00000000" w:rsidP="00000000" w:rsidRDefault="00000000" w:rsidRPr="00000000" w14:paraId="000000BB">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Farmacología y procedimientos médicos</w:t>
            </w:r>
            <w:r w:rsidDel="00000000" w:rsidR="00000000" w:rsidRPr="00000000">
              <w:rPr>
                <w:rtl w:val="0"/>
              </w:rPr>
            </w:r>
          </w:p>
        </w:tc>
        <w:tc>
          <w:tcPr>
            <w:vAlign w:val="center"/>
          </w:tcPr>
          <w:p w:rsidR="00000000" w:rsidDel="00000000" w:rsidP="00000000" w:rsidRDefault="00000000" w:rsidRPr="00000000" w14:paraId="000000B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w:t>
            </w:r>
          </w:p>
        </w:tc>
        <w:tc>
          <w:tcPr>
            <w:vAlign w:val="center"/>
          </w:tcPr>
          <w:p w:rsidR="00000000" w:rsidDel="00000000" w:rsidP="00000000" w:rsidRDefault="00000000" w:rsidRPr="00000000" w14:paraId="000000B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24,1%</w:t>
            </w:r>
          </w:p>
        </w:tc>
        <w:tc>
          <w:tcPr>
            <w:vAlign w:val="center"/>
          </w:tcPr>
          <w:p w:rsidR="00000000" w:rsidDel="00000000" w:rsidP="00000000" w:rsidRDefault="00000000" w:rsidRPr="00000000" w14:paraId="000000B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0B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25,5%</w:t>
            </w:r>
          </w:p>
        </w:tc>
        <w:tc>
          <w:tcPr>
            <w:vAlign w:val="center"/>
          </w:tcPr>
          <w:p w:rsidR="00000000" w:rsidDel="00000000" w:rsidP="00000000" w:rsidRDefault="00000000" w:rsidRPr="00000000" w14:paraId="000000C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w:t>
            </w:r>
          </w:p>
        </w:tc>
        <w:tc>
          <w:tcPr>
            <w:vAlign w:val="center"/>
          </w:tcPr>
          <w:p w:rsidR="00000000" w:rsidDel="00000000" w:rsidP="00000000" w:rsidRDefault="00000000" w:rsidRPr="00000000" w14:paraId="000000C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19,3%</w:t>
            </w:r>
          </w:p>
        </w:tc>
        <w:tc>
          <w:tcPr>
            <w:vAlign w:val="center"/>
          </w:tcPr>
          <w:p w:rsidR="00000000" w:rsidDel="00000000" w:rsidP="00000000" w:rsidRDefault="00000000" w:rsidRPr="00000000" w14:paraId="000000C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0C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w:t>
            </w:r>
          </w:p>
        </w:tc>
      </w:tr>
      <w:tr>
        <w:trPr>
          <w:cantSplit w:val="0"/>
          <w:trHeight w:val="300" w:hRule="atLeast"/>
          <w:tblHeader w:val="0"/>
        </w:trPr>
        <w:tc>
          <w:tcPr>
            <w:vAlign w:val="center"/>
          </w:tcPr>
          <w:p w:rsidR="00000000" w:rsidDel="00000000" w:rsidP="00000000" w:rsidRDefault="00000000" w:rsidRPr="00000000" w14:paraId="000000C4">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Lenguaje y comunicación en enfermería</w:t>
            </w:r>
            <w:r w:rsidDel="00000000" w:rsidR="00000000" w:rsidRPr="00000000">
              <w:rPr>
                <w:rtl w:val="0"/>
              </w:rPr>
            </w:r>
          </w:p>
        </w:tc>
        <w:tc>
          <w:tcPr>
            <w:vAlign w:val="center"/>
          </w:tcPr>
          <w:p w:rsidR="00000000" w:rsidDel="00000000" w:rsidP="00000000" w:rsidRDefault="00000000" w:rsidRPr="00000000" w14:paraId="000000C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Align w:val="center"/>
          </w:tcPr>
          <w:p w:rsidR="00000000" w:rsidDel="00000000" w:rsidP="00000000" w:rsidRDefault="00000000" w:rsidRPr="00000000" w14:paraId="000000C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w:t>
            </w:r>
          </w:p>
        </w:tc>
        <w:tc>
          <w:tcPr>
            <w:vAlign w:val="center"/>
          </w:tcPr>
          <w:p w:rsidR="00000000" w:rsidDel="00000000" w:rsidP="00000000" w:rsidRDefault="00000000" w:rsidRPr="00000000" w14:paraId="000000C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vAlign w:val="center"/>
          </w:tcPr>
          <w:p w:rsidR="00000000" w:rsidDel="00000000" w:rsidP="00000000" w:rsidRDefault="00000000" w:rsidRPr="00000000" w14:paraId="000000C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13,4%</w:t>
            </w:r>
          </w:p>
        </w:tc>
        <w:tc>
          <w:tcPr>
            <w:vAlign w:val="center"/>
          </w:tcPr>
          <w:p w:rsidR="00000000" w:rsidDel="00000000" w:rsidP="00000000" w:rsidRDefault="00000000" w:rsidRPr="00000000" w14:paraId="000000C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c>
          <w:tcPr>
            <w:vAlign w:val="center"/>
          </w:tcPr>
          <w:p w:rsidR="00000000" w:rsidDel="00000000" w:rsidP="00000000" w:rsidRDefault="00000000" w:rsidRPr="00000000" w14:paraId="000000C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26,5%</w:t>
            </w:r>
          </w:p>
        </w:tc>
        <w:tc>
          <w:tcPr>
            <w:vAlign w:val="center"/>
          </w:tcPr>
          <w:p w:rsidR="00000000" w:rsidDel="00000000" w:rsidP="00000000" w:rsidRDefault="00000000" w:rsidRPr="00000000" w14:paraId="000000C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0C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r>
        <w:trPr>
          <w:cantSplit w:val="0"/>
          <w:trHeight w:val="300" w:hRule="atLeast"/>
          <w:tblHeader w:val="0"/>
        </w:trPr>
        <w:tc>
          <w:tcPr>
            <w:vAlign w:val="center"/>
          </w:tcPr>
          <w:p w:rsidR="00000000" w:rsidDel="00000000" w:rsidP="00000000" w:rsidRDefault="00000000" w:rsidRPr="00000000" w14:paraId="000000CD">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Perspectiva de género y diversidad</w:t>
            </w:r>
            <w:r w:rsidDel="00000000" w:rsidR="00000000" w:rsidRPr="00000000">
              <w:rPr>
                <w:rtl w:val="0"/>
              </w:rPr>
            </w:r>
          </w:p>
        </w:tc>
        <w:tc>
          <w:tcPr>
            <w:vAlign w:val="center"/>
          </w:tcPr>
          <w:p w:rsidR="00000000" w:rsidDel="00000000" w:rsidP="00000000" w:rsidRDefault="00000000" w:rsidRPr="00000000" w14:paraId="000000CE">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9</w:t>
            </w:r>
          </w:p>
        </w:tc>
        <w:tc>
          <w:tcPr>
            <w:vAlign w:val="center"/>
          </w:tcPr>
          <w:p w:rsidR="00000000" w:rsidDel="00000000" w:rsidP="00000000" w:rsidRDefault="00000000" w:rsidRPr="00000000" w14:paraId="000000CF">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11,4%</w:t>
            </w:r>
          </w:p>
        </w:tc>
        <w:tc>
          <w:tcPr>
            <w:vAlign w:val="center"/>
          </w:tcPr>
          <w:p w:rsidR="00000000" w:rsidDel="00000000" w:rsidP="00000000" w:rsidRDefault="00000000" w:rsidRPr="00000000" w14:paraId="000000D0">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6</w:t>
            </w:r>
          </w:p>
        </w:tc>
        <w:tc>
          <w:tcPr>
            <w:vAlign w:val="center"/>
          </w:tcPr>
          <w:p w:rsidR="00000000" w:rsidDel="00000000" w:rsidP="00000000" w:rsidRDefault="00000000" w:rsidRPr="00000000" w14:paraId="000000D1">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4,0%</w:t>
            </w:r>
          </w:p>
        </w:tc>
        <w:tc>
          <w:tcPr>
            <w:vAlign w:val="center"/>
          </w:tcPr>
          <w:p w:rsidR="00000000" w:rsidDel="00000000" w:rsidP="00000000" w:rsidRDefault="00000000" w:rsidRPr="00000000" w14:paraId="000000D2">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0</w:t>
            </w:r>
          </w:p>
        </w:tc>
        <w:tc>
          <w:tcPr>
            <w:vAlign w:val="center"/>
          </w:tcPr>
          <w:p w:rsidR="00000000" w:rsidDel="00000000" w:rsidP="00000000" w:rsidRDefault="00000000" w:rsidRPr="00000000" w14:paraId="000000D3">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0,0%</w:t>
            </w:r>
          </w:p>
        </w:tc>
        <w:tc>
          <w:tcPr>
            <w:vAlign w:val="center"/>
          </w:tcPr>
          <w:p w:rsidR="00000000" w:rsidDel="00000000" w:rsidP="00000000" w:rsidRDefault="00000000" w:rsidRPr="00000000" w14:paraId="000000D4">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2</w:t>
            </w:r>
          </w:p>
        </w:tc>
        <w:tc>
          <w:tcPr>
            <w:vAlign w:val="center"/>
          </w:tcPr>
          <w:p w:rsidR="00000000" w:rsidDel="00000000" w:rsidP="00000000" w:rsidRDefault="00000000" w:rsidRPr="00000000" w14:paraId="000000D5">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4,3%</w:t>
            </w:r>
          </w:p>
        </w:tc>
      </w:tr>
      <w:tr>
        <w:trPr>
          <w:cantSplit w:val="0"/>
          <w:trHeight w:val="300" w:hRule="atLeast"/>
          <w:tblHeader w:val="0"/>
        </w:trPr>
        <w:tc>
          <w:tcPr>
            <w:vAlign w:val="center"/>
          </w:tcPr>
          <w:p w:rsidR="00000000" w:rsidDel="00000000" w:rsidP="00000000" w:rsidRDefault="00000000" w:rsidRPr="00000000" w14:paraId="000000D6">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Prácticas y simulación clínica</w:t>
            </w:r>
            <w:r w:rsidDel="00000000" w:rsidR="00000000" w:rsidRPr="00000000">
              <w:rPr>
                <w:rtl w:val="0"/>
              </w:rPr>
            </w:r>
          </w:p>
        </w:tc>
        <w:tc>
          <w:tcPr>
            <w:vAlign w:val="center"/>
          </w:tcPr>
          <w:p w:rsidR="00000000" w:rsidDel="00000000" w:rsidP="00000000" w:rsidRDefault="00000000" w:rsidRPr="00000000" w14:paraId="000000D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0D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8,9%</w:t>
            </w:r>
          </w:p>
        </w:tc>
        <w:tc>
          <w:tcPr>
            <w:vAlign w:val="center"/>
          </w:tcPr>
          <w:p w:rsidR="00000000" w:rsidDel="00000000" w:rsidP="00000000" w:rsidRDefault="00000000" w:rsidRPr="00000000" w14:paraId="000000D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w:t>
            </w:r>
          </w:p>
        </w:tc>
        <w:tc>
          <w:tcPr>
            <w:vAlign w:val="center"/>
          </w:tcPr>
          <w:p w:rsidR="00000000" w:rsidDel="00000000" w:rsidP="00000000" w:rsidRDefault="00000000" w:rsidRPr="00000000" w14:paraId="000000D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17,4%</w:t>
            </w:r>
          </w:p>
        </w:tc>
        <w:tc>
          <w:tcPr>
            <w:vAlign w:val="center"/>
          </w:tcPr>
          <w:p w:rsidR="00000000" w:rsidDel="00000000" w:rsidP="00000000" w:rsidRDefault="00000000" w:rsidRPr="00000000" w14:paraId="000000D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vAlign w:val="center"/>
          </w:tcPr>
          <w:p w:rsidR="00000000" w:rsidDel="00000000" w:rsidP="00000000" w:rsidRDefault="00000000" w:rsidRPr="00000000" w14:paraId="000000D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16,9%</w:t>
            </w:r>
          </w:p>
        </w:tc>
        <w:tc>
          <w:tcPr>
            <w:vAlign w:val="center"/>
          </w:tcPr>
          <w:p w:rsidR="00000000" w:rsidDel="00000000" w:rsidP="00000000" w:rsidRDefault="00000000" w:rsidRPr="00000000" w14:paraId="000000D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0D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26,1%</w:t>
            </w:r>
          </w:p>
        </w:tc>
      </w:tr>
      <w:tr>
        <w:trPr>
          <w:cantSplit w:val="0"/>
          <w:trHeight w:val="300" w:hRule="atLeast"/>
          <w:tblHeader w:val="0"/>
        </w:trPr>
        <w:tc>
          <w:tcPr>
            <w:vAlign w:val="center"/>
          </w:tcPr>
          <w:p w:rsidR="00000000" w:rsidDel="00000000" w:rsidP="00000000" w:rsidRDefault="00000000" w:rsidRPr="00000000" w14:paraId="000000DF">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Cuidados paliativos y atención al paciente crítico</w:t>
            </w:r>
            <w:r w:rsidDel="00000000" w:rsidR="00000000" w:rsidRPr="00000000">
              <w:rPr>
                <w:rtl w:val="0"/>
              </w:rPr>
            </w:r>
          </w:p>
        </w:tc>
        <w:tc>
          <w:tcPr>
            <w:vAlign w:val="center"/>
          </w:tcPr>
          <w:p w:rsidR="00000000" w:rsidDel="00000000" w:rsidP="00000000" w:rsidRDefault="00000000" w:rsidRPr="00000000" w14:paraId="000000E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Align w:val="center"/>
          </w:tcPr>
          <w:p w:rsidR="00000000" w:rsidDel="00000000" w:rsidP="00000000" w:rsidRDefault="00000000" w:rsidRPr="00000000" w14:paraId="000000E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7,6%</w:t>
            </w:r>
          </w:p>
        </w:tc>
        <w:tc>
          <w:tcPr>
            <w:vAlign w:val="center"/>
          </w:tcPr>
          <w:p w:rsidR="00000000" w:rsidDel="00000000" w:rsidP="00000000" w:rsidRDefault="00000000" w:rsidRPr="00000000" w14:paraId="000000E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Align w:val="center"/>
          </w:tcPr>
          <w:p w:rsidR="00000000" w:rsidDel="00000000" w:rsidP="00000000" w:rsidRDefault="00000000" w:rsidRPr="00000000" w14:paraId="000000E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w:t>
            </w:r>
          </w:p>
        </w:tc>
        <w:tc>
          <w:tcPr>
            <w:vAlign w:val="center"/>
          </w:tcPr>
          <w:p w:rsidR="00000000" w:rsidDel="00000000" w:rsidP="00000000" w:rsidRDefault="00000000" w:rsidRPr="00000000" w14:paraId="000000E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0E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4,8%</w:t>
            </w:r>
          </w:p>
        </w:tc>
        <w:tc>
          <w:tcPr>
            <w:vAlign w:val="center"/>
          </w:tcPr>
          <w:p w:rsidR="00000000" w:rsidDel="00000000" w:rsidP="00000000" w:rsidRDefault="00000000" w:rsidRPr="00000000" w14:paraId="000000E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0E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r>
      <w:tr>
        <w:trPr>
          <w:cantSplit w:val="0"/>
          <w:trHeight w:val="300" w:hRule="atLeast"/>
          <w:tblHeader w:val="0"/>
        </w:trPr>
        <w:tc>
          <w:tcPr>
            <w:vAlign w:val="center"/>
          </w:tcPr>
          <w:p w:rsidR="00000000" w:rsidDel="00000000" w:rsidP="00000000" w:rsidRDefault="00000000" w:rsidRPr="00000000" w14:paraId="000000E8">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Aspectos éticos, legales y gestión en enfermería</w:t>
            </w:r>
            <w:r w:rsidDel="00000000" w:rsidR="00000000" w:rsidRPr="00000000">
              <w:rPr>
                <w:rtl w:val="0"/>
              </w:rPr>
            </w:r>
          </w:p>
        </w:tc>
        <w:tc>
          <w:tcPr>
            <w:vAlign w:val="center"/>
          </w:tcPr>
          <w:p w:rsidR="00000000" w:rsidDel="00000000" w:rsidP="00000000" w:rsidRDefault="00000000" w:rsidRPr="00000000" w14:paraId="000000E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Align w:val="center"/>
          </w:tcPr>
          <w:p w:rsidR="00000000" w:rsidDel="00000000" w:rsidP="00000000" w:rsidRDefault="00000000" w:rsidRPr="00000000" w14:paraId="000000E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11,4%</w:t>
            </w:r>
          </w:p>
        </w:tc>
        <w:tc>
          <w:tcPr>
            <w:vAlign w:val="center"/>
          </w:tcPr>
          <w:p w:rsidR="00000000" w:rsidDel="00000000" w:rsidP="00000000" w:rsidRDefault="00000000" w:rsidRPr="00000000" w14:paraId="000000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w:t>
            </w:r>
          </w:p>
        </w:tc>
        <w:tc>
          <w:tcPr>
            <w:vAlign w:val="center"/>
          </w:tcPr>
          <w:p w:rsidR="00000000" w:rsidDel="00000000" w:rsidP="00000000" w:rsidRDefault="00000000" w:rsidRPr="00000000" w14:paraId="000000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20,1%</w:t>
            </w:r>
          </w:p>
        </w:tc>
        <w:tc>
          <w:tcPr>
            <w:vAlign w:val="center"/>
          </w:tcPr>
          <w:p w:rsidR="00000000" w:rsidDel="00000000" w:rsidP="00000000" w:rsidRDefault="00000000" w:rsidRPr="00000000" w14:paraId="000000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w:t>
            </w:r>
          </w:p>
        </w:tc>
        <w:tc>
          <w:tcPr>
            <w:vAlign w:val="center"/>
          </w:tcPr>
          <w:p w:rsidR="00000000" w:rsidDel="00000000" w:rsidP="00000000" w:rsidRDefault="00000000" w:rsidRPr="00000000" w14:paraId="000000E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22,9%</w:t>
            </w:r>
          </w:p>
        </w:tc>
        <w:tc>
          <w:tcPr>
            <w:vAlign w:val="center"/>
          </w:tcPr>
          <w:p w:rsidR="00000000" w:rsidDel="00000000" w:rsidP="00000000" w:rsidRDefault="00000000" w:rsidRPr="00000000" w14:paraId="000000E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Align w:val="center"/>
          </w:tcPr>
          <w:p w:rsidR="00000000" w:rsidDel="00000000" w:rsidP="00000000" w:rsidRDefault="00000000" w:rsidRPr="00000000" w14:paraId="000000F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10,9%</w:t>
            </w:r>
          </w:p>
        </w:tc>
      </w:tr>
      <w:tr>
        <w:trPr>
          <w:cantSplit w:val="0"/>
          <w:trHeight w:val="300" w:hRule="atLeast"/>
          <w:tblHeader w:val="0"/>
        </w:trPr>
        <w:tc>
          <w:tcPr>
            <w:vAlign w:val="center"/>
          </w:tcPr>
          <w:p w:rsidR="00000000" w:rsidDel="00000000" w:rsidP="00000000" w:rsidRDefault="00000000" w:rsidRPr="00000000" w14:paraId="000000F1">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Formación complementaria y orientación laboral</w:t>
            </w:r>
            <w:r w:rsidDel="00000000" w:rsidR="00000000" w:rsidRPr="00000000">
              <w:rPr>
                <w:rtl w:val="0"/>
              </w:rPr>
            </w:r>
          </w:p>
        </w:tc>
        <w:tc>
          <w:tcPr>
            <w:vAlign w:val="center"/>
          </w:tcPr>
          <w:p w:rsidR="00000000" w:rsidDel="00000000" w:rsidP="00000000" w:rsidRDefault="00000000" w:rsidRPr="00000000" w14:paraId="000000F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0F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0F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0F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vAlign w:val="center"/>
          </w:tcPr>
          <w:p w:rsidR="00000000" w:rsidDel="00000000" w:rsidP="00000000" w:rsidRDefault="00000000" w:rsidRPr="00000000" w14:paraId="000000F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vAlign w:val="center"/>
          </w:tcPr>
          <w:p w:rsidR="00000000" w:rsidDel="00000000" w:rsidP="00000000" w:rsidRDefault="00000000" w:rsidRPr="00000000" w14:paraId="000000F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c>
          <w:tcPr>
            <w:vAlign w:val="center"/>
          </w:tcPr>
          <w:p w:rsidR="00000000" w:rsidDel="00000000" w:rsidP="00000000" w:rsidRDefault="00000000" w:rsidRPr="00000000" w14:paraId="000000F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vAlign w:val="center"/>
          </w:tcPr>
          <w:p w:rsidR="00000000" w:rsidDel="00000000" w:rsidP="00000000" w:rsidRDefault="00000000" w:rsidRPr="00000000" w14:paraId="000000F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r>
      <w:tr>
        <w:trPr>
          <w:cantSplit w:val="0"/>
          <w:trHeight w:val="300" w:hRule="atLeast"/>
          <w:tblHeader w:val="0"/>
        </w:trPr>
        <w:tc>
          <w:tcPr>
            <w:vAlign w:val="center"/>
          </w:tcPr>
          <w:p w:rsidR="00000000" w:rsidDel="00000000" w:rsidP="00000000" w:rsidRDefault="00000000" w:rsidRPr="00000000" w14:paraId="000000FA">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Tecnología e innovación en enfermería</w:t>
            </w:r>
            <w:r w:rsidDel="00000000" w:rsidR="00000000" w:rsidRPr="00000000">
              <w:rPr>
                <w:rtl w:val="0"/>
              </w:rPr>
            </w:r>
          </w:p>
        </w:tc>
        <w:tc>
          <w:tcPr>
            <w:vAlign w:val="center"/>
          </w:tcPr>
          <w:p w:rsidR="00000000" w:rsidDel="00000000" w:rsidP="00000000" w:rsidRDefault="00000000" w:rsidRPr="00000000" w14:paraId="000000F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0F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0F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0F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vAlign w:val="center"/>
          </w:tcPr>
          <w:p w:rsidR="00000000" w:rsidDel="00000000" w:rsidP="00000000" w:rsidRDefault="00000000" w:rsidRPr="00000000" w14:paraId="000000F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10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10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vAlign w:val="center"/>
          </w:tcPr>
          <w:p w:rsidR="00000000" w:rsidDel="00000000" w:rsidP="00000000" w:rsidRDefault="00000000" w:rsidRPr="00000000" w14:paraId="0000010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r>
      <w:tr>
        <w:trPr>
          <w:cantSplit w:val="0"/>
          <w:trHeight w:val="300" w:hRule="atLeast"/>
          <w:tblHeader w:val="0"/>
        </w:trPr>
        <w:tc>
          <w:tcPr>
            <w:vAlign w:val="center"/>
          </w:tcPr>
          <w:p w:rsidR="00000000" w:rsidDel="00000000" w:rsidP="00000000" w:rsidRDefault="00000000" w:rsidRPr="00000000" w14:paraId="00000103">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Educación e interdisciplinariedad</w:t>
            </w:r>
            <w:r w:rsidDel="00000000" w:rsidR="00000000" w:rsidRPr="00000000">
              <w:rPr>
                <w:rtl w:val="0"/>
              </w:rPr>
            </w:r>
          </w:p>
        </w:tc>
        <w:tc>
          <w:tcPr>
            <w:vAlign w:val="center"/>
          </w:tcPr>
          <w:p w:rsidR="00000000" w:rsidDel="00000000" w:rsidP="00000000" w:rsidRDefault="00000000" w:rsidRPr="00000000" w14:paraId="0000010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10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5,1%</w:t>
            </w:r>
          </w:p>
        </w:tc>
        <w:tc>
          <w:tcPr>
            <w:vAlign w:val="center"/>
          </w:tcPr>
          <w:p w:rsidR="00000000" w:rsidDel="00000000" w:rsidP="00000000" w:rsidRDefault="00000000" w:rsidRPr="00000000" w14:paraId="0000010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10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w:t>
            </w:r>
          </w:p>
        </w:tc>
        <w:tc>
          <w:tcPr>
            <w:vAlign w:val="center"/>
          </w:tcPr>
          <w:p w:rsidR="00000000" w:rsidDel="00000000" w:rsidP="00000000" w:rsidRDefault="00000000" w:rsidRPr="00000000" w14:paraId="0000010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Align w:val="center"/>
          </w:tcPr>
          <w:p w:rsidR="00000000" w:rsidDel="00000000" w:rsidP="00000000" w:rsidRDefault="00000000" w:rsidRPr="00000000" w14:paraId="0000010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15,7%</w:t>
            </w:r>
          </w:p>
        </w:tc>
        <w:tc>
          <w:tcPr>
            <w:vAlign w:val="center"/>
          </w:tcPr>
          <w:p w:rsidR="00000000" w:rsidDel="00000000" w:rsidP="00000000" w:rsidRDefault="00000000" w:rsidRPr="00000000" w14:paraId="0000010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Align w:val="center"/>
          </w:tcPr>
          <w:p w:rsidR="00000000" w:rsidDel="00000000" w:rsidP="00000000" w:rsidRDefault="00000000" w:rsidRPr="00000000" w14:paraId="0000010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17,4%</w:t>
            </w:r>
          </w:p>
        </w:tc>
      </w:tr>
      <w:tr>
        <w:trPr>
          <w:cantSplit w:val="0"/>
          <w:trHeight w:val="24.000000000005457" w:hRule="atLeast"/>
          <w:tblHeader w:val="0"/>
        </w:trPr>
        <w:tc>
          <w:tcPr>
            <w:vAlign w:val="center"/>
          </w:tcPr>
          <w:p w:rsidR="00000000" w:rsidDel="00000000" w:rsidP="00000000" w:rsidRDefault="00000000" w:rsidRPr="00000000" w14:paraId="0000010C">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Otros</w:t>
            </w:r>
            <w:r w:rsidDel="00000000" w:rsidR="00000000" w:rsidRPr="00000000">
              <w:rPr>
                <w:rtl w:val="0"/>
              </w:rPr>
            </w:r>
          </w:p>
        </w:tc>
        <w:tc>
          <w:tcPr>
            <w:vAlign w:val="center"/>
          </w:tcPr>
          <w:p w:rsidR="00000000" w:rsidDel="00000000" w:rsidP="00000000" w:rsidRDefault="00000000" w:rsidRPr="00000000" w14:paraId="0000010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w:t>
            </w:r>
          </w:p>
        </w:tc>
        <w:tc>
          <w:tcPr>
            <w:vAlign w:val="center"/>
          </w:tcPr>
          <w:p w:rsidR="00000000" w:rsidDel="00000000" w:rsidP="00000000" w:rsidRDefault="00000000" w:rsidRPr="00000000" w14:paraId="0000010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36,7%</w:t>
            </w:r>
          </w:p>
        </w:tc>
        <w:tc>
          <w:tcPr>
            <w:vAlign w:val="center"/>
          </w:tcPr>
          <w:p w:rsidR="00000000" w:rsidDel="00000000" w:rsidP="00000000" w:rsidRDefault="00000000" w:rsidRPr="00000000" w14:paraId="0000010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w:t>
            </w:r>
          </w:p>
        </w:tc>
        <w:tc>
          <w:tcPr>
            <w:vAlign w:val="center"/>
          </w:tcPr>
          <w:p w:rsidR="00000000" w:rsidDel="00000000" w:rsidP="00000000" w:rsidRDefault="00000000" w:rsidRPr="00000000" w14:paraId="0000011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27,5%</w:t>
            </w:r>
          </w:p>
        </w:tc>
        <w:tc>
          <w:tcPr>
            <w:vAlign w:val="center"/>
          </w:tcPr>
          <w:p w:rsidR="00000000" w:rsidDel="00000000" w:rsidP="00000000" w:rsidRDefault="00000000" w:rsidRPr="00000000" w14:paraId="0000011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w:t>
            </w:r>
          </w:p>
        </w:tc>
        <w:tc>
          <w:tcPr>
            <w:vAlign w:val="center"/>
          </w:tcPr>
          <w:p w:rsidR="00000000" w:rsidDel="00000000" w:rsidP="00000000" w:rsidRDefault="00000000" w:rsidRPr="00000000" w14:paraId="0000011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25,3%</w:t>
            </w:r>
          </w:p>
        </w:tc>
        <w:tc>
          <w:tcPr>
            <w:vAlign w:val="center"/>
          </w:tcPr>
          <w:p w:rsidR="00000000" w:rsidDel="00000000" w:rsidP="00000000" w:rsidRDefault="00000000" w:rsidRPr="00000000" w14:paraId="0000011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vAlign w:val="center"/>
          </w:tcPr>
          <w:p w:rsidR="00000000" w:rsidDel="00000000" w:rsidP="00000000" w:rsidRDefault="00000000" w:rsidRPr="00000000" w14:paraId="0000011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30,4%</w:t>
            </w:r>
          </w:p>
        </w:tc>
      </w:tr>
      <w:tr>
        <w:trPr>
          <w:cantSplit w:val="0"/>
          <w:tblHeader w:val="0"/>
        </w:trPr>
        <w:tc>
          <w:tcPr>
            <w:vAlign w:val="center"/>
          </w:tcPr>
          <w:p w:rsidR="00000000" w:rsidDel="00000000" w:rsidP="00000000" w:rsidRDefault="00000000" w:rsidRPr="00000000" w14:paraId="00000115">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responde</w:t>
            </w:r>
            <w:r w:rsidDel="00000000" w:rsidR="00000000" w:rsidRPr="00000000">
              <w:rPr>
                <w:rtl w:val="0"/>
              </w:rPr>
            </w:r>
          </w:p>
        </w:tc>
        <w:tc>
          <w:tcPr>
            <w:vAlign w:val="center"/>
          </w:tcPr>
          <w:p w:rsidR="00000000" w:rsidDel="00000000" w:rsidP="00000000" w:rsidRDefault="00000000" w:rsidRPr="00000000" w14:paraId="0000011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1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11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Align w:val="center"/>
          </w:tcPr>
          <w:p w:rsidR="00000000" w:rsidDel="00000000" w:rsidP="00000000" w:rsidRDefault="00000000" w:rsidRPr="00000000" w14:paraId="0000011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Align w:val="center"/>
          </w:tcPr>
          <w:p w:rsidR="00000000" w:rsidDel="00000000" w:rsidP="00000000" w:rsidRDefault="00000000" w:rsidRPr="00000000" w14:paraId="0000011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11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11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11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r>
      <w:tr>
        <w:trPr>
          <w:cantSplit w:val="0"/>
          <w:trHeight w:val="62" w:hRule="atLeast"/>
          <w:tblHeader w:val="0"/>
        </w:trPr>
        <w:tc>
          <w:tcPr>
            <w:gridSpan w:val="9"/>
            <w:vAlign w:val="center"/>
          </w:tcPr>
          <w:p w:rsidR="00000000" w:rsidDel="00000000" w:rsidP="00000000" w:rsidRDefault="00000000" w:rsidRPr="00000000" w14:paraId="0000011E">
            <w:pPr>
              <w:jc w:val="left"/>
              <w:rPr>
                <w:rFonts w:ascii="Calibri" w:cs="Calibri" w:eastAsia="Calibri" w:hAnsi="Calibri"/>
                <w:b w:val="0"/>
                <w:bCs w:val="0"/>
                <w:sz w:val="20"/>
                <w:szCs w:val="20"/>
              </w:rPr>
            </w:pPr>
            <w:r w:rsidDel="00000000" w:rsidR="00000000" w:rsidRPr="00000000">
              <w:rPr>
                <w:rFonts w:ascii="Calibri" w:cs="Calibri" w:eastAsia="Calibri" w:hAnsi="Calibri"/>
                <w:b w:val="0"/>
                <w:bCs w:val="0"/>
                <w:smallCaps w:val="0"/>
                <w:sz w:val="15"/>
                <w:szCs w:val="15"/>
                <w:rtl w:val="0"/>
              </w:rPr>
              <w:t xml:space="preserve">Nota: respuestas múltiples (una respuesta puede contar en &gt;1 categoría).</w:t>
            </w:r>
            <w:r w:rsidDel="00000000" w:rsidR="00000000" w:rsidRPr="00000000">
              <w:rPr>
                <w:rtl w:val="0"/>
              </w:rPr>
            </w:r>
          </w:p>
        </w:tc>
      </w:tr>
    </w:tbl>
    <w:p w:rsidR="00000000" w:rsidDel="00000000" w:rsidP="00000000" w:rsidRDefault="00000000" w:rsidRPr="00000000" w14:paraId="00000127">
      <w:pPr>
        <w:rPr>
          <w:b w:val="1"/>
          <w:bCs w:val="1"/>
        </w:rPr>
      </w:pPr>
      <w:r w:rsidDel="00000000" w:rsidR="00000000" w:rsidRPr="00000000">
        <w:rPr>
          <w:rtl w:val="0"/>
        </w:rPr>
      </w:r>
    </w:p>
    <w:p w:rsidR="00000000" w:rsidDel="00000000" w:rsidP="00000000" w:rsidRDefault="00000000" w:rsidRPr="00000000" w14:paraId="00000128">
      <w:pPr>
        <w:rPr>
          <w:b w:val="1"/>
          <w:bCs w:val="1"/>
        </w:rPr>
      </w:pPr>
      <w:r w:rsidDel="00000000" w:rsidR="00000000" w:rsidRPr="00000000">
        <w:rPr>
          <w:b w:val="1"/>
          <w:bCs w:val="1"/>
          <w:rtl w:val="0"/>
        </w:rPr>
        <w:t xml:space="preserve">Facilitadores </w:t>
      </w:r>
    </w:p>
    <w:p w:rsidR="00000000" w:rsidDel="00000000" w:rsidP="00000000" w:rsidRDefault="00000000" w:rsidRPr="00000000" w14:paraId="00000129">
      <w:pPr>
        <w:rPr/>
      </w:pPr>
      <w:r w:rsidDel="00000000" w:rsidR="00000000" w:rsidRPr="00000000">
        <w:rPr>
          <w:rtl w:val="0"/>
        </w:rPr>
        <w:t xml:space="preserve">Se identificaron a partir de las respuestas abiertas sobre aspectos positivos para implementar el género en la formación. El más mencionado es la mejora de la calidad de atención y comunicación en salud (24,4%), seguido del fomento de la equidad, la inclusión y el respeto a la diversidad (18,8%) así como la mirada sobre la perspectiva de género como herramienta para abordar desigualdades y violencia (11,5%). En menor medida aparecen el desarrollo de habilidades y valores profesionales (8,7%) y el fortalecimiento académico-curricular (3,9%).</w:t>
      </w:r>
    </w:p>
    <w:p w:rsidR="00000000" w:rsidDel="00000000" w:rsidP="00000000" w:rsidRDefault="00000000" w:rsidRPr="00000000" w14:paraId="0000012A">
      <w:pPr>
        <w:rPr/>
      </w:pPr>
      <w:r w:rsidDel="00000000" w:rsidR="00000000" w:rsidRPr="00000000">
        <w:rPr>
          <w:rtl w:val="0"/>
        </w:rPr>
        <w:t xml:space="preserve">Los argumentos de los/as estudiantes asocian el género, ante todo, con el cuidado y el trato hacia las personas usuarias de los servicios de salud y, secundariamente, con derechos, inclusión y prevención de violencias. Ejemplos de respuestas abiertas en este sentido son frases como: “Garantizar trato justo”; “Igualdad, empatía”; “Promoción de derechos”. Entre universidades, el patrón es convergente en cuanto al predominio de la mejora del cuidado. La </w:t>
      </w:r>
      <w:r w:rsidDel="00000000" w:rsidR="00000000" w:rsidRPr="00000000">
        <w:rPr>
          <w:rtl w:val="0"/>
        </w:rPr>
        <w:t xml:space="preserve">UNAHUR</w:t>
      </w:r>
      <w:r w:rsidDel="00000000" w:rsidR="00000000" w:rsidRPr="00000000">
        <w:rPr>
          <w:rtl w:val="0"/>
        </w:rPr>
        <w:t xml:space="preserve"> muestra una proporción comparativamente mayor de menciones a la prevención de desigualdades y violencia (17,4%), mientras que UNNOBA presenta la mayor proporción de no respuesta en esta variable (32,5%).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b w:val="1"/>
          <w:bCs w:val="1"/>
        </w:rPr>
      </w:pPr>
      <w:r w:rsidDel="00000000" w:rsidR="00000000" w:rsidRPr="00000000">
        <w:rPr>
          <w:b w:val="1"/>
          <w:bCs w:val="1"/>
          <w:rtl w:val="0"/>
        </w:rPr>
        <w:t xml:space="preserve">Tabla 4. Facilitadores percibidos*</w:t>
      </w:r>
    </w:p>
    <w:tbl>
      <w:tblPr>
        <w:tblStyle w:val="Table4"/>
        <w:tblW w:w="8504.0" w:type="dxa"/>
        <w:jc w:val="left"/>
        <w:tblLayout w:type="fixed"/>
        <w:tblLook w:val="04A0"/>
      </w:tblPr>
      <w:tblGrid>
        <w:gridCol w:w="7087"/>
        <w:gridCol w:w="553"/>
        <w:gridCol w:w="864"/>
        <w:tblGridChange w:id="0">
          <w:tblGrid>
            <w:gridCol w:w="7087"/>
            <w:gridCol w:w="553"/>
            <w:gridCol w:w="864"/>
          </w:tblGrid>
        </w:tblGridChange>
      </w:tblGrid>
      <w:tr>
        <w:trPr>
          <w:cantSplit w:val="0"/>
          <w:tblHeader w:val="0"/>
        </w:trPr>
        <w:tc>
          <w:tcPr/>
          <w:p w:rsidR="00000000" w:rsidDel="00000000" w:rsidP="00000000" w:rsidRDefault="00000000" w:rsidRPr="00000000" w14:paraId="0000012D">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2E">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w:t>
            </w:r>
            <w:r w:rsidDel="00000000" w:rsidR="00000000" w:rsidRPr="00000000">
              <w:rPr>
                <w:rtl w:val="0"/>
              </w:rPr>
            </w:r>
          </w:p>
        </w:tc>
        <w:tc>
          <w:tcPr/>
          <w:p w:rsidR="00000000" w:rsidDel="00000000" w:rsidP="00000000" w:rsidRDefault="00000000" w:rsidRPr="00000000" w14:paraId="000001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p w:rsidR="00000000" w:rsidDel="00000000" w:rsidP="00000000" w:rsidRDefault="00000000" w:rsidRPr="00000000" w14:paraId="00000130">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Mejora de la calidad de atención y comunicación en salud</w:t>
            </w:r>
            <w:r w:rsidDel="00000000" w:rsidR="00000000" w:rsidRPr="00000000">
              <w:rPr>
                <w:rtl w:val="0"/>
              </w:rPr>
            </w:r>
          </w:p>
        </w:tc>
        <w:tc>
          <w:tcPr/>
          <w:p w:rsidR="00000000" w:rsidDel="00000000" w:rsidP="00000000" w:rsidRDefault="00000000" w:rsidRPr="00000000" w14:paraId="000001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c>
          <w:tcPr/>
          <w:p w:rsidR="00000000" w:rsidDel="00000000" w:rsidP="00000000" w:rsidRDefault="00000000" w:rsidRPr="00000000" w14:paraId="000001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24.4%</w:t>
            </w:r>
          </w:p>
        </w:tc>
      </w:tr>
      <w:tr>
        <w:trPr>
          <w:cantSplit w:val="0"/>
          <w:tblHeader w:val="0"/>
        </w:trPr>
        <w:tc>
          <w:tcPr/>
          <w:p w:rsidR="00000000" w:rsidDel="00000000" w:rsidP="00000000" w:rsidRDefault="00000000" w:rsidRPr="00000000" w14:paraId="00000133">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Fomento de la equidad, inclusión y respeto a la diversidad</w:t>
            </w:r>
            <w:r w:rsidDel="00000000" w:rsidR="00000000" w:rsidRPr="00000000">
              <w:rPr>
                <w:rtl w:val="0"/>
              </w:rPr>
            </w:r>
          </w:p>
        </w:tc>
        <w:tc>
          <w:tcPr/>
          <w:p w:rsidR="00000000" w:rsidDel="00000000" w:rsidP="00000000" w:rsidRDefault="00000000" w:rsidRPr="00000000" w14:paraId="000001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67</w:t>
            </w:r>
          </w:p>
        </w:tc>
        <w:tc>
          <w:tcPr/>
          <w:p w:rsidR="00000000" w:rsidDel="00000000" w:rsidP="00000000" w:rsidRDefault="00000000" w:rsidRPr="00000000" w14:paraId="000001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18.8%</w:t>
            </w:r>
          </w:p>
        </w:tc>
      </w:tr>
      <w:tr>
        <w:trPr>
          <w:cantSplit w:val="0"/>
          <w:tblHeader w:val="0"/>
        </w:trPr>
        <w:tc>
          <w:tcPr/>
          <w:p w:rsidR="00000000" w:rsidDel="00000000" w:rsidP="00000000" w:rsidRDefault="00000000" w:rsidRPr="00000000" w14:paraId="00000136">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Prevención y abordaje de desigualdades y violencia de género</w:t>
            </w:r>
            <w:r w:rsidDel="00000000" w:rsidR="00000000" w:rsidRPr="00000000">
              <w:rPr>
                <w:rtl w:val="0"/>
              </w:rPr>
            </w:r>
          </w:p>
        </w:tc>
        <w:tc>
          <w:tcPr/>
          <w:p w:rsidR="00000000" w:rsidDel="00000000" w:rsidP="00000000" w:rsidRDefault="00000000" w:rsidRPr="00000000" w14:paraId="00000137">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41</w:t>
            </w:r>
          </w:p>
        </w:tc>
        <w:tc>
          <w:tcPr/>
          <w:p w:rsidR="00000000" w:rsidDel="00000000" w:rsidP="00000000" w:rsidRDefault="00000000" w:rsidRPr="00000000" w14:paraId="00000138">
            <w:pP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11.5%</w:t>
            </w:r>
          </w:p>
        </w:tc>
      </w:tr>
      <w:tr>
        <w:trPr>
          <w:cantSplit w:val="0"/>
          <w:tblHeader w:val="0"/>
        </w:trPr>
        <w:tc>
          <w:tcPr/>
          <w:p w:rsidR="00000000" w:rsidDel="00000000" w:rsidP="00000000" w:rsidRDefault="00000000" w:rsidRPr="00000000" w14:paraId="00000139">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Desarrollo de habilidades y valores en la práctica profesional</w:t>
            </w:r>
            <w:r w:rsidDel="00000000" w:rsidR="00000000" w:rsidRPr="00000000">
              <w:rPr>
                <w:rtl w:val="0"/>
              </w:rPr>
            </w:r>
          </w:p>
        </w:tc>
        <w:tc>
          <w:tcPr/>
          <w:p w:rsidR="00000000" w:rsidDel="00000000" w:rsidP="00000000" w:rsidRDefault="00000000" w:rsidRPr="00000000" w14:paraId="000001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w:t>
            </w:r>
          </w:p>
        </w:tc>
        <w:tc>
          <w:tcPr/>
          <w:p w:rsidR="00000000" w:rsidDel="00000000" w:rsidP="00000000" w:rsidRDefault="00000000" w:rsidRPr="00000000" w14:paraId="0000013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r>
        <w:trPr>
          <w:cantSplit w:val="0"/>
          <w:tblHeader w:val="0"/>
        </w:trPr>
        <w:tc>
          <w:tcPr/>
          <w:p w:rsidR="00000000" w:rsidDel="00000000" w:rsidP="00000000" w:rsidRDefault="00000000" w:rsidRPr="00000000" w14:paraId="0000013C">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Fortalecimiento académico y curricular de la formación</w:t>
            </w:r>
            <w:r w:rsidDel="00000000" w:rsidR="00000000" w:rsidRPr="00000000">
              <w:rPr>
                <w:rtl w:val="0"/>
              </w:rPr>
            </w:r>
          </w:p>
        </w:tc>
        <w:tc>
          <w:tcPr/>
          <w:p w:rsidR="00000000" w:rsidDel="00000000" w:rsidP="00000000" w:rsidRDefault="00000000" w:rsidRPr="00000000" w14:paraId="000001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p w:rsidR="00000000" w:rsidDel="00000000" w:rsidP="00000000" w:rsidRDefault="00000000" w:rsidRPr="00000000" w14:paraId="000001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w:t>
            </w:r>
          </w:p>
        </w:tc>
      </w:tr>
      <w:tr>
        <w:trPr>
          <w:cantSplit w:val="0"/>
          <w:tblHeader w:val="0"/>
        </w:trPr>
        <w:tc>
          <w:tcPr/>
          <w:p w:rsidR="00000000" w:rsidDel="00000000" w:rsidP="00000000" w:rsidRDefault="00000000" w:rsidRPr="00000000" w14:paraId="0000013F">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Disposición estudiantil favorable hacia la incorporación del tema</w:t>
            </w:r>
            <w:r w:rsidDel="00000000" w:rsidR="00000000" w:rsidRPr="00000000">
              <w:rPr>
                <w:rtl w:val="0"/>
              </w:rPr>
            </w:r>
          </w:p>
        </w:tc>
        <w:tc>
          <w:tcPr/>
          <w:p w:rsidR="00000000" w:rsidDel="00000000" w:rsidP="00000000" w:rsidRDefault="00000000" w:rsidRPr="00000000" w14:paraId="000001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p w:rsidR="00000000" w:rsidDel="00000000" w:rsidP="00000000" w:rsidRDefault="00000000" w:rsidRPr="00000000" w14:paraId="000001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r>
      <w:tr>
        <w:trPr>
          <w:cantSplit w:val="0"/>
          <w:tblHeader w:val="0"/>
        </w:trPr>
        <w:tc>
          <w:tcPr/>
          <w:p w:rsidR="00000000" w:rsidDel="00000000" w:rsidP="00000000" w:rsidRDefault="00000000" w:rsidRPr="00000000" w14:paraId="00000142">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Otros facilitadores</w:t>
            </w:r>
            <w:r w:rsidDel="00000000" w:rsidR="00000000" w:rsidRPr="00000000">
              <w:rPr>
                <w:rtl w:val="0"/>
              </w:rPr>
            </w:r>
          </w:p>
        </w:tc>
        <w:tc>
          <w:tcPr/>
          <w:p w:rsidR="00000000" w:rsidDel="00000000" w:rsidP="00000000" w:rsidRDefault="00000000" w:rsidRPr="00000000" w14:paraId="0000014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57</w:t>
            </w:r>
          </w:p>
        </w:tc>
        <w:tc>
          <w:tcPr/>
          <w:p w:rsidR="00000000" w:rsidDel="00000000" w:rsidP="00000000" w:rsidRDefault="00000000" w:rsidRPr="00000000" w14:paraId="000001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16.0%</w:t>
            </w:r>
          </w:p>
        </w:tc>
      </w:tr>
      <w:tr>
        <w:trPr>
          <w:cantSplit w:val="0"/>
          <w:tblHeader w:val="0"/>
        </w:trPr>
        <w:tc>
          <w:tcPr/>
          <w:p w:rsidR="00000000" w:rsidDel="00000000" w:rsidP="00000000" w:rsidRDefault="00000000" w:rsidRPr="00000000" w14:paraId="00000145">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responde</w:t>
            </w:r>
            <w:r w:rsidDel="00000000" w:rsidR="00000000" w:rsidRPr="00000000">
              <w:rPr>
                <w:rtl w:val="0"/>
              </w:rPr>
            </w:r>
          </w:p>
        </w:tc>
        <w:tc>
          <w:tcPr/>
          <w:p w:rsidR="00000000" w:rsidDel="00000000" w:rsidP="00000000" w:rsidRDefault="00000000" w:rsidRPr="00000000" w14:paraId="000001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60</w:t>
            </w:r>
          </w:p>
        </w:tc>
        <w:tc>
          <w:tcPr/>
          <w:p w:rsidR="00000000" w:rsidDel="00000000" w:rsidP="00000000" w:rsidRDefault="00000000" w:rsidRPr="00000000" w14:paraId="0000014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16.8%</w:t>
            </w:r>
          </w:p>
        </w:tc>
      </w:tr>
      <w:tr>
        <w:trPr>
          <w:cantSplit w:val="0"/>
          <w:tblHeader w:val="0"/>
        </w:trPr>
        <w:tc>
          <w:tcPr/>
          <w:p w:rsidR="00000000" w:rsidDel="00000000" w:rsidP="00000000" w:rsidRDefault="00000000" w:rsidRPr="00000000" w14:paraId="00000148">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Total</w:t>
            </w:r>
            <w:r w:rsidDel="00000000" w:rsidR="00000000" w:rsidRPr="00000000">
              <w:rPr>
                <w:rtl w:val="0"/>
              </w:rPr>
            </w:r>
          </w:p>
        </w:tc>
        <w:tc>
          <w:tcPr/>
          <w:p w:rsidR="00000000" w:rsidDel="00000000" w:rsidP="00000000" w:rsidRDefault="00000000" w:rsidRPr="00000000" w14:paraId="0000014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357</w:t>
            </w:r>
          </w:p>
        </w:tc>
        <w:tc>
          <w:tcPr/>
          <w:p w:rsidR="00000000" w:rsidDel="00000000" w:rsidP="00000000" w:rsidRDefault="00000000" w:rsidRPr="00000000" w14:paraId="000001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w:t>
            </w:r>
          </w:p>
        </w:tc>
      </w:tr>
    </w:tbl>
    <w:p w:rsidR="00000000" w:rsidDel="00000000" w:rsidP="00000000" w:rsidRDefault="00000000" w:rsidRPr="00000000" w14:paraId="0000014B">
      <w:pPr>
        <w:jc w:val="left"/>
        <w:rPr>
          <w:rFonts w:ascii="Calibri" w:cs="Calibri" w:eastAsia="Calibri" w:hAnsi="Calibri"/>
          <w:sz w:val="15"/>
          <w:szCs w:val="15"/>
        </w:rPr>
      </w:pPr>
      <w:r w:rsidDel="00000000" w:rsidR="00000000" w:rsidRPr="00000000">
        <w:rPr>
          <w:rFonts w:ascii="Calibri" w:cs="Calibri" w:eastAsia="Calibri" w:hAnsi="Calibri"/>
          <w:sz w:val="15"/>
          <w:szCs w:val="15"/>
          <w:rtl w:val="0"/>
        </w:rPr>
        <w:t xml:space="preserve">*Nota: respuesta múltiple denominador = 357. “Otros” agrupa menciones positivas sin encaje claro en las categorías; “No responde” incluye respuestas vacías, “ninguno” o “no sé”.</w:t>
      </w:r>
    </w:p>
    <w:p w:rsidR="00000000" w:rsidDel="00000000" w:rsidP="00000000" w:rsidRDefault="00000000" w:rsidRPr="00000000" w14:paraId="0000014C">
      <w:pPr>
        <w:rPr>
          <w:b w:val="1"/>
          <w:bCs w:val="1"/>
        </w:rPr>
      </w:pPr>
      <w:r w:rsidDel="00000000" w:rsidR="00000000" w:rsidRPr="00000000">
        <w:rPr>
          <w:rtl w:val="0"/>
        </w:rPr>
      </w:r>
    </w:p>
    <w:p w:rsidR="00000000" w:rsidDel="00000000" w:rsidP="00000000" w:rsidRDefault="00000000" w:rsidRPr="00000000" w14:paraId="0000014D">
      <w:pPr>
        <w:rPr>
          <w:b w:val="1"/>
          <w:bCs w:val="1"/>
        </w:rPr>
      </w:pPr>
      <w:r w:rsidDel="00000000" w:rsidR="00000000" w:rsidRPr="00000000">
        <w:rPr>
          <w:b w:val="1"/>
          <w:bCs w:val="1"/>
          <w:rtl w:val="0"/>
        </w:rPr>
        <w:t xml:space="preserve">Tabla 6. Aspectos positivos de incluir género* por universidad</w:t>
      </w:r>
    </w:p>
    <w:tbl>
      <w:tblPr>
        <w:tblStyle w:val="Table5"/>
        <w:tblW w:w="8509.0" w:type="dxa"/>
        <w:jc w:val="left"/>
        <w:tblLayout w:type="fixed"/>
        <w:tblLook w:val="04A0"/>
      </w:tblPr>
      <w:tblGrid>
        <w:gridCol w:w="3575"/>
        <w:gridCol w:w="490"/>
        <w:gridCol w:w="744"/>
        <w:gridCol w:w="490"/>
        <w:gridCol w:w="744"/>
        <w:gridCol w:w="490"/>
        <w:gridCol w:w="744"/>
        <w:gridCol w:w="490"/>
        <w:gridCol w:w="742"/>
        <w:tblGridChange w:id="0">
          <w:tblGrid>
            <w:gridCol w:w="3575"/>
            <w:gridCol w:w="490"/>
            <w:gridCol w:w="744"/>
            <w:gridCol w:w="490"/>
            <w:gridCol w:w="744"/>
            <w:gridCol w:w="490"/>
            <w:gridCol w:w="744"/>
            <w:gridCol w:w="490"/>
            <w:gridCol w:w="742"/>
          </w:tblGrid>
        </w:tblGridChange>
      </w:tblGrid>
      <w:tr>
        <w:trPr>
          <w:cantSplit w:val="0"/>
          <w:trHeight w:val="300" w:hRule="atLeast"/>
          <w:tblHeader w:val="0"/>
        </w:trPr>
        <w:tc>
          <w:tcPr>
            <w:vMerge w:val="restart"/>
          </w:tcPr>
          <w:p w:rsidR="00000000" w:rsidDel="00000000" w:rsidP="00000000" w:rsidRDefault="00000000" w:rsidRPr="00000000" w14:paraId="0000014E">
            <w:pPr>
              <w:rPr>
                <w:rFonts w:ascii="Calibri" w:cs="Calibri" w:eastAsia="Calibri" w:hAnsi="Calibri"/>
                <w:sz w:val="20"/>
                <w:szCs w:val="20"/>
              </w:rPr>
            </w:pPr>
            <w:r w:rsidDel="00000000" w:rsidR="00000000" w:rsidRPr="00000000">
              <w:rPr>
                <w:rtl w:val="0"/>
              </w:rPr>
            </w:r>
          </w:p>
        </w:tc>
        <w:tc>
          <w:tcPr>
            <w:gridSpan w:val="2"/>
            <w:vAlign w:val="center"/>
          </w:tcPr>
          <w:p w:rsidR="00000000" w:rsidDel="00000000" w:rsidP="00000000" w:rsidRDefault="00000000" w:rsidRPr="00000000" w14:paraId="0000014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UNTREF</w:t>
            </w:r>
          </w:p>
        </w:tc>
        <w:tc>
          <w:tcPr>
            <w:gridSpan w:val="2"/>
            <w:vAlign w:val="center"/>
          </w:tcPr>
          <w:p w:rsidR="00000000" w:rsidDel="00000000" w:rsidP="00000000" w:rsidRDefault="00000000" w:rsidRPr="00000000" w14:paraId="0000015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UNAHUR</w:t>
            </w:r>
          </w:p>
        </w:tc>
        <w:tc>
          <w:tcPr>
            <w:gridSpan w:val="2"/>
            <w:vAlign w:val="center"/>
          </w:tcPr>
          <w:p w:rsidR="00000000" w:rsidDel="00000000" w:rsidP="00000000" w:rsidRDefault="00000000" w:rsidRPr="00000000" w14:paraId="0000015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UNNOBA</w:t>
            </w:r>
          </w:p>
        </w:tc>
        <w:tc>
          <w:tcPr>
            <w:gridSpan w:val="2"/>
            <w:vAlign w:val="center"/>
          </w:tcPr>
          <w:p w:rsidR="00000000" w:rsidDel="00000000" w:rsidP="00000000" w:rsidRDefault="00000000" w:rsidRPr="00000000" w14:paraId="0000015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UNSAM</w:t>
            </w:r>
          </w:p>
        </w:tc>
      </w:tr>
      <w:tr>
        <w:trPr>
          <w:cantSplit w:val="0"/>
          <w:trHeight w:val="320" w:hRule="atLeast"/>
          <w:tblHeader w:val="0"/>
        </w:trPr>
        <w:tc>
          <w:tcPr>
            <w:vMerge w:val="continue"/>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15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5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5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5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5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5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5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5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188.28124999999994" w:hRule="atLeast"/>
          <w:tblHeader w:val="0"/>
        </w:trPr>
        <w:tc>
          <w:tcPr/>
          <w:p w:rsidR="00000000" w:rsidDel="00000000" w:rsidP="00000000" w:rsidRDefault="00000000" w:rsidRPr="00000000" w14:paraId="00000160">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Mejora de la calidad de atención y comunicación en salud</w:t>
            </w:r>
            <w:r w:rsidDel="00000000" w:rsidR="00000000" w:rsidRPr="00000000">
              <w:rPr>
                <w:rtl w:val="0"/>
              </w:rPr>
            </w:r>
          </w:p>
        </w:tc>
        <w:tc>
          <w:tcPr>
            <w:vAlign w:val="center"/>
          </w:tcPr>
          <w:p w:rsidR="00000000" w:rsidDel="00000000" w:rsidP="00000000" w:rsidRDefault="00000000" w:rsidRPr="00000000" w14:paraId="0000016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w:t>
            </w:r>
          </w:p>
        </w:tc>
        <w:tc>
          <w:tcPr>
            <w:vAlign w:val="center"/>
          </w:tcPr>
          <w:p w:rsidR="00000000" w:rsidDel="00000000" w:rsidP="00000000" w:rsidRDefault="00000000" w:rsidRPr="00000000" w14:paraId="0000016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24,1%</w:t>
            </w:r>
          </w:p>
        </w:tc>
        <w:tc>
          <w:tcPr>
            <w:vAlign w:val="center"/>
          </w:tcPr>
          <w:p w:rsidR="00000000" w:rsidDel="00000000" w:rsidP="00000000" w:rsidRDefault="00000000" w:rsidRPr="00000000" w14:paraId="0000016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w:t>
            </w:r>
          </w:p>
        </w:tc>
        <w:tc>
          <w:tcPr>
            <w:vAlign w:val="center"/>
          </w:tcPr>
          <w:p w:rsidR="00000000" w:rsidDel="00000000" w:rsidP="00000000" w:rsidRDefault="00000000" w:rsidRPr="00000000" w14:paraId="0000016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26,8%</w:t>
            </w:r>
          </w:p>
        </w:tc>
        <w:tc>
          <w:tcPr>
            <w:vAlign w:val="center"/>
          </w:tcPr>
          <w:p w:rsidR="00000000" w:rsidDel="00000000" w:rsidP="00000000" w:rsidRDefault="00000000" w:rsidRPr="00000000" w14:paraId="0000016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w:t>
            </w:r>
          </w:p>
        </w:tc>
        <w:tc>
          <w:tcPr>
            <w:vAlign w:val="center"/>
          </w:tcPr>
          <w:p w:rsidR="00000000" w:rsidDel="00000000" w:rsidP="00000000" w:rsidRDefault="00000000" w:rsidRPr="00000000" w14:paraId="0000016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18,1%</w:t>
            </w:r>
          </w:p>
        </w:tc>
        <w:tc>
          <w:tcPr>
            <w:vAlign w:val="center"/>
          </w:tcPr>
          <w:p w:rsidR="00000000" w:rsidDel="00000000" w:rsidP="00000000" w:rsidRDefault="00000000" w:rsidRPr="00000000" w14:paraId="0000016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Align w:val="center"/>
          </w:tcPr>
          <w:p w:rsidR="00000000" w:rsidDel="00000000" w:rsidP="00000000" w:rsidRDefault="00000000" w:rsidRPr="00000000" w14:paraId="0000016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28,3%</w:t>
            </w:r>
          </w:p>
        </w:tc>
      </w:tr>
      <w:tr>
        <w:trPr>
          <w:cantSplit w:val="0"/>
          <w:trHeight w:val="164.2812499999945" w:hRule="atLeast"/>
          <w:tblHeader w:val="0"/>
        </w:trPr>
        <w:tc>
          <w:tcPr/>
          <w:p w:rsidR="00000000" w:rsidDel="00000000" w:rsidP="00000000" w:rsidRDefault="00000000" w:rsidRPr="00000000" w14:paraId="00000169">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Fomento de la equidad e inclusión en la formación y el ámbito laboral</w:t>
            </w:r>
            <w:r w:rsidDel="00000000" w:rsidR="00000000" w:rsidRPr="00000000">
              <w:rPr>
                <w:rtl w:val="0"/>
              </w:rPr>
            </w:r>
          </w:p>
        </w:tc>
        <w:tc>
          <w:tcPr>
            <w:vAlign w:val="center"/>
          </w:tcPr>
          <w:p w:rsidR="00000000" w:rsidDel="00000000" w:rsidP="00000000" w:rsidRDefault="00000000" w:rsidRPr="00000000" w14:paraId="0000016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vAlign w:val="center"/>
          </w:tcPr>
          <w:p w:rsidR="00000000" w:rsidDel="00000000" w:rsidP="00000000" w:rsidRDefault="00000000" w:rsidRPr="00000000" w14:paraId="0000016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17,7%</w:t>
            </w:r>
          </w:p>
        </w:tc>
        <w:tc>
          <w:tcPr>
            <w:vAlign w:val="center"/>
          </w:tcPr>
          <w:p w:rsidR="00000000" w:rsidDel="00000000" w:rsidP="00000000" w:rsidRDefault="00000000" w:rsidRPr="00000000" w14:paraId="0000016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w:t>
            </w:r>
          </w:p>
        </w:tc>
        <w:tc>
          <w:tcPr>
            <w:vAlign w:val="center"/>
          </w:tcPr>
          <w:p w:rsidR="00000000" w:rsidDel="00000000" w:rsidP="00000000" w:rsidRDefault="00000000" w:rsidRPr="00000000" w14:paraId="0000016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18,8%</w:t>
            </w:r>
          </w:p>
        </w:tc>
        <w:tc>
          <w:tcPr>
            <w:vAlign w:val="center"/>
          </w:tcPr>
          <w:p w:rsidR="00000000" w:rsidDel="00000000" w:rsidP="00000000" w:rsidRDefault="00000000" w:rsidRPr="00000000" w14:paraId="0000016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vAlign w:val="center"/>
          </w:tcPr>
          <w:p w:rsidR="00000000" w:rsidDel="00000000" w:rsidP="00000000" w:rsidRDefault="00000000" w:rsidRPr="00000000" w14:paraId="0000016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24,1%</w:t>
            </w:r>
          </w:p>
        </w:tc>
        <w:tc>
          <w:tcPr>
            <w:vAlign w:val="center"/>
          </w:tcPr>
          <w:p w:rsidR="00000000" w:rsidDel="00000000" w:rsidP="00000000" w:rsidRDefault="00000000" w:rsidRPr="00000000" w14:paraId="0000017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Align w:val="center"/>
          </w:tcPr>
          <w:p w:rsidR="00000000" w:rsidDel="00000000" w:rsidP="00000000" w:rsidRDefault="00000000" w:rsidRPr="00000000" w14:paraId="0000017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10,9%</w:t>
            </w:r>
          </w:p>
        </w:tc>
      </w:tr>
      <w:tr>
        <w:trPr>
          <w:cantSplit w:val="0"/>
          <w:trHeight w:val="300" w:hRule="atLeast"/>
          <w:tblHeader w:val="0"/>
        </w:trPr>
        <w:tc>
          <w:tcPr/>
          <w:p w:rsidR="00000000" w:rsidDel="00000000" w:rsidP="00000000" w:rsidRDefault="00000000" w:rsidRPr="00000000" w14:paraId="00000172">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Prevención y abordaje de desigualdades y violencia de género</w:t>
            </w:r>
            <w:r w:rsidDel="00000000" w:rsidR="00000000" w:rsidRPr="00000000">
              <w:rPr>
                <w:rtl w:val="0"/>
              </w:rPr>
            </w:r>
          </w:p>
        </w:tc>
        <w:tc>
          <w:tcPr>
            <w:vAlign w:val="center"/>
          </w:tcPr>
          <w:p w:rsidR="00000000" w:rsidDel="00000000" w:rsidP="00000000" w:rsidRDefault="00000000" w:rsidRPr="00000000" w14:paraId="00000173">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6</w:t>
            </w:r>
          </w:p>
        </w:tc>
        <w:tc>
          <w:tcPr>
            <w:vAlign w:val="center"/>
          </w:tcPr>
          <w:p w:rsidR="00000000" w:rsidDel="00000000" w:rsidP="00000000" w:rsidRDefault="00000000" w:rsidRPr="00000000" w14:paraId="00000174">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7,6%</w:t>
            </w:r>
          </w:p>
        </w:tc>
        <w:tc>
          <w:tcPr>
            <w:vAlign w:val="center"/>
          </w:tcPr>
          <w:p w:rsidR="00000000" w:rsidDel="00000000" w:rsidP="00000000" w:rsidRDefault="00000000" w:rsidRPr="00000000" w14:paraId="00000175">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26</w:t>
            </w:r>
          </w:p>
        </w:tc>
        <w:tc>
          <w:tcPr>
            <w:vAlign w:val="center"/>
          </w:tcPr>
          <w:p w:rsidR="00000000" w:rsidDel="00000000" w:rsidP="00000000" w:rsidRDefault="00000000" w:rsidRPr="00000000" w14:paraId="00000176">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17,4%</w:t>
            </w:r>
          </w:p>
        </w:tc>
        <w:tc>
          <w:tcPr>
            <w:vAlign w:val="center"/>
          </w:tcPr>
          <w:p w:rsidR="00000000" w:rsidDel="00000000" w:rsidP="00000000" w:rsidRDefault="00000000" w:rsidRPr="00000000" w14:paraId="00000177">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3</w:t>
            </w:r>
          </w:p>
        </w:tc>
        <w:tc>
          <w:tcPr>
            <w:vAlign w:val="center"/>
          </w:tcPr>
          <w:p w:rsidR="00000000" w:rsidDel="00000000" w:rsidP="00000000" w:rsidRDefault="00000000" w:rsidRPr="00000000" w14:paraId="00000178">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3,6%</w:t>
            </w:r>
          </w:p>
        </w:tc>
        <w:tc>
          <w:tcPr>
            <w:vAlign w:val="center"/>
          </w:tcPr>
          <w:p w:rsidR="00000000" w:rsidDel="00000000" w:rsidP="00000000" w:rsidRDefault="00000000" w:rsidRPr="00000000" w14:paraId="00000179">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7</w:t>
            </w:r>
          </w:p>
        </w:tc>
        <w:tc>
          <w:tcPr>
            <w:vAlign w:val="center"/>
          </w:tcPr>
          <w:p w:rsidR="00000000" w:rsidDel="00000000" w:rsidP="00000000" w:rsidRDefault="00000000" w:rsidRPr="00000000" w14:paraId="0000017A">
            <w:pPr>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15,2%</w:t>
            </w:r>
          </w:p>
        </w:tc>
      </w:tr>
      <w:tr>
        <w:trPr>
          <w:cantSplit w:val="0"/>
          <w:trHeight w:val="300" w:hRule="atLeast"/>
          <w:tblHeader w:val="0"/>
        </w:trPr>
        <w:tc>
          <w:tcPr/>
          <w:p w:rsidR="00000000" w:rsidDel="00000000" w:rsidP="00000000" w:rsidRDefault="00000000" w:rsidRPr="00000000" w14:paraId="0000017B">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Desarrollo de habilidades y valores en la práctica profesional</w:t>
            </w:r>
            <w:r w:rsidDel="00000000" w:rsidR="00000000" w:rsidRPr="00000000">
              <w:rPr>
                <w:rtl w:val="0"/>
              </w:rPr>
            </w:r>
          </w:p>
        </w:tc>
        <w:tc>
          <w:tcPr>
            <w:vAlign w:val="center"/>
          </w:tcPr>
          <w:p w:rsidR="00000000" w:rsidDel="00000000" w:rsidP="00000000" w:rsidRDefault="00000000" w:rsidRPr="00000000" w14:paraId="0000017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Align w:val="center"/>
          </w:tcPr>
          <w:p w:rsidR="00000000" w:rsidDel="00000000" w:rsidP="00000000" w:rsidRDefault="00000000" w:rsidRPr="00000000" w14:paraId="0000017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7,6%</w:t>
            </w:r>
          </w:p>
        </w:tc>
        <w:tc>
          <w:tcPr>
            <w:vAlign w:val="center"/>
          </w:tcPr>
          <w:p w:rsidR="00000000" w:rsidDel="00000000" w:rsidP="00000000" w:rsidRDefault="00000000" w:rsidRPr="00000000" w14:paraId="0000017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w:t>
            </w:r>
          </w:p>
        </w:tc>
        <w:tc>
          <w:tcPr>
            <w:vAlign w:val="center"/>
          </w:tcPr>
          <w:p w:rsidR="00000000" w:rsidDel="00000000" w:rsidP="00000000" w:rsidRDefault="00000000" w:rsidRPr="00000000" w14:paraId="0000017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w:t>
            </w:r>
          </w:p>
        </w:tc>
        <w:tc>
          <w:tcPr>
            <w:vAlign w:val="center"/>
          </w:tcPr>
          <w:p w:rsidR="00000000" w:rsidDel="00000000" w:rsidP="00000000" w:rsidRDefault="00000000" w:rsidRPr="00000000" w14:paraId="0000018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Align w:val="center"/>
          </w:tcPr>
          <w:p w:rsidR="00000000" w:rsidDel="00000000" w:rsidP="00000000" w:rsidRDefault="00000000" w:rsidRPr="00000000" w14:paraId="0000018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6,0%</w:t>
            </w:r>
          </w:p>
        </w:tc>
        <w:tc>
          <w:tcPr>
            <w:vAlign w:val="center"/>
          </w:tcPr>
          <w:p w:rsidR="00000000" w:rsidDel="00000000" w:rsidP="00000000" w:rsidRDefault="00000000" w:rsidRPr="00000000" w14:paraId="0000018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18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r>
        <w:trPr>
          <w:cantSplit w:val="0"/>
          <w:trHeight w:val="300" w:hRule="atLeast"/>
          <w:tblHeader w:val="0"/>
        </w:trPr>
        <w:tc>
          <w:tcPr/>
          <w:p w:rsidR="00000000" w:rsidDel="00000000" w:rsidP="00000000" w:rsidRDefault="00000000" w:rsidRPr="00000000" w14:paraId="00000184">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Perspectiva académica y su impacto en la educación en enfermería</w:t>
            </w:r>
            <w:r w:rsidDel="00000000" w:rsidR="00000000" w:rsidRPr="00000000">
              <w:rPr>
                <w:rtl w:val="0"/>
              </w:rPr>
            </w:r>
          </w:p>
        </w:tc>
        <w:tc>
          <w:tcPr>
            <w:vAlign w:val="center"/>
          </w:tcPr>
          <w:p w:rsidR="00000000" w:rsidDel="00000000" w:rsidP="00000000" w:rsidRDefault="00000000" w:rsidRPr="00000000" w14:paraId="0000018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8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18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Align w:val="center"/>
          </w:tcPr>
          <w:p w:rsidR="00000000" w:rsidDel="00000000" w:rsidP="00000000" w:rsidRDefault="00000000" w:rsidRPr="00000000" w14:paraId="0000018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w:t>
            </w:r>
          </w:p>
        </w:tc>
        <w:tc>
          <w:tcPr>
            <w:vAlign w:val="center"/>
          </w:tcPr>
          <w:p w:rsidR="00000000" w:rsidDel="00000000" w:rsidP="00000000" w:rsidRDefault="00000000" w:rsidRPr="00000000" w14:paraId="0000018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8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w:t>
            </w:r>
          </w:p>
        </w:tc>
        <w:tc>
          <w:tcPr>
            <w:vAlign w:val="center"/>
          </w:tcPr>
          <w:p w:rsidR="00000000" w:rsidDel="00000000" w:rsidP="00000000" w:rsidRDefault="00000000" w:rsidRPr="00000000" w14:paraId="0000018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8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6,5%</w:t>
            </w:r>
          </w:p>
        </w:tc>
      </w:tr>
      <w:tr>
        <w:trPr>
          <w:cantSplit w:val="0"/>
          <w:trHeight w:val="36.00000000002183" w:hRule="atLeast"/>
          <w:tblHeader w:val="0"/>
        </w:trPr>
        <w:tc>
          <w:tcPr/>
          <w:p w:rsidR="00000000" w:rsidDel="00000000" w:rsidP="00000000" w:rsidRDefault="00000000" w:rsidRPr="00000000" w14:paraId="0000018D">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Otros</w:t>
            </w:r>
            <w:r w:rsidDel="00000000" w:rsidR="00000000" w:rsidRPr="00000000">
              <w:rPr>
                <w:rtl w:val="0"/>
              </w:rPr>
            </w:r>
          </w:p>
        </w:tc>
        <w:tc>
          <w:tcPr>
            <w:vAlign w:val="center"/>
          </w:tcPr>
          <w:p w:rsidR="00000000" w:rsidDel="00000000" w:rsidP="00000000" w:rsidRDefault="00000000" w:rsidRPr="00000000" w14:paraId="0000018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w:t>
            </w:r>
          </w:p>
        </w:tc>
        <w:tc>
          <w:tcPr>
            <w:vAlign w:val="center"/>
          </w:tcPr>
          <w:p w:rsidR="00000000" w:rsidDel="00000000" w:rsidP="00000000" w:rsidRDefault="00000000" w:rsidRPr="00000000" w14:paraId="0000018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24,1%</w:t>
            </w:r>
          </w:p>
        </w:tc>
        <w:tc>
          <w:tcPr>
            <w:vAlign w:val="center"/>
          </w:tcPr>
          <w:p w:rsidR="00000000" w:rsidDel="00000000" w:rsidP="00000000" w:rsidRDefault="00000000" w:rsidRPr="00000000" w14:paraId="0000019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vAlign w:val="center"/>
          </w:tcPr>
          <w:p w:rsidR="00000000" w:rsidDel="00000000" w:rsidP="00000000" w:rsidRDefault="00000000" w:rsidRPr="00000000" w14:paraId="0000019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13,4%</w:t>
            </w:r>
          </w:p>
        </w:tc>
        <w:tc>
          <w:tcPr>
            <w:vAlign w:val="center"/>
          </w:tcPr>
          <w:p w:rsidR="00000000" w:rsidDel="00000000" w:rsidP="00000000" w:rsidRDefault="00000000" w:rsidRPr="00000000" w14:paraId="0000019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Align w:val="center"/>
          </w:tcPr>
          <w:p w:rsidR="00000000" w:rsidDel="00000000" w:rsidP="00000000" w:rsidRDefault="00000000" w:rsidRPr="00000000" w14:paraId="0000019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w:t>
            </w:r>
          </w:p>
        </w:tc>
        <w:tc>
          <w:tcPr>
            <w:vAlign w:val="center"/>
          </w:tcPr>
          <w:p w:rsidR="00000000" w:rsidDel="00000000" w:rsidP="00000000" w:rsidRDefault="00000000" w:rsidRPr="00000000" w14:paraId="0000019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19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w:t>
            </w:r>
          </w:p>
        </w:tc>
      </w:tr>
      <w:tr>
        <w:trPr>
          <w:cantSplit w:val="0"/>
          <w:tblHeader w:val="0"/>
        </w:trPr>
        <w:tc>
          <w:tcPr/>
          <w:p w:rsidR="00000000" w:rsidDel="00000000" w:rsidP="00000000" w:rsidRDefault="00000000" w:rsidRPr="00000000" w14:paraId="00000196">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responde </w:t>
            </w:r>
            <w:r w:rsidDel="00000000" w:rsidR="00000000" w:rsidRPr="00000000">
              <w:rPr>
                <w:rtl w:val="0"/>
              </w:rPr>
            </w:r>
          </w:p>
        </w:tc>
        <w:tc>
          <w:tcPr>
            <w:vAlign w:val="center"/>
          </w:tcPr>
          <w:p w:rsidR="00000000" w:rsidDel="00000000" w:rsidP="00000000" w:rsidRDefault="00000000" w:rsidRPr="00000000" w14:paraId="0000019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19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w:t>
            </w:r>
          </w:p>
        </w:tc>
        <w:tc>
          <w:tcPr>
            <w:vAlign w:val="center"/>
          </w:tcPr>
          <w:p w:rsidR="00000000" w:rsidDel="00000000" w:rsidP="00000000" w:rsidRDefault="00000000" w:rsidRPr="00000000" w14:paraId="0000019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w:t>
            </w:r>
          </w:p>
        </w:tc>
        <w:tc>
          <w:tcPr>
            <w:vAlign w:val="center"/>
          </w:tcPr>
          <w:p w:rsidR="00000000" w:rsidDel="00000000" w:rsidP="00000000" w:rsidRDefault="00000000" w:rsidRPr="00000000" w14:paraId="0000019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10,1%</w:t>
            </w:r>
          </w:p>
        </w:tc>
        <w:tc>
          <w:tcPr>
            <w:vAlign w:val="center"/>
          </w:tcPr>
          <w:p w:rsidR="00000000" w:rsidDel="00000000" w:rsidP="00000000" w:rsidRDefault="00000000" w:rsidRPr="00000000" w14:paraId="0000019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w:t>
            </w:r>
          </w:p>
        </w:tc>
        <w:tc>
          <w:tcPr>
            <w:vAlign w:val="center"/>
          </w:tcPr>
          <w:p w:rsidR="00000000" w:rsidDel="00000000" w:rsidP="00000000" w:rsidRDefault="00000000" w:rsidRPr="00000000" w14:paraId="0000019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32,5%</w:t>
            </w:r>
          </w:p>
        </w:tc>
        <w:tc>
          <w:tcPr>
            <w:vAlign w:val="center"/>
          </w:tcPr>
          <w:p w:rsidR="00000000" w:rsidDel="00000000" w:rsidP="00000000" w:rsidRDefault="00000000" w:rsidRPr="00000000" w14:paraId="0000019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19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w:t>
            </w:r>
          </w:p>
        </w:tc>
      </w:tr>
    </w:tbl>
    <w:p w:rsidR="00000000" w:rsidDel="00000000" w:rsidP="00000000" w:rsidRDefault="00000000" w:rsidRPr="00000000" w14:paraId="0000019F">
      <w:pPr>
        <w:spacing w:after="160" w:before="40" w:lineRule="auto"/>
        <w:rPr>
          <w:rFonts w:ascii="Calibri" w:cs="Calibri" w:eastAsia="Calibri" w:hAnsi="Calibri"/>
          <w:sz w:val="15"/>
          <w:szCs w:val="15"/>
        </w:rPr>
      </w:pPr>
      <w:r w:rsidDel="00000000" w:rsidR="00000000" w:rsidRPr="00000000">
        <w:rPr>
          <w:rFonts w:ascii="Calibri" w:cs="Calibri" w:eastAsia="Calibri" w:hAnsi="Calibri"/>
          <w:sz w:val="15"/>
          <w:szCs w:val="15"/>
          <w:rtl w:val="0"/>
        </w:rPr>
        <w:t xml:space="preserve">Nota: respuesta múltiple denominador = 357.</w:t>
      </w:r>
    </w:p>
    <w:p w:rsidR="00000000" w:rsidDel="00000000" w:rsidP="00000000" w:rsidRDefault="00000000" w:rsidRPr="00000000" w14:paraId="000001A0">
      <w:pPr>
        <w:rPr>
          <w:b w:val="1"/>
          <w:bCs w:val="1"/>
        </w:rPr>
      </w:pPr>
      <w:r w:rsidDel="00000000" w:rsidR="00000000" w:rsidRPr="00000000">
        <w:rPr>
          <w:b w:val="1"/>
          <w:bCs w:val="1"/>
          <w:rtl w:val="0"/>
        </w:rPr>
        <w:t xml:space="preserve">Obstáculos percibidos para implementar la perspectiva de género</w:t>
      </w:r>
    </w:p>
    <w:p w:rsidR="00000000" w:rsidDel="00000000" w:rsidP="00000000" w:rsidRDefault="00000000" w:rsidRPr="00000000" w14:paraId="000001A1">
      <w:pPr>
        <w:rPr/>
      </w:pPr>
      <w:r w:rsidDel="00000000" w:rsidR="00000000" w:rsidRPr="00000000">
        <w:rPr>
          <w:rtl w:val="0"/>
        </w:rPr>
        <w:t xml:space="preserve">Estos se identificaron a partir de las respuestas abiertas sobre aspectos negativos o dificultades vinculadas a incluir género en la formación. La mayoría de las personas encuestadas no identifican obstáculos o aspectos negativos (27,7%), lo que indica una recepción mayoritariamente no conflictiva respecto al tema. </w:t>
      </w:r>
    </w:p>
    <w:p w:rsidR="00000000" w:rsidDel="00000000" w:rsidP="00000000" w:rsidRDefault="00000000" w:rsidRPr="00000000" w14:paraId="000001A2">
      <w:pPr>
        <w:rPr/>
      </w:pPr>
      <w:r w:rsidDel="00000000" w:rsidR="00000000" w:rsidRPr="00000000">
        <w:rPr>
          <w:rtl w:val="0"/>
        </w:rPr>
        <w:t xml:space="preserve">Entre quienes sí señalan dificultades, predominan las resistencias al cambio o el rechazo de la temática (11,5%) y, en menor medida, la sobrecarga curricular o el desplazamiento de contenidos técnicos que se valoran como prioritarios (5,9%) y la percepción de imposición ideológica (3,1%). La falta de capacitación docente (2,2%) y de materiales (2,8%) aparece de forma marginal como obstáculo. Las críticas, cuando existen, se orientan más a las condiciones de implementación y a la priorización de contenidos que a un rechazo del contenido de género en sí. Ejemplos de respuestas abiertas al respecto: </w:t>
      </w:r>
      <w:r w:rsidDel="00000000" w:rsidR="00000000" w:rsidRPr="00000000">
        <w:rPr>
          <w:i w:val="1"/>
          <w:iCs w:val="1"/>
          <w:rtl w:val="0"/>
        </w:rPr>
        <w:t xml:space="preserve">“Hay temas más importantes que abordar y priorizar en la carrera”</w:t>
      </w:r>
      <w:r w:rsidDel="00000000" w:rsidR="00000000" w:rsidRPr="00000000">
        <w:rPr>
          <w:rtl w:val="0"/>
        </w:rPr>
        <w:t xml:space="preserve">; </w:t>
      </w:r>
      <w:r w:rsidDel="00000000" w:rsidR="00000000" w:rsidRPr="00000000">
        <w:rPr>
          <w:i w:val="1"/>
          <w:iCs w:val="1"/>
          <w:rtl w:val="0"/>
        </w:rPr>
        <w:t xml:space="preserve">“Sobrecarga curricular”</w:t>
      </w:r>
      <w:r w:rsidDel="00000000" w:rsidR="00000000" w:rsidRPr="00000000">
        <w:rPr>
          <w:rtl w:val="0"/>
        </w:rPr>
        <w:t xml:space="preserve">.</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b w:val="1"/>
          <w:bCs w:val="1"/>
        </w:rPr>
      </w:pPr>
      <w:r w:rsidDel="00000000" w:rsidR="00000000" w:rsidRPr="00000000">
        <w:rPr>
          <w:b w:val="1"/>
          <w:bCs w:val="1"/>
          <w:rtl w:val="0"/>
        </w:rPr>
        <w:t xml:space="preserve">Tabla 5. Obstáculos percibidos*</w:t>
      </w:r>
    </w:p>
    <w:tbl>
      <w:tblPr>
        <w:tblStyle w:val="Table6"/>
        <w:tblW w:w="8504.0" w:type="dxa"/>
        <w:jc w:val="left"/>
        <w:tblLayout w:type="fixed"/>
        <w:tblLook w:val="04A0"/>
      </w:tblPr>
      <w:tblGrid>
        <w:gridCol w:w="6829"/>
        <w:gridCol w:w="653"/>
        <w:gridCol w:w="1022"/>
        <w:tblGridChange w:id="0">
          <w:tblGrid>
            <w:gridCol w:w="6829"/>
            <w:gridCol w:w="653"/>
            <w:gridCol w:w="1022"/>
          </w:tblGrid>
        </w:tblGridChange>
      </w:tblGrid>
      <w:tr>
        <w:trPr>
          <w:cantSplit w:val="0"/>
          <w:tblHeader w:val="0"/>
        </w:trPr>
        <w:tc>
          <w:tcPr/>
          <w:p w:rsidR="00000000" w:rsidDel="00000000" w:rsidP="00000000" w:rsidRDefault="00000000" w:rsidRPr="00000000" w14:paraId="000001A5">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1A6">
            <w:pPr>
              <w:jc w:val="cente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w:t>
            </w:r>
            <w:r w:rsidDel="00000000" w:rsidR="00000000" w:rsidRPr="00000000">
              <w:rPr>
                <w:rtl w:val="0"/>
              </w:rPr>
            </w:r>
          </w:p>
        </w:tc>
        <w:tc>
          <w:tcPr/>
          <w:p w:rsidR="00000000" w:rsidDel="00000000" w:rsidP="00000000" w:rsidRDefault="00000000" w:rsidRPr="00000000" w14:paraId="000001A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p w:rsidR="00000000" w:rsidDel="00000000" w:rsidP="00000000" w:rsidRDefault="00000000" w:rsidRPr="00000000" w14:paraId="000001A8">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se identifican obstáculos o aspectos negativos</w:t>
            </w:r>
            <w:r w:rsidDel="00000000" w:rsidR="00000000" w:rsidRPr="00000000">
              <w:rPr>
                <w:rtl w:val="0"/>
              </w:rPr>
            </w:r>
          </w:p>
        </w:tc>
        <w:tc>
          <w:tcPr/>
          <w:p w:rsidR="00000000" w:rsidDel="00000000" w:rsidP="00000000" w:rsidRDefault="00000000" w:rsidRPr="00000000" w14:paraId="000001A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99</w:t>
            </w:r>
          </w:p>
        </w:tc>
        <w:tc>
          <w:tcPr/>
          <w:p w:rsidR="00000000" w:rsidDel="00000000" w:rsidP="00000000" w:rsidRDefault="00000000" w:rsidRPr="00000000" w14:paraId="000001A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27.7%</w:t>
            </w:r>
          </w:p>
        </w:tc>
      </w:tr>
      <w:tr>
        <w:trPr>
          <w:cantSplit w:val="0"/>
          <w:tblHeader w:val="0"/>
        </w:trPr>
        <w:tc>
          <w:tcPr/>
          <w:p w:rsidR="00000000" w:rsidDel="00000000" w:rsidP="00000000" w:rsidRDefault="00000000" w:rsidRPr="00000000" w14:paraId="000001AB">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Resistencias al cambio o rechazo de la temática</w:t>
            </w:r>
            <w:r w:rsidDel="00000000" w:rsidR="00000000" w:rsidRPr="00000000">
              <w:rPr>
                <w:rtl w:val="0"/>
              </w:rPr>
            </w:r>
          </w:p>
        </w:tc>
        <w:tc>
          <w:tcPr/>
          <w:p w:rsidR="00000000" w:rsidDel="00000000" w:rsidP="00000000" w:rsidRDefault="00000000" w:rsidRPr="00000000" w14:paraId="000001A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w:t>
            </w:r>
          </w:p>
        </w:tc>
        <w:tc>
          <w:tcPr/>
          <w:p w:rsidR="00000000" w:rsidDel="00000000" w:rsidP="00000000" w:rsidRDefault="00000000" w:rsidRPr="00000000" w14:paraId="000001A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11.5%</w:t>
            </w:r>
          </w:p>
        </w:tc>
      </w:tr>
      <w:tr>
        <w:trPr>
          <w:cantSplit w:val="0"/>
          <w:tblHeader w:val="0"/>
        </w:trPr>
        <w:tc>
          <w:tcPr/>
          <w:p w:rsidR="00000000" w:rsidDel="00000000" w:rsidP="00000000" w:rsidRDefault="00000000" w:rsidRPr="00000000" w14:paraId="000001AE">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Percepción de imposición ideológica o politización del tema</w:t>
            </w:r>
            <w:r w:rsidDel="00000000" w:rsidR="00000000" w:rsidRPr="00000000">
              <w:rPr>
                <w:rtl w:val="0"/>
              </w:rPr>
            </w:r>
          </w:p>
        </w:tc>
        <w:tc>
          <w:tcPr/>
          <w:p w:rsidR="00000000" w:rsidDel="00000000" w:rsidP="00000000" w:rsidRDefault="00000000" w:rsidRPr="00000000" w14:paraId="000001A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p w:rsidR="00000000" w:rsidDel="00000000" w:rsidP="00000000" w:rsidRDefault="00000000" w:rsidRPr="00000000" w14:paraId="000001B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w:t>
            </w:r>
          </w:p>
        </w:tc>
      </w:tr>
      <w:tr>
        <w:trPr>
          <w:cantSplit w:val="0"/>
          <w:tblHeader w:val="0"/>
        </w:trPr>
        <w:tc>
          <w:tcPr/>
          <w:p w:rsidR="00000000" w:rsidDel="00000000" w:rsidP="00000000" w:rsidRDefault="00000000" w:rsidRPr="00000000" w14:paraId="000001B1">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Sobrecarga curricular o desplazamiento de contenidos técnicos</w:t>
            </w:r>
            <w:r w:rsidDel="00000000" w:rsidR="00000000" w:rsidRPr="00000000">
              <w:rPr>
                <w:rtl w:val="0"/>
              </w:rPr>
            </w:r>
          </w:p>
        </w:tc>
        <w:tc>
          <w:tcPr/>
          <w:p w:rsidR="00000000" w:rsidDel="00000000" w:rsidP="00000000" w:rsidRDefault="00000000" w:rsidRPr="00000000" w14:paraId="000001B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w:t>
            </w:r>
          </w:p>
        </w:tc>
        <w:tc>
          <w:tcPr/>
          <w:p w:rsidR="00000000" w:rsidDel="00000000" w:rsidP="00000000" w:rsidRDefault="00000000" w:rsidRPr="00000000" w14:paraId="000001B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5.9%</w:t>
            </w:r>
          </w:p>
        </w:tc>
      </w:tr>
      <w:tr>
        <w:trPr>
          <w:cantSplit w:val="0"/>
          <w:tblHeader w:val="0"/>
        </w:trPr>
        <w:tc>
          <w:tcPr/>
          <w:p w:rsidR="00000000" w:rsidDel="00000000" w:rsidP="00000000" w:rsidRDefault="00000000" w:rsidRPr="00000000" w14:paraId="000001B4">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Falta de capacitación docente o institucional</w:t>
            </w:r>
            <w:r w:rsidDel="00000000" w:rsidR="00000000" w:rsidRPr="00000000">
              <w:rPr>
                <w:rtl w:val="0"/>
              </w:rPr>
            </w:r>
          </w:p>
        </w:tc>
        <w:tc>
          <w:tcPr/>
          <w:p w:rsidR="00000000" w:rsidDel="00000000" w:rsidP="00000000" w:rsidRDefault="00000000" w:rsidRPr="00000000" w14:paraId="000001B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p w:rsidR="00000000" w:rsidDel="00000000" w:rsidP="00000000" w:rsidRDefault="00000000" w:rsidRPr="00000000" w14:paraId="000001B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r>
      <w:tr>
        <w:trPr>
          <w:cantSplit w:val="0"/>
          <w:tblHeader w:val="0"/>
        </w:trPr>
        <w:tc>
          <w:tcPr/>
          <w:p w:rsidR="00000000" w:rsidDel="00000000" w:rsidP="00000000" w:rsidRDefault="00000000" w:rsidRPr="00000000" w14:paraId="000001B7">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Tratamiento superficial, fragmentado o poco transversal</w:t>
            </w:r>
            <w:r w:rsidDel="00000000" w:rsidR="00000000" w:rsidRPr="00000000">
              <w:rPr>
                <w:rtl w:val="0"/>
              </w:rPr>
            </w:r>
          </w:p>
        </w:tc>
        <w:tc>
          <w:tcPr/>
          <w:p w:rsidR="00000000" w:rsidDel="00000000" w:rsidP="00000000" w:rsidRDefault="00000000" w:rsidRPr="00000000" w14:paraId="000001B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p w:rsidR="00000000" w:rsidDel="00000000" w:rsidP="00000000" w:rsidRDefault="00000000" w:rsidRPr="00000000" w14:paraId="000001B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w:t>
            </w:r>
          </w:p>
        </w:tc>
      </w:tr>
      <w:tr>
        <w:trPr>
          <w:cantSplit w:val="0"/>
          <w:tblHeader w:val="0"/>
        </w:trPr>
        <w:tc>
          <w:tcPr/>
          <w:p w:rsidR="00000000" w:rsidDel="00000000" w:rsidP="00000000" w:rsidRDefault="00000000" w:rsidRPr="00000000" w14:paraId="000001BA">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Falta de materiales, bibliografía o herramientas pedagógicas</w:t>
            </w:r>
            <w:r w:rsidDel="00000000" w:rsidR="00000000" w:rsidRPr="00000000">
              <w:rPr>
                <w:rtl w:val="0"/>
              </w:rPr>
            </w:r>
          </w:p>
        </w:tc>
        <w:tc>
          <w:tcPr/>
          <w:p w:rsidR="00000000" w:rsidDel="00000000" w:rsidP="00000000" w:rsidRDefault="00000000" w:rsidRPr="00000000" w14:paraId="000001B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p w:rsidR="00000000" w:rsidDel="00000000" w:rsidP="00000000" w:rsidRDefault="00000000" w:rsidRPr="00000000" w14:paraId="000001B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w:t>
            </w:r>
          </w:p>
        </w:tc>
      </w:tr>
      <w:tr>
        <w:trPr>
          <w:cantSplit w:val="0"/>
          <w:tblHeader w:val="0"/>
        </w:trPr>
        <w:tc>
          <w:tcPr/>
          <w:p w:rsidR="00000000" w:rsidDel="00000000" w:rsidP="00000000" w:rsidRDefault="00000000" w:rsidRPr="00000000" w14:paraId="000001BD">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Otros obstáculos</w:t>
            </w:r>
            <w:r w:rsidDel="00000000" w:rsidR="00000000" w:rsidRPr="00000000">
              <w:rPr>
                <w:rtl w:val="0"/>
              </w:rPr>
            </w:r>
          </w:p>
        </w:tc>
        <w:tc>
          <w:tcPr/>
          <w:p w:rsidR="00000000" w:rsidDel="00000000" w:rsidP="00000000" w:rsidRDefault="00000000" w:rsidRPr="00000000" w14:paraId="000001B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115</w:t>
            </w:r>
          </w:p>
        </w:tc>
        <w:tc>
          <w:tcPr/>
          <w:p w:rsidR="00000000" w:rsidDel="00000000" w:rsidP="00000000" w:rsidRDefault="00000000" w:rsidRPr="00000000" w14:paraId="000001B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32.2%</w:t>
            </w:r>
          </w:p>
        </w:tc>
      </w:tr>
      <w:tr>
        <w:trPr>
          <w:cantSplit w:val="0"/>
          <w:tblHeader w:val="0"/>
        </w:trPr>
        <w:tc>
          <w:tcPr/>
          <w:p w:rsidR="00000000" w:rsidDel="00000000" w:rsidP="00000000" w:rsidRDefault="00000000" w:rsidRPr="00000000" w14:paraId="000001C0">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responde </w:t>
            </w:r>
            <w:r w:rsidDel="00000000" w:rsidR="00000000" w:rsidRPr="00000000">
              <w:rPr>
                <w:rtl w:val="0"/>
              </w:rPr>
            </w:r>
          </w:p>
        </w:tc>
        <w:tc>
          <w:tcPr/>
          <w:p w:rsidR="00000000" w:rsidDel="00000000" w:rsidP="00000000" w:rsidRDefault="00000000" w:rsidRPr="00000000" w14:paraId="000001C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w:t>
            </w:r>
          </w:p>
        </w:tc>
        <w:tc>
          <w:tcPr/>
          <w:p w:rsidR="00000000" w:rsidDel="00000000" w:rsidP="00000000" w:rsidRDefault="00000000" w:rsidRPr="00000000" w14:paraId="000001C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14.0%</w:t>
            </w:r>
          </w:p>
        </w:tc>
      </w:tr>
      <w:tr>
        <w:trPr>
          <w:cantSplit w:val="0"/>
          <w:tblHeader w:val="0"/>
        </w:trPr>
        <w:tc>
          <w:tcPr/>
          <w:p w:rsidR="00000000" w:rsidDel="00000000" w:rsidP="00000000" w:rsidRDefault="00000000" w:rsidRPr="00000000" w14:paraId="000001C3">
            <w:pPr>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Total</w:t>
            </w:r>
            <w:r w:rsidDel="00000000" w:rsidR="00000000" w:rsidRPr="00000000">
              <w:rPr>
                <w:rtl w:val="0"/>
              </w:rPr>
            </w:r>
          </w:p>
        </w:tc>
        <w:tc>
          <w:tcPr/>
          <w:p w:rsidR="00000000" w:rsidDel="00000000" w:rsidP="00000000" w:rsidRDefault="00000000" w:rsidRPr="00000000" w14:paraId="000001C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357</w:t>
            </w:r>
          </w:p>
        </w:tc>
        <w:tc>
          <w:tcPr/>
          <w:p w:rsidR="00000000" w:rsidDel="00000000" w:rsidP="00000000" w:rsidRDefault="00000000" w:rsidRPr="00000000" w14:paraId="000001C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w:t>
            </w:r>
          </w:p>
        </w:tc>
      </w:tr>
    </w:tbl>
    <w:p w:rsidR="00000000" w:rsidDel="00000000" w:rsidP="00000000" w:rsidRDefault="00000000" w:rsidRPr="00000000" w14:paraId="000001C6">
      <w:pPr>
        <w:spacing w:after="160" w:before="40" w:lineRule="auto"/>
        <w:rPr>
          <w:rFonts w:ascii="Calibri" w:cs="Calibri" w:eastAsia="Calibri" w:hAnsi="Calibri"/>
          <w:sz w:val="15"/>
          <w:szCs w:val="15"/>
        </w:rPr>
      </w:pPr>
      <w:r w:rsidDel="00000000" w:rsidR="00000000" w:rsidRPr="00000000">
        <w:rPr>
          <w:rFonts w:ascii="Calibri" w:cs="Calibri" w:eastAsia="Calibri" w:hAnsi="Calibri"/>
          <w:sz w:val="15"/>
          <w:szCs w:val="15"/>
          <w:rtl w:val="0"/>
        </w:rPr>
        <w:t xml:space="preserve">Nota: respuesta múltiple denominador = 357. “Otros obstáculos” agrupa, respuestas que describen la desigualdad o la discriminación en sí mismas (en sentido inverso a la consigna) más que contras de incluir la perspectiva.</w:t>
      </w:r>
    </w:p>
    <w:p w:rsidR="00000000" w:rsidDel="00000000" w:rsidP="00000000" w:rsidRDefault="00000000" w:rsidRPr="00000000" w14:paraId="000001C7">
      <w:pPr>
        <w:rPr/>
      </w:pPr>
      <w:r w:rsidDel="00000000" w:rsidR="00000000" w:rsidRPr="00000000">
        <w:rPr>
          <w:rtl w:val="0"/>
        </w:rPr>
        <w:t xml:space="preserve">La proporción de quienes no identifican obstáculos es alta en todas las instituciones, con un máximo en UNTREF (40,5%). La categoría “Otros obstáculos” resulta elevada porque numerosas respuestas describen la desigualdad o la discriminación como problema, sin precisar un obstáculo a la inclusión del tema. Esto sugiere que la pregunta no se formuló de una forma comprensible y se requiere profundizar este tema.</w:t>
      </w:r>
    </w:p>
    <w:p w:rsidR="00000000" w:rsidDel="00000000" w:rsidP="00000000" w:rsidRDefault="00000000" w:rsidRPr="00000000" w14:paraId="000001C8">
      <w:pPr>
        <w:rPr/>
      </w:pPr>
      <w:r w:rsidDel="00000000" w:rsidR="00000000" w:rsidRPr="00000000">
        <w:rPr>
          <w:rtl w:val="0"/>
        </w:rPr>
        <w:t xml:space="preserve">De manera exploratoria, las respuestas abiertas sobre propuestas de mejora y temáticas de capacitación deseadas no se concentran en materias puntuales, sino que tienden a expresar una demanda de abordaje general y transversal del tema. Un ejemplo es la demanda de contar con herramientas para la atención de la salud de todas las identidades, y formación en violencia y diversidad sexual. En consecuencia, los datos disponibles sugieren una orientación hacia la transversalización antes que hacia la focalización en asignaturas específicas, aunque esta lectura es preliminar y no cuantificable con la información existente.</w:t>
      </w:r>
    </w:p>
    <w:p w:rsidR="00000000" w:rsidDel="00000000" w:rsidP="00000000" w:rsidRDefault="00000000" w:rsidRPr="00000000" w14:paraId="000001C9">
      <w:pPr>
        <w:rPr>
          <w:b w:val="1"/>
          <w:bCs w:val="1"/>
        </w:rPr>
      </w:pPr>
      <w:r w:rsidDel="00000000" w:rsidR="00000000" w:rsidRPr="00000000">
        <w:rPr>
          <w:rtl w:val="0"/>
        </w:rPr>
      </w:r>
    </w:p>
    <w:p w:rsidR="00000000" w:rsidDel="00000000" w:rsidP="00000000" w:rsidRDefault="00000000" w:rsidRPr="00000000" w14:paraId="000001CA">
      <w:pPr>
        <w:rPr>
          <w:b w:val="1"/>
          <w:bCs w:val="1"/>
        </w:rPr>
      </w:pPr>
      <w:r w:rsidDel="00000000" w:rsidR="00000000" w:rsidRPr="00000000">
        <w:rPr>
          <w:rtl w:val="0"/>
        </w:rPr>
      </w:r>
    </w:p>
    <w:p w:rsidR="00000000" w:rsidDel="00000000" w:rsidP="00000000" w:rsidRDefault="00000000" w:rsidRPr="00000000" w14:paraId="000001CB">
      <w:pPr>
        <w:rPr>
          <w:b w:val="1"/>
          <w:bCs w:val="1"/>
        </w:rPr>
      </w:pPr>
      <w:r w:rsidDel="00000000" w:rsidR="00000000" w:rsidRPr="00000000">
        <w:rPr>
          <w:rtl w:val="0"/>
        </w:rPr>
      </w:r>
    </w:p>
    <w:p w:rsidR="00000000" w:rsidDel="00000000" w:rsidP="00000000" w:rsidRDefault="00000000" w:rsidRPr="00000000" w14:paraId="000001CC">
      <w:pPr>
        <w:rPr>
          <w:b w:val="1"/>
          <w:bCs w:val="1"/>
        </w:rPr>
      </w:pPr>
      <w:r w:rsidDel="00000000" w:rsidR="00000000" w:rsidRPr="00000000">
        <w:rPr>
          <w:rtl w:val="0"/>
        </w:rPr>
      </w:r>
    </w:p>
    <w:p w:rsidR="00000000" w:rsidDel="00000000" w:rsidP="00000000" w:rsidRDefault="00000000" w:rsidRPr="00000000" w14:paraId="000001CD">
      <w:pPr>
        <w:rPr>
          <w:b w:val="1"/>
          <w:bCs w:val="1"/>
        </w:rPr>
      </w:pPr>
      <w:r w:rsidDel="00000000" w:rsidR="00000000" w:rsidRPr="00000000">
        <w:rPr>
          <w:b w:val="1"/>
          <w:bCs w:val="1"/>
          <w:rtl w:val="0"/>
        </w:rPr>
        <w:t xml:space="preserve">Tabla 5. Aspectos negativos de incluir género* por universidad</w:t>
      </w:r>
    </w:p>
    <w:tbl>
      <w:tblPr>
        <w:tblStyle w:val="Table7"/>
        <w:tblW w:w="8509.0" w:type="dxa"/>
        <w:jc w:val="left"/>
        <w:tblLayout w:type="fixed"/>
        <w:tblLook w:val="04A0"/>
      </w:tblPr>
      <w:tblGrid>
        <w:gridCol w:w="3365"/>
        <w:gridCol w:w="550"/>
        <w:gridCol w:w="740"/>
        <w:gridCol w:w="550"/>
        <w:gridCol w:w="737"/>
        <w:gridCol w:w="550"/>
        <w:gridCol w:w="737"/>
        <w:gridCol w:w="550"/>
        <w:gridCol w:w="730"/>
        <w:tblGridChange w:id="0">
          <w:tblGrid>
            <w:gridCol w:w="3365"/>
            <w:gridCol w:w="550"/>
            <w:gridCol w:w="740"/>
            <w:gridCol w:w="550"/>
            <w:gridCol w:w="737"/>
            <w:gridCol w:w="550"/>
            <w:gridCol w:w="737"/>
            <w:gridCol w:w="550"/>
            <w:gridCol w:w="730"/>
          </w:tblGrid>
        </w:tblGridChange>
      </w:tblGrid>
      <w:tr>
        <w:trPr>
          <w:cantSplit w:val="0"/>
          <w:trHeight w:val="300" w:hRule="atLeast"/>
          <w:tblHeader w:val="0"/>
        </w:trPr>
        <w:tc>
          <w:tcPr>
            <w:vMerge w:val="restart"/>
          </w:tcPr>
          <w:p w:rsidR="00000000" w:rsidDel="00000000" w:rsidP="00000000" w:rsidRDefault="00000000" w:rsidRPr="00000000" w14:paraId="000001CE">
            <w:pPr>
              <w:jc w:val="left"/>
              <w:rPr>
                <w:rFonts w:ascii="Calibri" w:cs="Calibri" w:eastAsia="Calibri" w:hAnsi="Calibri"/>
                <w:sz w:val="20"/>
                <w:szCs w:val="20"/>
              </w:rPr>
            </w:pPr>
            <w:r w:rsidDel="00000000" w:rsidR="00000000" w:rsidRPr="00000000">
              <w:rPr>
                <w:rtl w:val="0"/>
              </w:rPr>
            </w:r>
          </w:p>
        </w:tc>
        <w:tc>
          <w:tcPr>
            <w:gridSpan w:val="2"/>
            <w:vAlign w:val="center"/>
          </w:tcPr>
          <w:p w:rsidR="00000000" w:rsidDel="00000000" w:rsidP="00000000" w:rsidRDefault="00000000" w:rsidRPr="00000000" w14:paraId="000001C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UNTREF</w:t>
            </w:r>
          </w:p>
        </w:tc>
        <w:tc>
          <w:tcPr>
            <w:gridSpan w:val="2"/>
            <w:vAlign w:val="center"/>
          </w:tcPr>
          <w:p w:rsidR="00000000" w:rsidDel="00000000" w:rsidP="00000000" w:rsidRDefault="00000000" w:rsidRPr="00000000" w14:paraId="000001D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UNAHUR</w:t>
            </w:r>
          </w:p>
        </w:tc>
        <w:tc>
          <w:tcPr>
            <w:gridSpan w:val="2"/>
            <w:vAlign w:val="center"/>
          </w:tcPr>
          <w:p w:rsidR="00000000" w:rsidDel="00000000" w:rsidP="00000000" w:rsidRDefault="00000000" w:rsidRPr="00000000" w14:paraId="000001D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UNNOBA</w:t>
            </w:r>
          </w:p>
        </w:tc>
        <w:tc>
          <w:tcPr>
            <w:gridSpan w:val="2"/>
            <w:vAlign w:val="center"/>
          </w:tcPr>
          <w:p w:rsidR="00000000" w:rsidDel="00000000" w:rsidP="00000000" w:rsidRDefault="00000000" w:rsidRPr="00000000" w14:paraId="000001D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UNSAM</w:t>
            </w:r>
          </w:p>
        </w:tc>
      </w:tr>
      <w:tr>
        <w:trPr>
          <w:cantSplit w:val="0"/>
          <w:trHeight w:val="320" w:hRule="atLeast"/>
          <w:tblHeader w:val="0"/>
        </w:trPr>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1D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D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D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D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D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D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vAlign w:val="center"/>
          </w:tcPr>
          <w:p w:rsidR="00000000" w:rsidDel="00000000" w:rsidP="00000000" w:rsidRDefault="00000000" w:rsidRPr="00000000" w14:paraId="000001D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w:t>
            </w:r>
          </w:p>
        </w:tc>
        <w:tc>
          <w:tcPr>
            <w:vAlign w:val="center"/>
          </w:tcPr>
          <w:p w:rsidR="00000000" w:rsidDel="00000000" w:rsidP="00000000" w:rsidRDefault="00000000" w:rsidRPr="00000000" w14:paraId="000001D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300" w:hRule="atLeast"/>
          <w:tblHeader w:val="0"/>
        </w:trPr>
        <w:tc>
          <w:tcPr/>
          <w:p w:rsidR="00000000" w:rsidDel="00000000" w:rsidP="00000000" w:rsidRDefault="00000000" w:rsidRPr="00000000" w14:paraId="000001E0">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se identifican aspectos negativos</w:t>
            </w:r>
            <w:r w:rsidDel="00000000" w:rsidR="00000000" w:rsidRPr="00000000">
              <w:rPr>
                <w:rtl w:val="0"/>
              </w:rPr>
            </w:r>
          </w:p>
        </w:tc>
        <w:tc>
          <w:tcPr>
            <w:vAlign w:val="center"/>
          </w:tcPr>
          <w:p w:rsidR="00000000" w:rsidDel="00000000" w:rsidP="00000000" w:rsidRDefault="00000000" w:rsidRPr="00000000" w14:paraId="000001E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w:t>
            </w:r>
          </w:p>
        </w:tc>
        <w:tc>
          <w:tcPr>
            <w:vAlign w:val="center"/>
          </w:tcPr>
          <w:p w:rsidR="00000000" w:rsidDel="00000000" w:rsidP="00000000" w:rsidRDefault="00000000" w:rsidRPr="00000000" w14:paraId="000001E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40,5%</w:t>
            </w:r>
          </w:p>
        </w:tc>
        <w:tc>
          <w:tcPr>
            <w:vAlign w:val="center"/>
          </w:tcPr>
          <w:p w:rsidR="00000000" w:rsidDel="00000000" w:rsidP="00000000" w:rsidRDefault="00000000" w:rsidRPr="00000000" w14:paraId="000001E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w:t>
            </w:r>
          </w:p>
        </w:tc>
        <w:tc>
          <w:tcPr>
            <w:vAlign w:val="center"/>
          </w:tcPr>
          <w:p w:rsidR="00000000" w:rsidDel="00000000" w:rsidP="00000000" w:rsidRDefault="00000000" w:rsidRPr="00000000" w14:paraId="000001E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21,5%</w:t>
            </w:r>
          </w:p>
        </w:tc>
        <w:tc>
          <w:tcPr>
            <w:vAlign w:val="center"/>
          </w:tcPr>
          <w:p w:rsidR="00000000" w:rsidDel="00000000" w:rsidP="00000000" w:rsidRDefault="00000000" w:rsidRPr="00000000" w14:paraId="000001E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w:t>
            </w:r>
          </w:p>
        </w:tc>
        <w:tc>
          <w:tcPr>
            <w:vAlign w:val="center"/>
          </w:tcPr>
          <w:p w:rsidR="00000000" w:rsidDel="00000000" w:rsidP="00000000" w:rsidRDefault="00000000" w:rsidRPr="00000000" w14:paraId="000001E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31,3%</w:t>
            </w:r>
          </w:p>
        </w:tc>
        <w:tc>
          <w:tcPr>
            <w:vAlign w:val="center"/>
          </w:tcPr>
          <w:p w:rsidR="00000000" w:rsidDel="00000000" w:rsidP="00000000" w:rsidRDefault="00000000" w:rsidRPr="00000000" w14:paraId="000001E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Align w:val="center"/>
          </w:tcPr>
          <w:p w:rsidR="00000000" w:rsidDel="00000000" w:rsidP="00000000" w:rsidRDefault="00000000" w:rsidRPr="00000000" w14:paraId="000001E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21,7%</w:t>
            </w:r>
          </w:p>
        </w:tc>
      </w:tr>
      <w:tr>
        <w:trPr>
          <w:cantSplit w:val="0"/>
          <w:trHeight w:val="300" w:hRule="atLeast"/>
          <w:tblHeader w:val="0"/>
        </w:trPr>
        <w:tc>
          <w:tcPr/>
          <w:p w:rsidR="00000000" w:rsidDel="00000000" w:rsidP="00000000" w:rsidRDefault="00000000" w:rsidRPr="00000000" w14:paraId="000001E9">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Posibles resistencias al cambio y dificultades en la implementación</w:t>
            </w:r>
            <w:r w:rsidDel="00000000" w:rsidR="00000000" w:rsidRPr="00000000">
              <w:rPr>
                <w:rtl w:val="0"/>
              </w:rPr>
            </w:r>
          </w:p>
        </w:tc>
        <w:tc>
          <w:tcPr>
            <w:vAlign w:val="center"/>
          </w:tcPr>
          <w:p w:rsidR="00000000" w:rsidDel="00000000" w:rsidP="00000000" w:rsidRDefault="00000000" w:rsidRPr="00000000" w14:paraId="000001E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w:t>
            </w:r>
          </w:p>
        </w:tc>
        <w:tc>
          <w:tcPr>
            <w:vAlign w:val="center"/>
          </w:tcPr>
          <w:p w:rsidR="00000000" w:rsidDel="00000000" w:rsidP="00000000" w:rsidRDefault="00000000" w:rsidRPr="00000000" w14:paraId="000001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w:t>
            </w:r>
          </w:p>
        </w:tc>
        <w:tc>
          <w:tcPr>
            <w:vAlign w:val="center"/>
          </w:tcPr>
          <w:p w:rsidR="00000000" w:rsidDel="00000000" w:rsidP="00000000" w:rsidRDefault="00000000" w:rsidRPr="00000000" w14:paraId="000001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15,4%</w:t>
            </w:r>
          </w:p>
        </w:tc>
        <w:tc>
          <w:tcPr>
            <w:vAlign w:val="center"/>
          </w:tcPr>
          <w:p w:rsidR="00000000" w:rsidDel="00000000" w:rsidP="00000000" w:rsidRDefault="00000000" w:rsidRPr="00000000" w14:paraId="000001E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Align w:val="center"/>
          </w:tcPr>
          <w:p w:rsidR="00000000" w:rsidDel="00000000" w:rsidP="00000000" w:rsidRDefault="00000000" w:rsidRPr="00000000" w14:paraId="000001E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w:t>
            </w:r>
          </w:p>
        </w:tc>
        <w:tc>
          <w:tcPr>
            <w:vAlign w:val="center"/>
          </w:tcPr>
          <w:p w:rsidR="00000000" w:rsidDel="00000000" w:rsidP="00000000" w:rsidRDefault="00000000" w:rsidRPr="00000000" w14:paraId="000001F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Align w:val="center"/>
          </w:tcPr>
          <w:p w:rsidR="00000000" w:rsidDel="00000000" w:rsidP="00000000" w:rsidRDefault="00000000" w:rsidRPr="00000000" w14:paraId="000001F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13,0%</w:t>
            </w:r>
          </w:p>
        </w:tc>
      </w:tr>
      <w:tr>
        <w:trPr>
          <w:cantSplit w:val="0"/>
          <w:trHeight w:val="300" w:hRule="atLeast"/>
          <w:tblHeader w:val="0"/>
        </w:trPr>
        <w:tc>
          <w:tcPr/>
          <w:p w:rsidR="00000000" w:rsidDel="00000000" w:rsidP="00000000" w:rsidRDefault="00000000" w:rsidRPr="00000000" w14:paraId="000001F2">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Deficiencias en su enseñanza e integración en la formación</w:t>
            </w:r>
            <w:r w:rsidDel="00000000" w:rsidR="00000000" w:rsidRPr="00000000">
              <w:rPr>
                <w:rtl w:val="0"/>
              </w:rPr>
            </w:r>
          </w:p>
        </w:tc>
        <w:tc>
          <w:tcPr>
            <w:vAlign w:val="center"/>
          </w:tcPr>
          <w:p w:rsidR="00000000" w:rsidDel="00000000" w:rsidP="00000000" w:rsidRDefault="00000000" w:rsidRPr="00000000" w14:paraId="000001F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vAlign w:val="center"/>
          </w:tcPr>
          <w:p w:rsidR="00000000" w:rsidDel="00000000" w:rsidP="00000000" w:rsidRDefault="00000000" w:rsidRPr="00000000" w14:paraId="000001F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c>
          <w:tcPr>
            <w:vAlign w:val="center"/>
          </w:tcPr>
          <w:p w:rsidR="00000000" w:rsidDel="00000000" w:rsidP="00000000" w:rsidRDefault="00000000" w:rsidRPr="00000000" w14:paraId="000001F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1F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w:t>
            </w:r>
          </w:p>
        </w:tc>
        <w:tc>
          <w:tcPr>
            <w:vAlign w:val="center"/>
          </w:tcPr>
          <w:p w:rsidR="00000000" w:rsidDel="00000000" w:rsidP="00000000" w:rsidRDefault="00000000" w:rsidRPr="00000000" w14:paraId="000001F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Align w:val="center"/>
          </w:tcPr>
          <w:p w:rsidR="00000000" w:rsidDel="00000000" w:rsidP="00000000" w:rsidRDefault="00000000" w:rsidRPr="00000000" w14:paraId="000001F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7,2%</w:t>
            </w:r>
          </w:p>
        </w:tc>
        <w:tc>
          <w:tcPr>
            <w:vAlign w:val="center"/>
          </w:tcPr>
          <w:p w:rsidR="00000000" w:rsidDel="00000000" w:rsidP="00000000" w:rsidRDefault="00000000" w:rsidRPr="00000000" w14:paraId="000001F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vAlign w:val="center"/>
          </w:tcPr>
          <w:p w:rsidR="00000000" w:rsidDel="00000000" w:rsidP="00000000" w:rsidRDefault="00000000" w:rsidRPr="00000000" w14:paraId="000001F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w:t>
            </w:r>
          </w:p>
        </w:tc>
      </w:tr>
      <w:tr>
        <w:trPr>
          <w:cantSplit w:val="0"/>
          <w:trHeight w:val="300" w:hRule="atLeast"/>
          <w:tblHeader w:val="0"/>
        </w:trPr>
        <w:tc>
          <w:tcPr/>
          <w:p w:rsidR="00000000" w:rsidDel="00000000" w:rsidP="00000000" w:rsidRDefault="00000000" w:rsidRPr="00000000" w14:paraId="000001FB">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Posibles enfoques problemáticos o percepción de imposición</w:t>
            </w:r>
            <w:r w:rsidDel="00000000" w:rsidR="00000000" w:rsidRPr="00000000">
              <w:rPr>
                <w:rtl w:val="0"/>
              </w:rPr>
            </w:r>
          </w:p>
        </w:tc>
        <w:tc>
          <w:tcPr>
            <w:vAlign w:val="center"/>
          </w:tcPr>
          <w:p w:rsidR="00000000" w:rsidDel="00000000" w:rsidP="00000000" w:rsidRDefault="00000000" w:rsidRPr="00000000" w14:paraId="000001F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1F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5,1%</w:t>
            </w:r>
          </w:p>
        </w:tc>
        <w:tc>
          <w:tcPr>
            <w:vAlign w:val="center"/>
          </w:tcPr>
          <w:p w:rsidR="00000000" w:rsidDel="00000000" w:rsidP="00000000" w:rsidRDefault="00000000" w:rsidRPr="00000000" w14:paraId="000001F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Align w:val="center"/>
          </w:tcPr>
          <w:p w:rsidR="00000000" w:rsidDel="00000000" w:rsidP="00000000" w:rsidRDefault="00000000" w:rsidRPr="00000000" w14:paraId="000001F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w:t>
            </w:r>
          </w:p>
        </w:tc>
        <w:tc>
          <w:tcPr>
            <w:vAlign w:val="center"/>
          </w:tcPr>
          <w:p w:rsidR="00000000" w:rsidDel="00000000" w:rsidP="00000000" w:rsidRDefault="00000000" w:rsidRPr="00000000" w14:paraId="0000020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20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20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Align w:val="center"/>
          </w:tcPr>
          <w:p w:rsidR="00000000" w:rsidDel="00000000" w:rsidP="00000000" w:rsidRDefault="00000000" w:rsidRPr="00000000" w14:paraId="0000020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4,3%</w:t>
            </w:r>
          </w:p>
        </w:tc>
      </w:tr>
      <w:tr>
        <w:trPr>
          <w:cantSplit w:val="0"/>
          <w:trHeight w:val="300" w:hRule="atLeast"/>
          <w:tblHeader w:val="0"/>
        </w:trPr>
        <w:tc>
          <w:tcPr/>
          <w:p w:rsidR="00000000" w:rsidDel="00000000" w:rsidP="00000000" w:rsidRDefault="00000000" w:rsidRPr="00000000" w14:paraId="00000204">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Preocupaciones sobre impacto y prioridades en la educación</w:t>
            </w:r>
            <w:r w:rsidDel="00000000" w:rsidR="00000000" w:rsidRPr="00000000">
              <w:rPr>
                <w:rtl w:val="0"/>
              </w:rPr>
            </w:r>
          </w:p>
        </w:tc>
        <w:tc>
          <w:tcPr>
            <w:vAlign w:val="center"/>
          </w:tcPr>
          <w:p w:rsidR="00000000" w:rsidDel="00000000" w:rsidP="00000000" w:rsidRDefault="00000000" w:rsidRPr="00000000" w14:paraId="0000020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Align w:val="center"/>
          </w:tcPr>
          <w:p w:rsidR="00000000" w:rsidDel="00000000" w:rsidP="00000000" w:rsidRDefault="00000000" w:rsidRPr="00000000" w14:paraId="0000020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w:t>
            </w:r>
          </w:p>
        </w:tc>
        <w:tc>
          <w:tcPr>
            <w:vAlign w:val="center"/>
          </w:tcPr>
          <w:p w:rsidR="00000000" w:rsidDel="00000000" w:rsidP="00000000" w:rsidRDefault="00000000" w:rsidRPr="00000000" w14:paraId="0000020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Align w:val="center"/>
          </w:tcPr>
          <w:p w:rsidR="00000000" w:rsidDel="00000000" w:rsidP="00000000" w:rsidRDefault="00000000" w:rsidRPr="00000000" w14:paraId="0000020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c>
          <w:tcPr>
            <w:vAlign w:val="center"/>
          </w:tcPr>
          <w:p w:rsidR="00000000" w:rsidDel="00000000" w:rsidP="00000000" w:rsidRDefault="00000000" w:rsidRPr="00000000" w14:paraId="0000020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Align w:val="center"/>
          </w:tcPr>
          <w:p w:rsidR="00000000" w:rsidDel="00000000" w:rsidP="00000000" w:rsidRDefault="00000000" w:rsidRPr="00000000" w14:paraId="0000020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7,2%</w:t>
            </w:r>
          </w:p>
        </w:tc>
        <w:tc>
          <w:tcPr>
            <w:vAlign w:val="center"/>
          </w:tcPr>
          <w:p w:rsidR="00000000" w:rsidDel="00000000" w:rsidP="00000000" w:rsidRDefault="00000000" w:rsidRPr="00000000" w14:paraId="0000020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20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r>
      <w:tr>
        <w:trPr>
          <w:cantSplit w:val="0"/>
          <w:trHeight w:val="300" w:hRule="atLeast"/>
          <w:tblHeader w:val="0"/>
        </w:trPr>
        <w:tc>
          <w:tcPr/>
          <w:p w:rsidR="00000000" w:rsidDel="00000000" w:rsidP="00000000" w:rsidRDefault="00000000" w:rsidRPr="00000000" w14:paraId="0000020D">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Otros</w:t>
            </w:r>
            <w:r w:rsidDel="00000000" w:rsidR="00000000" w:rsidRPr="00000000">
              <w:rPr>
                <w:rtl w:val="0"/>
              </w:rPr>
            </w:r>
          </w:p>
        </w:tc>
        <w:tc>
          <w:tcPr>
            <w:vAlign w:val="center"/>
          </w:tcPr>
          <w:p w:rsidR="00000000" w:rsidDel="00000000" w:rsidP="00000000" w:rsidRDefault="00000000" w:rsidRPr="00000000" w14:paraId="0000020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w:t>
            </w:r>
          </w:p>
        </w:tc>
        <w:tc>
          <w:tcPr>
            <w:vAlign w:val="center"/>
          </w:tcPr>
          <w:p w:rsidR="00000000" w:rsidDel="00000000" w:rsidP="00000000" w:rsidRDefault="00000000" w:rsidRPr="00000000" w14:paraId="0000020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32,9%</w:t>
            </w:r>
          </w:p>
        </w:tc>
        <w:tc>
          <w:tcPr>
            <w:vAlign w:val="center"/>
          </w:tcPr>
          <w:p w:rsidR="00000000" w:rsidDel="00000000" w:rsidP="00000000" w:rsidRDefault="00000000" w:rsidRPr="00000000" w14:paraId="0000021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52</w:t>
            </w:r>
          </w:p>
        </w:tc>
        <w:tc>
          <w:tcPr>
            <w:vAlign w:val="center"/>
          </w:tcPr>
          <w:p w:rsidR="00000000" w:rsidDel="00000000" w:rsidP="00000000" w:rsidRDefault="00000000" w:rsidRPr="00000000" w14:paraId="0000021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34,9%</w:t>
            </w:r>
          </w:p>
        </w:tc>
        <w:tc>
          <w:tcPr>
            <w:vAlign w:val="center"/>
          </w:tcPr>
          <w:p w:rsidR="00000000" w:rsidDel="00000000" w:rsidP="00000000" w:rsidRDefault="00000000" w:rsidRPr="00000000" w14:paraId="0000021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Align w:val="center"/>
          </w:tcPr>
          <w:p w:rsidR="00000000" w:rsidDel="00000000" w:rsidP="00000000" w:rsidRDefault="00000000" w:rsidRPr="00000000" w14:paraId="0000021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w:t>
            </w:r>
          </w:p>
        </w:tc>
        <w:tc>
          <w:tcPr>
            <w:vAlign w:val="center"/>
          </w:tcPr>
          <w:p w:rsidR="00000000" w:rsidDel="00000000" w:rsidP="00000000" w:rsidRDefault="00000000" w:rsidRPr="00000000" w14:paraId="0000021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w:t>
            </w:r>
          </w:p>
        </w:tc>
        <w:tc>
          <w:tcPr>
            <w:vAlign w:val="center"/>
          </w:tcPr>
          <w:p w:rsidR="00000000" w:rsidDel="00000000" w:rsidP="00000000" w:rsidRDefault="00000000" w:rsidRPr="00000000" w14:paraId="0000021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50,0%</w:t>
            </w:r>
          </w:p>
        </w:tc>
      </w:tr>
      <w:tr>
        <w:trPr>
          <w:cantSplit w:val="0"/>
          <w:trHeight w:val="300" w:hRule="atLeast"/>
          <w:tblHeader w:val="0"/>
        </w:trPr>
        <w:tc>
          <w:tcPr/>
          <w:p w:rsidR="00000000" w:rsidDel="00000000" w:rsidP="00000000" w:rsidRDefault="00000000" w:rsidRPr="00000000" w14:paraId="00000216">
            <w:pPr>
              <w:jc w:val="left"/>
              <w:rPr>
                <w:rFonts w:ascii="Calibri" w:cs="Calibri" w:eastAsia="Calibri" w:hAnsi="Calibri"/>
                <w:sz w:val="20"/>
                <w:szCs w:val="20"/>
              </w:rPr>
            </w:pPr>
            <w:r w:rsidDel="00000000" w:rsidR="00000000" w:rsidRPr="00000000">
              <w:rPr>
                <w:rFonts w:ascii="Calibri" w:cs="Calibri" w:eastAsia="Calibri" w:hAnsi="Calibri"/>
                <w:smallCaps w:val="0"/>
                <w:sz w:val="20"/>
                <w:szCs w:val="20"/>
                <w:rtl w:val="0"/>
              </w:rPr>
              <w:t xml:space="preserve">No responde </w:t>
            </w:r>
            <w:r w:rsidDel="00000000" w:rsidR="00000000" w:rsidRPr="00000000">
              <w:rPr>
                <w:rtl w:val="0"/>
              </w:rPr>
            </w:r>
          </w:p>
        </w:tc>
        <w:tc>
          <w:tcPr>
            <w:vAlign w:val="center"/>
          </w:tcPr>
          <w:p w:rsidR="00000000" w:rsidDel="00000000" w:rsidP="00000000" w:rsidRDefault="00000000" w:rsidRPr="00000000" w14:paraId="0000021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21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w:t>
            </w:r>
          </w:p>
        </w:tc>
        <w:tc>
          <w:tcPr>
            <w:vAlign w:val="center"/>
          </w:tcPr>
          <w:p w:rsidR="00000000" w:rsidDel="00000000" w:rsidP="00000000" w:rsidRDefault="00000000" w:rsidRPr="00000000" w14:paraId="0000021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Align w:val="center"/>
          </w:tcPr>
          <w:p w:rsidR="00000000" w:rsidDel="00000000" w:rsidP="00000000" w:rsidRDefault="00000000" w:rsidRPr="00000000" w14:paraId="0000021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w:t>
            </w:r>
          </w:p>
        </w:tc>
        <w:tc>
          <w:tcPr>
            <w:vAlign w:val="center"/>
          </w:tcPr>
          <w:p w:rsidR="00000000" w:rsidDel="00000000" w:rsidP="00000000" w:rsidRDefault="00000000" w:rsidRPr="00000000" w14:paraId="0000021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c>
          <w:tcPr>
            <w:vAlign w:val="center"/>
          </w:tcPr>
          <w:p w:rsidR="00000000" w:rsidDel="00000000" w:rsidP="00000000" w:rsidRDefault="00000000" w:rsidRPr="00000000" w14:paraId="0000021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26,5%</w:t>
            </w:r>
          </w:p>
        </w:tc>
        <w:tc>
          <w:tcPr>
            <w:vAlign w:val="center"/>
          </w:tcPr>
          <w:p w:rsidR="00000000" w:rsidDel="00000000" w:rsidP="00000000" w:rsidRDefault="00000000" w:rsidRPr="00000000" w14:paraId="0000021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21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8,7%</w:t>
            </w:r>
          </w:p>
        </w:tc>
      </w:tr>
    </w:tbl>
    <w:p w:rsidR="00000000" w:rsidDel="00000000" w:rsidP="00000000" w:rsidRDefault="00000000" w:rsidRPr="00000000" w14:paraId="0000021F">
      <w:pPr>
        <w:spacing w:after="160" w:before="40" w:lineRule="auto"/>
        <w:rPr/>
      </w:pPr>
      <w:r w:rsidDel="00000000" w:rsidR="00000000" w:rsidRPr="00000000">
        <w:rPr>
          <w:rFonts w:ascii="Calibri" w:cs="Calibri" w:eastAsia="Calibri" w:hAnsi="Calibri"/>
          <w:sz w:val="15"/>
          <w:szCs w:val="15"/>
          <w:rtl w:val="0"/>
        </w:rPr>
        <w:t xml:space="preserve">Nota: respuesta múltiple denominador = 357.</w:t>
      </w: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Los resultados describen un escenario en el que la perspectiva de género es valorada de manera predominantemente favorable por las y los estudiantes (69,6% de valoración positiva), asociada sobre todo a la mejora de la calidad del cuidado, la comunicación en salud y la equidad. Esta valoración convive, sin embargo, con una escasa priorización espontánea del tema (4,8%) cuando se lo coloca en competencia con contenidos técnicos y clínicos, lo que sugiere que la adhesión declarativa no se traduce automáticamente en una jerarquización del género dentro del plan de estudios.</w:t>
      </w:r>
    </w:p>
    <w:p w:rsidR="00000000" w:rsidDel="00000000" w:rsidP="00000000" w:rsidRDefault="00000000" w:rsidRPr="00000000" w14:paraId="00000222">
      <w:pPr>
        <w:rPr/>
      </w:pPr>
      <w:r w:rsidDel="00000000" w:rsidR="00000000" w:rsidRPr="00000000">
        <w:rPr>
          <w:rtl w:val="0"/>
        </w:rPr>
        <w:t xml:space="preserve">Los facilitadores percibidos remiten a la sensibilidad estudiantil frente a la diversidad, al reconocimiento de desigualdades y a la aspiración a una formación más integral y respetuosa. El género se vincula, desde la mirada estudiantil, primero con el cuidado y el trato a las personas usuarias, y luego con derechos, inclusión y prevención de violencias.</w:t>
      </w:r>
    </w:p>
    <w:p w:rsidR="00000000" w:rsidDel="00000000" w:rsidP="00000000" w:rsidRDefault="00000000" w:rsidRPr="00000000" w14:paraId="00000223">
      <w:pPr>
        <w:rPr/>
      </w:pPr>
      <w:r w:rsidDel="00000000" w:rsidR="00000000" w:rsidRPr="00000000">
        <w:rPr>
          <w:rtl w:val="0"/>
        </w:rPr>
        <w:t xml:space="preserve">Los obstáculos se ubican menos en el rechazo explícito al tema —minoritario— y más en las condiciones de implementación: priorización curricular, resistencias al cambio, capacitación docente y disponibilidad de materiales. Cuando aparecen objeciones de fondo, adoptan la forma de percepción de imposición o politización, pero su peso relativo es bajo (3,1%).</w:t>
      </w:r>
    </w:p>
    <w:p w:rsidR="00000000" w:rsidDel="00000000" w:rsidP="00000000" w:rsidRDefault="00000000" w:rsidRPr="00000000" w14:paraId="00000224">
      <w:pPr>
        <w:rPr/>
      </w:pPr>
      <w:r w:rsidDel="00000000" w:rsidR="00000000" w:rsidRPr="00000000">
        <w:rPr>
          <w:rtl w:val="0"/>
        </w:rPr>
        <w:t xml:space="preserve">Conviene distinguir, dentro de las posturas críticas, entre la oposición al contenido, la percepción de imposición, la falta de claridad conceptual y los problemas pedagógicos. Una parte de las respuestas clasificadas como “otros” no expresa rechazo, sino una lectura del problema (desigualdad, discriminación) que reorienta la consigna; esto refuerza la idea de que el conflicto explícito es limitado.</w:t>
      </w:r>
    </w:p>
    <w:p w:rsidR="00000000" w:rsidDel="00000000" w:rsidP="00000000" w:rsidRDefault="00000000" w:rsidRPr="00000000" w14:paraId="00000225">
      <w:pPr>
        <w:rPr/>
      </w:pPr>
      <w:r w:rsidDel="00000000" w:rsidR="00000000" w:rsidRPr="00000000">
        <w:rPr>
          <w:rtl w:val="0"/>
        </w:rPr>
        <w:t xml:space="preserve">En conjunto, los datos sugieren que la implementación efectiva de la perspectiva de género depende menos de convencer sobre su pertinencia, ampliamente aceptada, y más de generar condiciones curriculares, institucionales y pedagógicas que permitan integrarla de manera transversal y no como contenido aislado.</w:t>
      </w:r>
    </w:p>
    <w:p w:rsidR="00000000" w:rsidDel="00000000" w:rsidP="00000000" w:rsidRDefault="00000000" w:rsidRPr="00000000" w14:paraId="00000226">
      <w:pPr>
        <w:rPr>
          <w:b w:val="1"/>
          <w:bCs w:val="1"/>
        </w:rPr>
      </w:pPr>
      <w:r w:rsidDel="00000000" w:rsidR="00000000" w:rsidRPr="00000000">
        <w:rPr>
          <w:rtl w:val="0"/>
        </w:rPr>
      </w:r>
    </w:p>
    <w:p w:rsidR="00000000" w:rsidDel="00000000" w:rsidP="00000000" w:rsidRDefault="00000000" w:rsidRPr="00000000" w14:paraId="00000227">
      <w:pPr>
        <w:rPr>
          <w:b w:val="1"/>
          <w:bCs w:val="1"/>
        </w:rPr>
      </w:pPr>
      <w:r w:rsidDel="00000000" w:rsidR="00000000" w:rsidRPr="00000000">
        <w:rPr>
          <w:b w:val="1"/>
          <w:bCs w:val="1"/>
          <w:rtl w:val="0"/>
        </w:rPr>
        <w:t xml:space="preserve">DISCUSIÓ</w:t>
      </w:r>
      <w:r w:rsidDel="00000000" w:rsidR="00000000" w:rsidRPr="00000000">
        <w:rPr>
          <w:b w:val="1"/>
          <w:bCs w:val="1"/>
          <w:rtl w:val="0"/>
        </w:rPr>
        <w:t xml:space="preserve">N</w:t>
      </w: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Los resultados muestran que la incorporación de la perspectiva de género en la formación de enfermería cuenta con una valoración ampliamente favorable por parte del estudiantado. La mayoría de las personas encuestadas reconoce su relevancia para mejorar la calidad de la atención, fortalecer la comunicación con pacientes y promover prácticas más inclusivas y respetuosas de la diversidad. Estos hallazgos coinciden con estudios previos que señalan que la formación en género contribuye al desarrollo de competencias profesionales orientadas a reducir desigualdades y sesgos en la atención sanitaria (Ruiz-Cantero et al., 2019; Valenzuela et al., 2019). </w:t>
      </w:r>
    </w:p>
    <w:p w:rsidR="00000000" w:rsidDel="00000000" w:rsidP="00000000" w:rsidRDefault="00000000" w:rsidRPr="00000000" w14:paraId="00000229">
      <w:pPr>
        <w:rPr/>
      </w:pPr>
      <w:r w:rsidDel="00000000" w:rsidR="00000000" w:rsidRPr="00000000">
        <w:rPr>
          <w:rtl w:val="0"/>
        </w:rPr>
        <w:t xml:space="preserve">Sin embargo, la valoración positiva convive con una baja priorización espontánea del tema cuando se lo compara con contenidos técnicos y clínicos. Este hallazgo sugiere que, si bien la legitimidad de la perspectiva de género parece ampliamente aceptada, su incorporación aún no alcanza el mismo nivel de centralidad que otros contenidos considerados nucleares en la formación profesional. En este sentido, los principales obstáculos identificados no remiten al rechazo de la temática, sino a las condiciones de su implementación: la organización curricular, la capacitación docente y la disponibilidad de estrategias pedagógicas adecuadas.</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Asimismo, se observaron diferencias vinculadas con las trayectorias formativas. Los estudiantes más avanzados expresaron valoraciones más favorables y menores niveles de incertidumbre respecto de la importancia de esta perspectiva. Esto refuerza la hipótesis de que la formación universitaria no solo transmite conocimientos disciplinares, sino que también contribuye a construir marcos interpretativos y sensibilidades profesionales vinculadas con el cuidado.</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En conjunto, los resultados sugieren que el desafío actual no radica tanto en justificar la incorporación de la perspectiva de género, sino en fortalecer los mecanismos institucionales y curriculares que permitan su transversalización efectiva. Para la formación en enfermería, esto implica avanzar hacia propuestas pedagógicas que integren el género y la interseccionalidad como dimensiones constitutivas de la práctica profesional y de la calidad de la atención en salud. </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b w:val="1"/>
          <w:bCs w:val="1"/>
        </w:rPr>
      </w:pPr>
      <w:r w:rsidDel="00000000" w:rsidR="00000000" w:rsidRPr="00000000">
        <w:rPr>
          <w:b w:val="1"/>
          <w:bCs w:val="1"/>
          <w:rtl w:val="0"/>
        </w:rPr>
        <w:t xml:space="preserve">RECONOCIMIENTOS</w:t>
      </w: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Estudio financiado por la Secretaría de Investigación y Desarrollo de la UNTREF (Proyectos SID 2024-2026). Estudio dirigido por Ermelinda. Salinas (UNTREF) y equipo conformado por: Arrueta, Aida (UNTREF), Cros Baez, Valeria (UNTREF), Jacobs, Marcela (UNTREF), Penna, Adriana (UNTREF), Lazzaro, María Mónica (UNNOBA), Pinto Bejas Javier (UNSAM), </w:t>
      </w:r>
      <w:r w:rsidDel="00000000" w:rsidR="00000000" w:rsidRPr="00000000">
        <w:rPr>
          <w:rtl w:val="0"/>
        </w:rPr>
        <w:t xml:space="preserve">Godoy, Noelia (ISC-UNAHUR), </w:t>
      </w:r>
      <w:r w:rsidDel="00000000" w:rsidR="00000000" w:rsidRPr="00000000">
        <w:rPr>
          <w:rtl w:val="0"/>
        </w:rPr>
        <w:t xml:space="preserve">Mielniczuk, Patricia (UNAHUR), Cuberli, Milca (ISC-UNAHUR/UBA), Rico, Ana (UNPAZ/UNTREF), Sánchez Antelo, Victoria (UNTREF/CEDES/CONICET).</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b w:val="1"/>
          <w:bCs w:val="1"/>
        </w:rPr>
      </w:pPr>
      <w:r w:rsidDel="00000000" w:rsidR="00000000" w:rsidRPr="00000000">
        <w:rPr>
          <w:b w:val="1"/>
          <w:bCs w:val="1"/>
          <w:rtl w:val="0"/>
        </w:rPr>
        <w:t xml:space="preserve">REFERENCIAS BIBLIOGRÁFICAS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Acker, J. (2012). Gendered organizations and intersectionality: Problems and possibilities.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Equality, Diversity and Inclusion: An International Journal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214-224. https://doi.org/10.1108/02610151211209072</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Aguirre Raya, D. A. (2020). Retos y desafíos de la Enfermería en el mundo moderno.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Habanera de Ciencias Médicas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19</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http://scielo.sld.cu/scielo.php?script=sci_abstract&amp;pid=S1729-519X2020000300001&amp;lng=es&amp;nrm=iso&amp;tlng=es</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Alcívar Rivas, M. M., &amp; Chica Gilces, E. H. (2025). Estrategias de gestión universitaria para fortalecer la inclusión de género en los estudiantes Uleam-Sucre.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ULEAM Bahía Magazine: (UBM)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 19.</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Attardo, C. (Ed.). (2020).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Apuntes sobre género en currículas e investigación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UNR Editora.</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Bolaños Cubero, C. (2023).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Curriculum universitario género sensitivo e inclusivo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https://www.lareferencia.info/vufind/Record/CR_ccbdcdc56889a9e023e048510dc838c1</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Bonder, G. (2022).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institucionalización del enfoque de igualdad de género en universidades de América Latina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ed.). Cátedra Regional UNESCO Mujer, Ciencia y Tecnología en América Latina. https://catedra.pucp.edu.pe/unesco/publicaciones/genero-y-universidad-el-caso-de-la-pontificia-universidad-catolica-del-peru/</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Buquet Corleto, A. G. (2016). El orden de género en la educación superior: Una aproximación interdisciplinaria.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Nómadas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(44), 27-43. https://doi.org/10.30578/nomadas.n44a2</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Chamizo Vega, C. (2004). La perspectiva de género en Enfermería: Comentarios y reflexiones.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Index de Enfermería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(46), 40-44.</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Cruz, V. (2021). La institucionalización de la perspectiva de género en universidades públicas: Apuntes sobre experiencias (de)construidas y pendientes. 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Martín, AL (comp.). RUGE, el género en las universidades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ed., pp. 57-67). CIN. https://utn.edu.ar/images/Secretarias/SAE/RUGE/RUGE-libro-digital_El-gnero-en-las-Universidades.pdf#page=57</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Fabbri, L., &amp; Rovetto, F. (2020). Introducción Cuadernos feministas para la transversalización. 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Apuntes epistemológicos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ed.). Editorial de la Universidad Nacional de Rosario.</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Gaba, M. R., Gajardo-Poblete, C., Murillo-Núñez, N., Gaba, M. R., Gajardo-Poblete, C., &amp; Murillo-Núñez, N. (2024). Transversalización de la perspectiva de género(s) en el desarrollo curricular y docente de pregrado universitario (2019-2024).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Estudios pedagógicos (Valdivia)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79-101. https://doi.org/10.4067/s0718-07052024000300079</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Greenhalgh, T., Robert, G., Macfarlane, F., Bate, P., &amp; Kyriakidou, O. (2004). Diffusion of innovations in service organizations: Systematic review and recommendations.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The Milbank Quarterly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581-629. https://doi.org/10.1111/j.0887-378X.2004.00325.x</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Hankivsky, O., Doyal, L., Einstein, G., Kelly, U., Shim, J. K., Weber, L., &amp; Repta, R. (2017). The odd couple: Using biomedical and intersectional approaches to address health inequities.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Global Health Action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https://doi.org/10.1080/16549716.2017.1326686</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Lione, S. V. (2024). Políticas de género en investigación. Un análisis de la Universidad Nacional del Litoral, Argentina (1992-2019).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PAPELES del Centro de Investigaciones de la Facultad de Ciencias Jurídicas y Sociales de la UNL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(28).</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PAHO. (2023, mayo 12).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Reducir el déficit de profesionales de enfermería es fundamental para responder mejor a la próxima pandemia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PAHO. https://www.paho.org/es/noticias/12-5-2023-reducir-deficit-profesionales-enfermeria-es-fundamental-para-responder-mejor</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Perez, S. G., Salinas, E., Saravia, S., Báez, V. C., Galarza, V. de los Á., &amp; Antelo, V. S. (2024). Desafíos en la implementación de la identificación de pacientes y la Ley de identidad de género en instituciones de salud en Buenos Aires.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Salud, Ciencia y Tecnología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767-767. https://doi.org/10.56294/saludcyt2024767</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Rojo, P., Jardón, V., Martins, A. P. V., Tamanini, M., de la Reta, N., Chantefort, P., Carmody, C., Firpo, I., Genolet, A., &amp; Scotta, M. (2018).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Los enfoques de género en las universidades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Universidad Nacional de Rosario. https://rephip.unr.edu.ar/bitstream/handle/2133/13456/Libro%20AUGM%202018.pdf?sequence=3</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Ruiz-Cantero, M. T., Blasco-Blasco, M., Chilet-Rosell, E., &amp; Peiró, A. M. (2020). Sesgos de género en el esfuerzo terapéutico: De la investigación a la atención sanitaria.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Farmacia Hospitalaria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44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109-113. https://doi.org/10.7399/fh.11394</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Ruiz-Cantero, M. T., Tomás-Aznar, C., Rodríguez-Jaume, M. J., Pérez-Sedeño, E., &amp; Gasch-Gallén, Á. (2019). Agenda de género en la formación en ciencias de la salud: Experiencias internacionales para reducir tiempos en España.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Gaceta Sanitaria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33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485-490. https://doi.org/10.1016/j.gaceta.2018.03.010</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Salinas, E., Pérez, S., Saravia, S., Cros Baez, V., Galarza, V., &amp; Sánchez Antelo, V. (2023). Identificación de pacientes e Identidad de género: Conocimientos y actitudes hacia la atención de pacientes trans desde la perspectiva del personal de enfermería.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Salud, Ciencia y Tecnología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418-418. https://doi.org/10.56294/saludcyt2023418</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Sánchez Antelo, V., Salinas, E., Pérez, S., Mazzadi, A., Arrueta, A., Báez, V. C., Penna, A., Torne, S. de M. H., Saavedra, J., Jacobs, M., &amp; Rico, A. (2025). Perspectiva de género en la formación de enfermería: Análisis de su implementación en el plan de estudios de una universidad pública del conurbano bonaerense en el año 2023-2024.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INNOVA UNTREF. Revista Argentina de Ciencia y Tecnología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https://revistas.untref.edu.ar/index.php/innova/article/view/2544</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Silva, T. I. M., Braz, P. R., Cavalcante, R. B., &amp; Alves, M. (2022). La teoría de la difusión de innovaciones y su capacidad de aplicación en investigaciones en las áreas de salud y enfermería.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Texto &amp; Contexto-Enfermagem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e20210322. https://doi.org/10.1590/1980-265x-tce-2021-0322</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Toledo, G. A. (2021). Universidad y accesibilidad: Configuraciones de apoyo para el aprendizaje de estudiantes en situación de discapacidad. La urgencia y excepcionalidad de la pandemia. Experiencias en la Universidad Nacional de General Sarmiento.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Argentina de Educación Superior: RAES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(23), 44-57.</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Valenzuela V., A., Cartes V., R., Valenzuela V., A., &amp; Cartes V., R. (2019). Perspectiva de género en la educación médica: Incorporación, intervenciones y desafíos por supercar.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chilena de obstetricia y ginecología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84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82-88. https://doi.org/10.4067/S0717-75262019000100082</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Viscardi, M. L., Matteucci, L., Lescano, A., &amp; Ocampo, M. J. P. (2021). Apuntes para la transversalización de la perspectiva de género: La revisión de propuestas pedagógicas de cuatro asignaturas de la UNLP.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Trayectorias Universitarias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 069-069. https://doi.org/10.24215/24690090e069</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sz w:val="20"/>
          <w:szCs w:val="20"/>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Vuolanto, P., &amp; Laiho, A. (2017). The Gender Perspective in Nursing Research: A Theoretical Treasure Chest or a ‘Thorn’ in the Side?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Minerva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55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371-390. https://doi.org/10.1007/s11024-017-9318-0</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72a1rGCu1PgOH+w1kJfWxis6A==">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id="KshZofpW"/&gt;&lt;style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