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120" w:before="240" w:lineRule="auto"/>
        <w:rPr>
          <w:b w:val="1"/>
          <w:bCs w:val="1"/>
        </w:rPr>
      </w:pPr>
      <w:r w:rsidDel="00000000" w:rsidR="00000000" w:rsidRPr="00000000">
        <w:rPr>
          <w:rtl w:val="0"/>
        </w:rPr>
      </w:r>
    </w:p>
    <w:p w:rsidR="00000000" w:rsidDel="00000000" w:rsidP="00000000" w:rsidRDefault="00000000" w:rsidRPr="00000000" w14:paraId="00000002">
      <w:pPr>
        <w:spacing w:after="120" w:before="240" w:lineRule="auto"/>
        <w:jc w:val="center"/>
        <w:rPr>
          <w:b w:val="1"/>
          <w:bCs w:val="1"/>
        </w:rPr>
      </w:pPr>
      <w:r w:rsidDel="00000000" w:rsidR="00000000" w:rsidRPr="00000000">
        <w:rPr>
          <w:rtl w:val="0"/>
        </w:rPr>
      </w:r>
    </w:p>
    <w:p w:rsidR="00000000" w:rsidDel="00000000" w:rsidP="00000000" w:rsidRDefault="00000000" w:rsidRPr="00000000" w14:paraId="00000003">
      <w:pPr>
        <w:spacing w:after="120" w:before="240" w:lineRule="auto"/>
        <w:jc w:val="center"/>
        <w:rPr>
          <w:b w:val="1"/>
          <w:bCs w:val="1"/>
        </w:rPr>
      </w:pPr>
      <w:r w:rsidDel="00000000" w:rsidR="00000000" w:rsidRPr="00000000">
        <w:rPr>
          <w:b w:val="1"/>
          <w:bCs w:val="1"/>
          <w:rtl w:val="0"/>
        </w:rPr>
        <w:t xml:space="preserve">Explorar, Conocer, Elegir: estrategias de articulación para el acceso a los estudios superiores</w:t>
      </w:r>
    </w:p>
    <w:p w:rsidR="00000000" w:rsidDel="00000000" w:rsidP="00000000" w:rsidRDefault="00000000" w:rsidRPr="00000000" w14:paraId="00000004">
      <w:pPr>
        <w:spacing w:after="120" w:before="240" w:lineRule="auto"/>
        <w:jc w:val="center"/>
        <w:rPr>
          <w:b w:val="1"/>
          <w:bCs w:val="1"/>
        </w:rPr>
      </w:pPr>
      <w:r w:rsidDel="00000000" w:rsidR="00000000" w:rsidRPr="00000000">
        <w:rPr>
          <w:rtl w:val="0"/>
        </w:rPr>
      </w:r>
    </w:p>
    <w:p w:rsidR="00000000" w:rsidDel="00000000" w:rsidP="00000000" w:rsidRDefault="00000000" w:rsidRPr="00000000" w14:paraId="00000005">
      <w:pPr>
        <w:spacing w:line="276" w:lineRule="auto"/>
        <w:jc w:val="right"/>
        <w:rPr>
          <w:b w:val="1"/>
          <w:bCs w:val="1"/>
        </w:rPr>
      </w:pPr>
      <w:r w:rsidDel="00000000" w:rsidR="00000000" w:rsidRPr="00000000">
        <w:rPr>
          <w:b w:val="1"/>
          <w:bCs w:val="1"/>
          <w:rtl w:val="0"/>
        </w:rPr>
        <w:t xml:space="preserve">Aguirre, Laura</w:t>
      </w:r>
    </w:p>
    <w:p w:rsidR="00000000" w:rsidDel="00000000" w:rsidP="00000000" w:rsidRDefault="00000000" w:rsidRPr="00000000" w14:paraId="00000006">
      <w:pPr>
        <w:spacing w:line="276" w:lineRule="auto"/>
        <w:jc w:val="right"/>
        <w:rPr>
          <w:b w:val="1"/>
          <w:bCs w:val="1"/>
        </w:rPr>
      </w:pPr>
      <w:r w:rsidDel="00000000" w:rsidR="00000000" w:rsidRPr="00000000">
        <w:rPr>
          <w:b w:val="1"/>
          <w:bCs w:val="1"/>
          <w:rtl w:val="0"/>
        </w:rPr>
        <w:t xml:space="preserve">UNTREF</w:t>
      </w:r>
    </w:p>
    <w:p w:rsidR="00000000" w:rsidDel="00000000" w:rsidP="00000000" w:rsidRDefault="00000000" w:rsidRPr="00000000" w14:paraId="00000007">
      <w:pPr>
        <w:spacing w:line="276" w:lineRule="auto"/>
        <w:jc w:val="right"/>
        <w:rPr>
          <w:b w:val="1"/>
          <w:bCs w:val="1"/>
        </w:rPr>
      </w:pPr>
      <w:r w:rsidDel="00000000" w:rsidR="00000000" w:rsidRPr="00000000">
        <w:rPr>
          <w:b w:val="1"/>
          <w:bCs w:val="1"/>
          <w:rtl w:val="0"/>
        </w:rPr>
        <w:t xml:space="preserve">laguirre@untref.edu.ar</w:t>
      </w:r>
    </w:p>
    <w:p w:rsidR="00000000" w:rsidDel="00000000" w:rsidP="00000000" w:rsidRDefault="00000000" w:rsidRPr="00000000" w14:paraId="00000008">
      <w:pPr>
        <w:spacing w:after="160" w:lineRule="auto"/>
        <w:jc w:val="center"/>
        <w:rPr>
          <w:b w:val="1"/>
          <w:bCs w:val="1"/>
        </w:rPr>
      </w:pPr>
      <w:r w:rsidDel="00000000" w:rsidR="00000000" w:rsidRPr="00000000">
        <w:rPr>
          <w:b w:val="1"/>
          <w:bCs w:val="1"/>
          <w:rtl w:val="0"/>
        </w:rPr>
        <w:t xml:space="preserve"> </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120" w:before="240" w:lineRule="auto"/>
        <w:rPr/>
      </w:pPr>
      <w:r w:rsidDel="00000000" w:rsidR="00000000" w:rsidRPr="00000000">
        <w:rPr>
          <w:b w:val="1"/>
          <w:bCs w:val="1"/>
          <w:rtl w:val="0"/>
        </w:rPr>
        <w:t xml:space="preserve">Resumen</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120" w:before="240" w:lineRule="auto"/>
        <w:rPr/>
      </w:pPr>
      <w:r w:rsidDel="00000000" w:rsidR="00000000" w:rsidRPr="00000000">
        <w:rPr>
          <w:rtl w:val="0"/>
        </w:rPr>
        <w:t xml:space="preserve">La articulación entre la escuela secundaria y la universidad constituye un desafío central para las políticas educativas orientadas a favorecer la continuidad de las trayectorias formativas. Diversos estudios han señalado que, además de las condiciones socioeconómicas de los estudiantes, factores como el acceso a información sobre la oferta de estudios superiores, las representaciones acerca de la universidad y el desarrollo de competencias académicas específicas inciden en las decisiones de continuar o no estudios en el nivel superior. En este contexto, las universidades públicas desempeñan un papel estratégico en la generación de dispositivos que faciliten el acercamiento de los estudiantes del nivel medio al ámbito universitario.</w:t>
        <w:br w:type="textWrapping"/>
        <w:t xml:space="preserve">En este marco, la Universidad Nacional de Tres de Febrero (UNTREF) desarrolla desde 2004 diversas iniciativas de articulación con escuelas secundarias de la Región 7 de la provincia de Buenos Aires, algunas de ellas con apoyo de organismos del estado del área de Educación. El presente trabajo describe y analiza tres líneas de acción orientadas a acompañar la transición entre ambos niveles educativos: Explorando Estudios Superiores, Conociendo la Universidad y ExpoUNTREF.</w:t>
        <w:br w:type="textWrapping"/>
        <w:t xml:space="preserve">La primera de estas iniciativas propone un conjunto de talleres y actividades de tutoría destinadas a estudiantes de los últimos años del nivel secundario, con el objetivo de promover la exploración de distintas áreas de conocimiento, el acceso a información sobre carreras e instituciones de educación superior y el desarrollo de habilidades de lectura y escritura académicas a partir del trabajo con textos disciplinares. La segunda línea de acción consiste en visitas guiadas a la universidad, en las que los estudiantes recorren diferentes espacios institucionales —como la biblioteca, el museo y áreas académicas—, reciben información sobre la oferta de carreras y participan en instancias de intercambio con docentes, estudiantes avanzados y equipos de orientación. Por su parte, ExpoUNTREF constituye una jornada anual abierta a escuelas secundarias y a la comunidad en general, en la que las distintas carreras y áreas de la universidad presentan sus propuestas académicas y actividades de extensión mediante stands informativos, charlas y actividades culturales.</w:t>
        <w:br w:type="textWrapping"/>
        <w:t xml:space="preserve">A partir de la sistematización de estas experiencias y del análisis de los datos relevados mediante encuestas y registros institucionales, se examinan las potencialidades de estos dispositivos para ampliar el acceso a la información sobre estudios superiores, favorecer la construcción de proyectos educativos en los estudiantes y transformar las representaciones acerca del ámbito universitario. Asimismo, se analizan los aportes de estas iniciativas para el fortalecimiento de las competencias académicas necesarias para el ingreso y la permanencia en el nivel superior.</w:t>
        <w:br w:type="textWrapping"/>
        <w:t xml:space="preserve">Los resultados evidencian que las estrategias de articulación sostenidas en el tiempo, desarrolladas en cooperación con las autoridades educativas regionales y las instituciones escolares, constituyen herramientas valiosas para promover la continuidad educativa y fortalecer el vínculo entre la escuela secundaria y la universidad.</w:t>
      </w:r>
    </w:p>
    <w:p w:rsidR="00000000" w:rsidDel="00000000" w:rsidP="00000000" w:rsidRDefault="00000000" w:rsidRPr="00000000" w14:paraId="0000000B">
      <w:pPr>
        <w:spacing w:after="120" w:before="240" w:lineRule="auto"/>
        <w:rPr/>
      </w:pPr>
      <w:r w:rsidDel="00000000" w:rsidR="00000000" w:rsidRPr="00000000">
        <w:rPr/>
        <mc:AlternateContent>
          <mc:Choice Requires="wpg">
            <w:drawing>
              <wp:inline distB="0" distT="0" distL="114300" distR="114300">
                <wp:extent cx="5624830" cy="25400"/>
                <wp:effectExtent b="0" l="0" r="0" t="0"/>
                <wp:docPr id="1" name=""/>
                <a:graphic>
                  <a:graphicData uri="http://schemas.microsoft.com/office/word/2010/wordprocessingShape">
                    <wps:wsp>
                      <wps:cNvSpPr/>
                      <wps:cNvPr id="2" name="Shape 2"/>
                      <wps:spPr>
                        <a:xfrm>
                          <a:off x="2539935" y="3779365"/>
                          <a:ext cx="5612130" cy="1270"/>
                        </a:xfrm>
                        <a:prstGeom prst="rect">
                          <a:avLst/>
                        </a:prstGeom>
                        <a:no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5624830" cy="25400"/>
                <wp:effectExtent b="0" l="0" r="0" t="0"/>
                <wp:docPr id="1"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5624830" cy="254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120" w:before="240" w:lineRule="auto"/>
        <w:rPr/>
      </w:pPr>
      <w:r w:rsidDel="00000000" w:rsidR="00000000" w:rsidRPr="00000000">
        <w:rPr>
          <w:b w:val="1"/>
          <w:bCs w:val="1"/>
          <w:rtl w:val="0"/>
        </w:rPr>
        <w:t xml:space="preserve">Palabras clave:</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120" w:before="240" w:lineRule="auto"/>
        <w:rPr/>
      </w:pPr>
      <w:r w:rsidDel="00000000" w:rsidR="00000000" w:rsidRPr="00000000">
        <w:rPr>
          <w:rtl w:val="0"/>
        </w:rPr>
        <w:t xml:space="preserve">Articulación educativa; transición secundaria-universidad; acceso a la educación superior; lectura y escritura académicas; educación superior.</w:t>
      </w:r>
    </w:p>
    <w:p w:rsidR="00000000" w:rsidDel="00000000" w:rsidP="00000000" w:rsidRDefault="00000000" w:rsidRPr="00000000" w14:paraId="0000000E">
      <w:pPr>
        <w:pBdr>
          <w:top w:space="0" w:sz="0" w:val="nil"/>
          <w:left w:space="0" w:sz="0" w:val="nil"/>
          <w:bottom w:color="000000" w:space="1" w:sz="6" w:val="single"/>
          <w:right w:space="0" w:sz="0" w:val="nil"/>
          <w:between w:space="0" w:sz="0" w:val="nil"/>
        </w:pBdr>
        <w:spacing w:after="120" w:before="240" w:lineRule="auto"/>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120" w:before="240" w:lineRule="auto"/>
        <w:rPr/>
      </w:pPr>
      <w:r w:rsidDel="00000000" w:rsidR="00000000" w:rsidRPr="00000000">
        <w:rPr>
          <w:b w:val="1"/>
          <w:bCs w:val="1"/>
          <w:rtl w:val="0"/>
        </w:rPr>
        <w:t xml:space="preserve">Exploring, Knowing, Choosing: Articulation Strategies to Promote Access to Higher Education</w:t>
      </w:r>
      <w:r w:rsidDel="00000000" w:rsidR="00000000" w:rsidRPr="00000000">
        <w:rPr>
          <w:rtl w:val="0"/>
        </w:rPr>
      </w:r>
    </w:p>
    <w:p w:rsidR="00000000" w:rsidDel="00000000" w:rsidP="00000000" w:rsidRDefault="00000000" w:rsidRPr="00000000" w14:paraId="00000010">
      <w:pPr>
        <w:spacing w:after="120" w:before="240" w:lineRule="auto"/>
        <w:rPr/>
      </w:pPr>
      <w:r w:rsidDel="00000000" w:rsidR="00000000" w:rsidRPr="00000000">
        <w:rPr>
          <w:rtl w:val="0"/>
        </w:rPr>
        <w:t xml:space="preserve">The articulation between secondary school and university constitutes a central challenge for educational policies aimed at supporting the continuity of students' educational trajectories. Numerous studies have shown that, in addition to students' socioeconomic conditions, factors such as access to information about higher education opportunities, perceptions of the university, and the development of specific academic competencies influence students' decisions to pursue higher education. In this context, public universities play a strategic role in creating initiatives that facilitate secondary school students' engagement with the university environment.</w:t>
      </w:r>
    </w:p>
    <w:p w:rsidR="00000000" w:rsidDel="00000000" w:rsidP="00000000" w:rsidRDefault="00000000" w:rsidRPr="00000000" w14:paraId="00000011">
      <w:pPr>
        <w:spacing w:after="120" w:before="240" w:lineRule="auto"/>
        <w:rPr/>
      </w:pPr>
      <w:r w:rsidDel="00000000" w:rsidR="00000000" w:rsidRPr="00000000">
        <w:rPr>
          <w:rtl w:val="0"/>
        </w:rPr>
        <w:t xml:space="preserve">Within this framework, the National University of Tres de Febrero (UNTREF) has developed, since 2004, a range of articulation initiatives with secondary schools in Region 7 of Buenos Aires Province, several of them supported by government agencies in the field of education. This paper describes and analyzes three lines of action designed to support the transition between the two educational levels: </w:t>
      </w:r>
      <w:r w:rsidDel="00000000" w:rsidR="00000000" w:rsidRPr="00000000">
        <w:rPr>
          <w:i w:val="1"/>
          <w:iCs w:val="1"/>
          <w:rtl w:val="0"/>
        </w:rPr>
        <w:t xml:space="preserve">Exploring Higher Education</w:t>
      </w:r>
      <w:r w:rsidDel="00000000" w:rsidR="00000000" w:rsidRPr="00000000">
        <w:rPr>
          <w:rtl w:val="0"/>
        </w:rPr>
        <w:t xml:space="preserve">, </w:t>
      </w:r>
      <w:r w:rsidDel="00000000" w:rsidR="00000000" w:rsidRPr="00000000">
        <w:rPr>
          <w:i w:val="1"/>
          <w:iCs w:val="1"/>
          <w:rtl w:val="0"/>
        </w:rPr>
        <w:t xml:space="preserve">Getting to Know the University</w:t>
      </w:r>
      <w:r w:rsidDel="00000000" w:rsidR="00000000" w:rsidRPr="00000000">
        <w:rPr>
          <w:rtl w:val="0"/>
        </w:rPr>
        <w:t xml:space="preserve">, and </w:t>
      </w:r>
      <w:r w:rsidDel="00000000" w:rsidR="00000000" w:rsidRPr="00000000">
        <w:rPr>
          <w:i w:val="1"/>
          <w:iCs w:val="1"/>
          <w:rtl w:val="0"/>
        </w:rPr>
        <w:t xml:space="preserve">ExpoUNTREF</w:t>
      </w:r>
      <w:r w:rsidDel="00000000" w:rsidR="00000000" w:rsidRPr="00000000">
        <w:rPr>
          <w:rtl w:val="0"/>
        </w:rPr>
        <w:t xml:space="preserve">.</w:t>
      </w:r>
    </w:p>
    <w:p w:rsidR="00000000" w:rsidDel="00000000" w:rsidP="00000000" w:rsidRDefault="00000000" w:rsidRPr="00000000" w14:paraId="00000012">
      <w:pPr>
        <w:spacing w:after="120" w:before="240" w:lineRule="auto"/>
        <w:rPr/>
      </w:pPr>
      <w:r w:rsidDel="00000000" w:rsidR="00000000" w:rsidRPr="00000000">
        <w:rPr>
          <w:rtl w:val="0"/>
        </w:rPr>
        <w:t xml:space="preserve">The first initiative consists of a series of workshops and tutoring activities aimed at students in the final years of secondary school. Its objectives are to encourage the exploration of different fields of knowledge, provide access to information about degree programs and higher education institutions, and foster academic reading and writing skills through work with discipline-specific texts. The second initiative involves guided visits to the university, during which students tour institutional spaces—including the library, the museum, and academic departments—receive information about degree programs, and participate in discussions with faculty members, advanced students, and student guidance teams. Finally, </w:t>
      </w:r>
      <w:r w:rsidDel="00000000" w:rsidR="00000000" w:rsidRPr="00000000">
        <w:rPr>
          <w:i w:val="1"/>
          <w:iCs w:val="1"/>
          <w:rtl w:val="0"/>
        </w:rPr>
        <w:t xml:space="preserve">ExpoUNTREF</w:t>
      </w:r>
      <w:r w:rsidDel="00000000" w:rsidR="00000000" w:rsidRPr="00000000">
        <w:rPr>
          <w:rtl w:val="0"/>
        </w:rPr>
        <w:t xml:space="preserve"> is an annual event open to secondary schools and the broader community, where the university's academic programs and departments present their educational offerings and outreach activities through information booths, talks, and cultural events.</w:t>
      </w:r>
    </w:p>
    <w:p w:rsidR="00000000" w:rsidDel="00000000" w:rsidP="00000000" w:rsidRDefault="00000000" w:rsidRPr="00000000" w14:paraId="00000013">
      <w:pPr>
        <w:spacing w:after="120" w:before="240" w:lineRule="auto"/>
        <w:rPr/>
      </w:pPr>
      <w:r w:rsidDel="00000000" w:rsidR="00000000" w:rsidRPr="00000000">
        <w:rPr>
          <w:rtl w:val="0"/>
        </w:rPr>
        <w:t xml:space="preserve">Based on the systematization of these experiences and the analysis of data collected through surveys and institutional records, this paper examines the potential of these initiatives to broaden access to information about higher education, support students in developing their educational aspirations, and transform their perceptions of the university environment. It also analyzes the contribution of these initiatives to strengthening the academic competencies required for successful entry into and persistence in higher education.</w:t>
      </w:r>
    </w:p>
    <w:p w:rsidR="00000000" w:rsidDel="00000000" w:rsidP="00000000" w:rsidRDefault="00000000" w:rsidRPr="00000000" w14:paraId="00000014">
      <w:pPr>
        <w:spacing w:after="120" w:before="240" w:lineRule="auto"/>
        <w:rPr/>
      </w:pPr>
      <w:r w:rsidDel="00000000" w:rsidR="00000000" w:rsidRPr="00000000">
        <w:rPr>
          <w:rtl w:val="0"/>
        </w:rPr>
        <w:t xml:space="preserve">The findings indicate that long-term articulation strategies, developed in cooperation with regional educational authorities and secondary schools, constitute valuable tools for promoting educational continuity and strengthening the relationship between secondary education and higher education institutions.</w:t>
      </w:r>
    </w:p>
    <w:p w:rsidR="00000000" w:rsidDel="00000000" w:rsidP="00000000" w:rsidRDefault="00000000" w:rsidRPr="00000000" w14:paraId="00000015">
      <w:pPr>
        <w:spacing w:after="120" w:before="240" w:lineRule="auto"/>
        <w:rPr/>
      </w:pPr>
      <w:r w:rsidDel="00000000" w:rsidR="00000000" w:rsidRPr="00000000">
        <w:rPr>
          <w:b w:val="1"/>
          <w:bCs w:val="1"/>
          <w:rtl w:val="0"/>
        </w:rPr>
        <w:t xml:space="preserve">Keywords:</w:t>
      </w:r>
      <w:r w:rsidDel="00000000" w:rsidR="00000000" w:rsidRPr="00000000">
        <w:rPr>
          <w:rtl w:val="0"/>
        </w:rPr>
        <w:br w:type="textWrapping"/>
        <w:t xml:space="preserve">Educational articulation; secondary school–university transition; access to higher education; academic reading and writing; higher education.</w:t>
      </w:r>
    </w:p>
    <w:p w:rsidR="00000000" w:rsidDel="00000000" w:rsidP="00000000" w:rsidRDefault="00000000" w:rsidRPr="00000000" w14:paraId="00000016">
      <w:pPr>
        <w:pBdr>
          <w:bottom w:color="000000" w:space="1" w:sz="6" w:val="single"/>
        </w:pBdr>
        <w:spacing w:after="120" w:before="240" w:lineRule="auto"/>
        <w:rPr/>
      </w:pPr>
      <w:r w:rsidDel="00000000" w:rsidR="00000000" w:rsidRPr="00000000">
        <w:rPr>
          <w:rtl w:val="0"/>
        </w:rPr>
      </w:r>
    </w:p>
    <w:p w:rsidR="00000000" w:rsidDel="00000000" w:rsidP="00000000" w:rsidRDefault="00000000" w:rsidRPr="00000000" w14:paraId="00000017">
      <w:pPr>
        <w:spacing w:after="120" w:before="240" w:lineRule="auto"/>
        <w:rPr>
          <w:b w:val="1"/>
          <w:bCs w:val="1"/>
        </w:rPr>
      </w:pPr>
      <w:r w:rsidDel="00000000" w:rsidR="00000000" w:rsidRPr="00000000">
        <w:rPr>
          <w:b w:val="1"/>
          <w:bCs w:val="1"/>
          <w:rtl w:val="0"/>
        </w:rPr>
        <w:t xml:space="preserve">Introducción</w:t>
      </w:r>
    </w:p>
    <w:p w:rsidR="00000000" w:rsidDel="00000000" w:rsidP="00000000" w:rsidRDefault="00000000" w:rsidRPr="00000000" w14:paraId="00000018">
      <w:pPr>
        <w:spacing w:after="120" w:before="240" w:lineRule="auto"/>
        <w:rPr>
          <w:b w:val="1"/>
          <w:bCs w:val="1"/>
        </w:rPr>
      </w:pPr>
      <w:r w:rsidDel="00000000" w:rsidR="00000000" w:rsidRPr="00000000">
        <w:rPr>
          <w:b w:val="1"/>
          <w:bCs w:val="1"/>
          <w:rtl w:val="0"/>
        </w:rPr>
        <w:t xml:space="preserve">La expansión de la oferta universitaria es condición necesaria, pero no suficiente</w:t>
      </w:r>
    </w:p>
    <w:p w:rsidR="00000000" w:rsidDel="00000000" w:rsidP="00000000" w:rsidRDefault="00000000" w:rsidRPr="00000000" w14:paraId="00000019">
      <w:pPr>
        <w:spacing w:after="120" w:before="240" w:lineRule="auto"/>
        <w:rPr/>
      </w:pPr>
      <w:r w:rsidDel="00000000" w:rsidR="00000000" w:rsidRPr="00000000">
        <w:rPr>
          <w:rtl w:val="0"/>
        </w:rPr>
        <w:t xml:space="preserve">A comienzos de 1990 se profundizó en la Argentina un proceso de expansión territorial de la oferta universitaria, iniciado décadas antes, que buscó revertir la histórica concentración de instituciones en los principales centros urbanos del país. Este proceso, orientado a ampliar las oportunidades de acceso a la educación superior y a favorecer la inclusión de sectores sociales tradicionalmente subrepresentados, se intensificó entre 2009 y 2015 mediante la creación de nuevas universidades nacionales. Sin embargo, la ampliación de la oferta universitaria ha demostrado constituir solo una de las condiciones necesarias para avanzar hacia la democratización de la educación superior.</w:t>
      </w:r>
    </w:p>
    <w:p w:rsidR="00000000" w:rsidDel="00000000" w:rsidP="00000000" w:rsidRDefault="00000000" w:rsidRPr="00000000" w14:paraId="0000001A">
      <w:pPr>
        <w:spacing w:after="120" w:before="240" w:lineRule="auto"/>
        <w:rPr/>
      </w:pPr>
      <w:r w:rsidDel="00000000" w:rsidR="00000000" w:rsidRPr="00000000">
        <w:rPr>
          <w:rtl w:val="0"/>
        </w:rPr>
        <w:t xml:space="preserve">Desde esta perspectiva, Chiroleu (2018) sostiene que, si bien las políticas de democratización e inclusión han ampliado las oportunidades de acceso al sistema universitario, por sí solas no garantizan una reducción de las desigualdades. </w:t>
      </w:r>
    </w:p>
    <w:p w:rsidR="00000000" w:rsidDel="00000000" w:rsidP="00000000" w:rsidRDefault="00000000" w:rsidRPr="00000000" w14:paraId="0000001B">
      <w:pPr>
        <w:spacing w:after="120" w:before="240" w:lineRule="auto"/>
        <w:rPr/>
      </w:pPr>
      <w:r w:rsidDel="00000000" w:rsidR="00000000" w:rsidRPr="00000000">
        <w:rPr>
          <w:rtl w:val="0"/>
        </w:rPr>
        <w:t xml:space="preserve">Como se ha señalado previamente, la ampliación de la oferta de nuevas instituciones universitarias ha contribuido a mejorar las condiciones de acceso a cierta parte de la población perteneciente a niveles socioeconómicos bajos. (Chiroleu, 2018). No obstante, esto no siempre resulta una condición suficiente para ampliar la democratización del acceso a estudios superiores. En este sentido, la autora determina que ese objetivo se encuentra condicionado por muchos otros factores que van más allá de la localización geográfica de las instituciones de nivel superior. En muchas ocasiones las condiciones personales, que traen consigo los aspirantes y el hecho de que no siempre se encuentren provistos de las herramientas necesarias para aprehender el conocimiento,</w:t>
      </w:r>
      <w:r w:rsidDel="00000000" w:rsidR="00000000" w:rsidRPr="00000000">
        <w:rPr>
          <w:color w:val="0000ff"/>
          <w:rtl w:val="0"/>
        </w:rPr>
        <w:t xml:space="preserve"> </w:t>
      </w:r>
      <w:r w:rsidDel="00000000" w:rsidR="00000000" w:rsidRPr="00000000">
        <w:rPr>
          <w:rtl w:val="0"/>
        </w:rPr>
        <w:t xml:space="preserve">establecen también un límite para lograr una trayectoria académica exitosa en entornos que premian el mérito individual de manera supuestamente neutral (Chiroleu, 2018). </w:t>
      </w:r>
      <w:r w:rsidDel="00000000" w:rsidR="00000000" w:rsidRPr="00000000">
        <w:rPr>
          <w:b w:val="1"/>
          <w:bCs w:val="1"/>
          <w:rtl w:val="0"/>
        </w:rPr>
        <w:t xml:space="preserve"> </w:t>
      </w:r>
      <w:r w:rsidDel="00000000" w:rsidR="00000000" w:rsidRPr="00000000">
        <w:rPr>
          <w:rtl w:val="0"/>
        </w:rPr>
        <w:t xml:space="preserve">A esto se suman condicionantes materiales, como la necesidad de compatibilizar los estudios con extensas jornadas laborales, y dimensiones simbólicas, expresadas en la falta de afinidad entre el capital cultural familiar y las exigencias del sistema de enseñanza (Bourdieu y Passeron, 2006, como se citó en Chiroleu, 2018).</w:t>
      </w:r>
    </w:p>
    <w:p w:rsidR="00000000" w:rsidDel="00000000" w:rsidP="00000000" w:rsidRDefault="00000000" w:rsidRPr="00000000" w14:paraId="0000001C">
      <w:pPr>
        <w:spacing w:after="120" w:before="240" w:lineRule="auto"/>
        <w:rPr/>
      </w:pPr>
      <w:r w:rsidDel="00000000" w:rsidR="00000000" w:rsidRPr="00000000">
        <w:rPr>
          <w:rtl w:val="0"/>
        </w:rPr>
        <w:t xml:space="preserve">Finalmente, el perfil estudiantil actual se aparta del modelo tradicional: solo una minoría ingresa inmediatamente después de egresar de la escuela media (18-19 años), mientras que una proporción significativa está compuesta por estudiantes no tradicionales que retoman trayectorias interrumpidas o acceden tardíamente al nivel superior como un proyecto de autorrealización. Además, muchos estudiantes evidencian serias falencias en su aprendizaje debido a deficiencias en el nivel secundario, las cuales se agravan en las instituciones de sectores populares (Chiroleu, 2018). </w:t>
      </w:r>
    </w:p>
    <w:p w:rsidR="00000000" w:rsidDel="00000000" w:rsidP="00000000" w:rsidRDefault="00000000" w:rsidRPr="00000000" w14:paraId="0000001D">
      <w:pPr>
        <w:spacing w:after="120" w:before="240" w:lineRule="auto"/>
        <w:rPr/>
      </w:pPr>
      <w:r w:rsidDel="00000000" w:rsidR="00000000" w:rsidRPr="00000000">
        <w:rPr>
          <w:rtl w:val="0"/>
        </w:rPr>
        <w:t xml:space="preserve">En el marco de una serie de políticas y estrategias para profundizar la relación entre el nivel secundario y el nivel de estudios superiores, la UNTREF ha acompañado desde sus inicios acciones de articulación entre la universidad y la escuela secundaria, con el fin de propiciar el pasaje entre ambos niveles, lo que constituye un desafío ético, político y pedagógico.</w:t>
      </w:r>
    </w:p>
    <w:p w:rsidR="00000000" w:rsidDel="00000000" w:rsidP="00000000" w:rsidRDefault="00000000" w:rsidRPr="00000000" w14:paraId="0000001E">
      <w:pPr>
        <w:spacing w:after="120" w:before="240" w:lineRule="auto"/>
        <w:rPr>
          <w:color w:val="0000ff"/>
        </w:rPr>
      </w:pPr>
      <w:r w:rsidDel="00000000" w:rsidR="00000000" w:rsidRPr="00000000">
        <w:rPr>
          <w:rtl w:val="0"/>
        </w:rPr>
        <w:t xml:space="preserve">Entendemos </w:t>
      </w:r>
      <w:r w:rsidDel="00000000" w:rsidR="00000000" w:rsidRPr="00000000">
        <w:rPr>
          <w:color w:val="000000"/>
          <w:rtl w:val="0"/>
        </w:rPr>
        <w:t xml:space="preserve">a </w:t>
      </w:r>
      <w:r w:rsidDel="00000000" w:rsidR="00000000" w:rsidRPr="00000000">
        <w:rPr>
          <w:rtl w:val="0"/>
        </w:rPr>
        <w:t xml:space="preserve">la articulación entre la Escuela Secundaria y la Universidad como el conjunto de políticas, estrategias institucionales, dispositivos pedagógicos y acciones de acompañamiento</w:t>
      </w:r>
      <w:r w:rsidDel="00000000" w:rsidR="00000000" w:rsidRPr="00000000">
        <w:rPr>
          <w:b w:val="1"/>
          <w:bCs w:val="1"/>
          <w:rtl w:val="0"/>
        </w:rPr>
        <w:t xml:space="preserve"> </w:t>
      </w:r>
      <w:r w:rsidDel="00000000" w:rsidR="00000000" w:rsidRPr="00000000">
        <w:rPr>
          <w:rtl w:val="0"/>
        </w:rPr>
        <w:t xml:space="preserve">orientadas a favorecer la transición de los estudiantes entre ambos niveles educativos, promoviendo la continuidad de las trayectorias formativas, el acceso equitativo a los estudios superiores y la permanencia en ellos. Desde esta perspectiva, la articulación entre la escuela secundaria y la universidad trasciende la implementación de acciones de orientación o difusión institucional y supone el desarrollo de políticas sostenidas que acompañen las trayectorias educativas de los estudiantes, desde el último tramo de la educación obligatoria hasta su ingreso y permanencia en la educación superior. </w:t>
      </w:r>
      <w:r w:rsidDel="00000000" w:rsidR="00000000" w:rsidRPr="00000000">
        <w:rPr>
          <w:rtl w:val="0"/>
        </w:rPr>
      </w:r>
    </w:p>
    <w:p w:rsidR="00000000" w:rsidDel="00000000" w:rsidP="00000000" w:rsidRDefault="00000000" w:rsidRPr="00000000" w14:paraId="0000001F">
      <w:pPr>
        <w:spacing w:after="120" w:before="240" w:lineRule="auto"/>
        <w:rPr/>
      </w:pPr>
      <w:r w:rsidDel="00000000" w:rsidR="00000000" w:rsidRPr="00000000">
        <w:rPr>
          <w:rtl w:val="0"/>
        </w:rPr>
        <w:t xml:space="preserve">En este contexto, la Universidad Nacional de Tres de Febrero (UNTREF) ha desarrollado y sostenido, desde comienzos de la década del 2000, una política institucional continua de articulación con las escuelas secundarias de su área de influencia, participando en diversos programas nacionales y generando iniciativas propias, orientadas a fortalecer el acceso, la permanencia y la igualdad de oportunidades en la educación superior. Del mismo modo, mantuvo iniciativas propias cuando los mencionados programas finalizaron.</w:t>
      </w:r>
    </w:p>
    <w:p w:rsidR="00000000" w:rsidDel="00000000" w:rsidP="00000000" w:rsidRDefault="00000000" w:rsidRPr="00000000" w14:paraId="00000020">
      <w:pPr>
        <w:spacing w:after="120" w:before="240" w:lineRule="auto"/>
        <w:rPr/>
      </w:pPr>
      <w:r w:rsidDel="00000000" w:rsidR="00000000" w:rsidRPr="00000000">
        <w:rPr>
          <w:rtl w:val="0"/>
        </w:rPr>
        <w:t xml:space="preserve">2004-2011: Programa de Apoyo al Último Año.</w:t>
      </w:r>
    </w:p>
    <w:p w:rsidR="00000000" w:rsidDel="00000000" w:rsidP="00000000" w:rsidRDefault="00000000" w:rsidRPr="00000000" w14:paraId="00000021">
      <w:pPr>
        <w:spacing w:after="120" w:before="240" w:lineRule="auto"/>
        <w:rPr/>
      </w:pPr>
      <w:r w:rsidDel="00000000" w:rsidR="00000000" w:rsidRPr="00000000">
        <w:rPr>
          <w:rtl w:val="0"/>
        </w:rPr>
        <w:t xml:space="preserve">2012-2015: Proyecto de Mejora en Ciencias Exactas y Naturales.</w:t>
      </w:r>
    </w:p>
    <w:p w:rsidR="00000000" w:rsidDel="00000000" w:rsidP="00000000" w:rsidRDefault="00000000" w:rsidRPr="00000000" w14:paraId="00000022">
      <w:pPr>
        <w:spacing w:after="120" w:before="240" w:lineRule="auto"/>
        <w:rPr/>
      </w:pPr>
      <w:r w:rsidDel="00000000" w:rsidR="00000000" w:rsidRPr="00000000">
        <w:rPr>
          <w:rtl w:val="0"/>
        </w:rPr>
        <w:t xml:space="preserve">2017-2019: Programa Nexos.</w:t>
      </w:r>
    </w:p>
    <w:p w:rsidR="00000000" w:rsidDel="00000000" w:rsidP="00000000" w:rsidRDefault="00000000" w:rsidRPr="00000000" w14:paraId="00000023">
      <w:pPr>
        <w:spacing w:after="120" w:before="240" w:lineRule="auto"/>
        <w:rPr/>
      </w:pPr>
      <w:r w:rsidDel="00000000" w:rsidR="00000000" w:rsidRPr="00000000">
        <w:rPr>
          <w:rtl w:val="0"/>
        </w:rPr>
        <w:t xml:space="preserve">2020: continuidad durante la pandemia.</w:t>
      </w:r>
    </w:p>
    <w:p w:rsidR="00000000" w:rsidDel="00000000" w:rsidP="00000000" w:rsidRDefault="00000000" w:rsidRPr="00000000" w14:paraId="00000024">
      <w:pPr>
        <w:spacing w:after="120" w:before="240" w:lineRule="auto"/>
        <w:rPr/>
      </w:pPr>
      <w:r w:rsidDel="00000000" w:rsidR="00000000" w:rsidRPr="00000000">
        <w:rPr>
          <w:rtl w:val="0"/>
        </w:rPr>
        <w:t xml:space="preserve">2022-2023: Programa Sigamos Estudiando.</w:t>
      </w:r>
    </w:p>
    <w:p w:rsidR="00000000" w:rsidDel="00000000" w:rsidP="00000000" w:rsidRDefault="00000000" w:rsidRPr="00000000" w14:paraId="00000025">
      <w:pPr>
        <w:spacing w:after="120" w:before="240" w:lineRule="auto"/>
        <w:rPr/>
      </w:pPr>
      <w:r w:rsidDel="00000000" w:rsidR="00000000" w:rsidRPr="00000000">
        <w:rPr>
          <w:rtl w:val="0"/>
        </w:rPr>
        <w:t xml:space="preserve">Desde 2024: continuidad sin financiamiento externo.</w:t>
      </w:r>
    </w:p>
    <w:p w:rsidR="00000000" w:rsidDel="00000000" w:rsidP="00000000" w:rsidRDefault="00000000" w:rsidRPr="00000000" w14:paraId="00000026">
      <w:pPr>
        <w:spacing w:after="120" w:before="240" w:lineRule="auto"/>
        <w:rPr/>
      </w:pPr>
      <w:r w:rsidDel="00000000" w:rsidR="00000000" w:rsidRPr="00000000">
        <w:rPr>
          <w:rtl w:val="0"/>
        </w:rPr>
        <w:t xml:space="preserve">A partir del año 2024, la UNTREF dio continuidad a las acciones de articulación con recursos institucionales propios, aun en ausencia de financiamiento específico proveniente de programas nacionales.</w:t>
      </w:r>
    </w:p>
    <w:p w:rsidR="00000000" w:rsidDel="00000000" w:rsidP="00000000" w:rsidRDefault="00000000" w:rsidRPr="00000000" w14:paraId="00000027">
      <w:pPr>
        <w:spacing w:after="120" w:before="240" w:lineRule="auto"/>
        <w:rPr/>
      </w:pPr>
      <w:r w:rsidDel="00000000" w:rsidR="00000000" w:rsidRPr="00000000">
        <w:rPr>
          <w:color w:val="000000"/>
          <w:rtl w:val="0"/>
        </w:rPr>
        <w:t xml:space="preserve">La trayectoria ha sido extensa y, más allá del importante valor de los programas que han sido implementados hasta ahora, nos interesa detenernos en tres de ellos, por su valor estratégico para la continuidad de la formación de los alumnos. En este sentido esta ponencia se propone analizar tres iniciativas, que se realizan en el contexto del pasaje de la finalización de los estudios secundarios hacia estudios superiores: Conociendo la universidad, ExpoUNTREF y Explorando </w:t>
      </w:r>
      <w:r w:rsidDel="00000000" w:rsidR="00000000" w:rsidRPr="00000000">
        <w:rPr>
          <w:rtl w:val="0"/>
        </w:rPr>
        <w:t xml:space="preserve">estudios superiores. Del mismo modo, también se propone señalar la ayuda que intentan brindar a los estudiantes para mitigar algunos de los condicionantes mencionados previamente. </w:t>
      </w:r>
    </w:p>
    <w:p w:rsidR="00000000" w:rsidDel="00000000" w:rsidP="00000000" w:rsidRDefault="00000000" w:rsidRPr="00000000" w14:paraId="00000028">
      <w:pPr>
        <w:spacing w:after="120" w:before="240" w:lineRule="auto"/>
        <w:rPr>
          <w:b w:val="1"/>
          <w:bCs w:val="1"/>
        </w:rPr>
      </w:pPr>
      <w:r w:rsidDel="00000000" w:rsidR="00000000" w:rsidRPr="00000000">
        <w:rPr>
          <w:b w:val="1"/>
          <w:bCs w:val="1"/>
          <w:rtl w:val="0"/>
        </w:rPr>
        <w:t xml:space="preserve">Marco teórico</w:t>
      </w:r>
    </w:p>
    <w:p w:rsidR="00000000" w:rsidDel="00000000" w:rsidP="00000000" w:rsidRDefault="00000000" w:rsidRPr="00000000" w14:paraId="00000029">
      <w:pPr>
        <w:spacing w:after="120" w:before="240" w:lineRule="auto"/>
        <w:rPr/>
      </w:pPr>
      <w:r w:rsidDel="00000000" w:rsidR="00000000" w:rsidRPr="00000000">
        <w:rPr>
          <w:rtl w:val="0"/>
        </w:rPr>
        <w:t xml:space="preserve">Estas iniciativas se sustentan en un conjunto de conceptos teóricos y supuestos de trabajo que orientan su diseño e implementación. Entre los primeros se destacan el concepto de representaciones sociales, desarrollado por Serge Moscovici (1961, como se citó en Amaya Umaña, 2002), el concepto de afiliación, elaborado por Alain Coulon (1995), y el concepto de</w:t>
      </w:r>
      <w:r w:rsidDel="00000000" w:rsidR="00000000" w:rsidRPr="00000000">
        <w:rPr>
          <w:i w:val="1"/>
          <w:iCs w:val="1"/>
          <w:rtl w:val="0"/>
        </w:rPr>
        <w:t xml:space="preserve"> habitus</w:t>
      </w:r>
      <w:r w:rsidDel="00000000" w:rsidR="00000000" w:rsidRPr="00000000">
        <w:rPr>
          <w:rtl w:val="0"/>
        </w:rPr>
        <w:t xml:space="preserve">, propuesto por Pierre Bourdieu (2007).</w:t>
      </w:r>
    </w:p>
    <w:p w:rsidR="00000000" w:rsidDel="00000000" w:rsidP="00000000" w:rsidRDefault="00000000" w:rsidRPr="00000000" w14:paraId="0000002A">
      <w:pPr>
        <w:spacing w:after="120" w:before="240" w:lineRule="auto"/>
        <w:rPr/>
      </w:pPr>
      <w:r w:rsidDel="00000000" w:rsidR="00000000" w:rsidRPr="00000000">
        <w:rPr>
          <w:rtl w:val="0"/>
        </w:rPr>
        <w:t xml:space="preserve">En cuanto a los supuestos de trabajo, se parte de la hipótesis de que las acciones de articulación entre la escuela secundaria y la universidad, que contribuyen a transformar las representaciones sociales sobre los estudios superiores, favorecen procesos de afiliación institucional y académica y promueven la construcción de disposiciones compatibles con las exigencias del campo universitario, constituyen factores facilitadores para el ingreso, la integración y la permanencia de los estudiantes en la educación superior.</w:t>
      </w:r>
    </w:p>
    <w:p w:rsidR="00000000" w:rsidDel="00000000" w:rsidP="00000000" w:rsidRDefault="00000000" w:rsidRPr="00000000" w14:paraId="0000002B">
      <w:pPr>
        <w:spacing w:after="120" w:before="240" w:lineRule="auto"/>
        <w:rPr>
          <w:b w:val="1"/>
          <w:bCs w:val="1"/>
        </w:rPr>
      </w:pPr>
      <w:r w:rsidDel="00000000" w:rsidR="00000000" w:rsidRPr="00000000">
        <w:rPr>
          <w:b w:val="1"/>
          <w:bCs w:val="1"/>
          <w:rtl w:val="0"/>
        </w:rPr>
        <w:t xml:space="preserve">Las representaciones sociales como fundamento de las estrategias de articulación</w:t>
      </w:r>
    </w:p>
    <w:p w:rsidR="00000000" w:rsidDel="00000000" w:rsidP="00000000" w:rsidRDefault="00000000" w:rsidRPr="00000000" w14:paraId="0000002C">
      <w:pPr>
        <w:spacing w:after="120" w:before="240" w:lineRule="auto"/>
        <w:rPr/>
      </w:pPr>
      <w:r w:rsidDel="00000000" w:rsidR="00000000" w:rsidRPr="00000000">
        <w:rPr>
          <w:rtl w:val="0"/>
        </w:rPr>
        <w:t xml:space="preserve">El concepto de Representaciones Sociales constituye para Moscovici (1961, como se citó en Araya Umaña, 2002), el  marco explicativo para el comportamiento que trasciende el marco cultural y las estructuras sociales más amplias; consiste en una nueva unidad de enfoque, que integra lo individual y lo colectivo, lo simbólico y lo social, el pensamiento y la acción. </w:t>
      </w:r>
      <w:r w:rsidDel="00000000" w:rsidR="00000000" w:rsidRPr="00000000">
        <w:rPr>
          <w:color w:val="000000"/>
          <w:rtl w:val="0"/>
        </w:rPr>
        <w:t xml:space="preserve">En este sentido, los </w:t>
      </w:r>
      <w:r w:rsidDel="00000000" w:rsidR="00000000" w:rsidRPr="00000000">
        <w:rPr>
          <w:rtl w:val="0"/>
        </w:rPr>
        <w:t xml:space="preserve">alumnos que nos visitan traen consigo  su propia unidad de enfoque que constituye un verdadero prisma simbólico basado en sus experiencias individuales y colectivas previas, a través del cual vislumbran los objetivos posibles y toman decisiones para su futuro.</w:t>
      </w:r>
    </w:p>
    <w:p w:rsidR="00000000" w:rsidDel="00000000" w:rsidP="00000000" w:rsidRDefault="00000000" w:rsidRPr="00000000" w14:paraId="0000002D">
      <w:pPr>
        <w:spacing w:after="120" w:before="240" w:lineRule="auto"/>
        <w:rPr/>
      </w:pPr>
      <w:r w:rsidDel="00000000" w:rsidR="00000000" w:rsidRPr="00000000">
        <w:rPr>
          <w:rtl w:val="0"/>
        </w:rPr>
        <w:t xml:space="preserve">Por su parte, Jodelet (1984, como se citó en Araya Umaña, 2002) afirma que las representaciones sociales constituyen una síntesis de las explicaciones que tienen su origen en las comunicaciones y el pensamiento social, lo que habitualmente llamamos sentido común. Ese sentido común, que forma parte de las representaciones de los estudiantes, producto del pensamiento social, es el que determina de qué manera encaja la universidad en sus vidas y en sus perspectivas.</w:t>
      </w:r>
    </w:p>
    <w:p w:rsidR="00000000" w:rsidDel="00000000" w:rsidP="00000000" w:rsidRDefault="00000000" w:rsidRPr="00000000" w14:paraId="0000002E">
      <w:pPr>
        <w:spacing w:after="120" w:before="240" w:lineRule="auto"/>
        <w:rPr/>
      </w:pPr>
      <w:r w:rsidDel="00000000" w:rsidR="00000000" w:rsidRPr="00000000">
        <w:rPr>
          <w:rtl w:val="0"/>
        </w:rPr>
        <w:t xml:space="preserve">A su vez Tomás Ibáñez (1988, como se citó en Araya Umaña, 2002) entiende a las representaciones sociales como un pensamiento constituido y pensamiento constituyente a la vez. Es decir, no solo evocan la realidad, sino que contribuyen a su elaboración. Aquí radica, tal vez, el aspecto más relevante de este concepto en su relación con nuestros programas de articulación: su carácter de pensamiento constituyente interviene fuertemente en la manera en que los alumnos identifican los escenarios que resultan afines para su futuro, en la definición de sus objetivos, y en la toma de decisiones.</w:t>
      </w:r>
    </w:p>
    <w:p w:rsidR="00000000" w:rsidDel="00000000" w:rsidP="00000000" w:rsidRDefault="00000000" w:rsidRPr="00000000" w14:paraId="0000002F">
      <w:pPr>
        <w:spacing w:after="120" w:before="240" w:lineRule="auto"/>
        <w:rPr/>
      </w:pPr>
      <w:r w:rsidDel="00000000" w:rsidR="00000000" w:rsidRPr="00000000">
        <w:rPr>
          <w:rtl w:val="0"/>
        </w:rPr>
        <w:t xml:space="preserve">Para llegar a constituir esas representaciones sociales, Araya Umaña (2002) explica que antes tienen lugar diferentes mecanismos, de los cuales interesa resaltar en este caso:</w:t>
      </w:r>
    </w:p>
    <w:p w:rsidR="00000000" w:rsidDel="00000000" w:rsidP="00000000" w:rsidRDefault="00000000" w:rsidRPr="00000000" w14:paraId="00000030">
      <w:pPr>
        <w:numPr>
          <w:ilvl w:val="0"/>
          <w:numId w:val="1"/>
        </w:numPr>
        <w:pBdr>
          <w:top w:space="0" w:sz="0" w:val="nil"/>
          <w:left w:space="0" w:sz="0" w:val="nil"/>
          <w:bottom w:space="0" w:sz="0" w:val="nil"/>
          <w:right w:space="0" w:sz="0" w:val="nil"/>
          <w:between w:space="0" w:sz="0" w:val="nil"/>
        </w:pBdr>
        <w:spacing w:after="120" w:before="240" w:lineRule="auto"/>
        <w:ind w:left="360" w:hanging="360"/>
        <w:rPr/>
      </w:pPr>
      <w:r w:rsidDel="00000000" w:rsidR="00000000" w:rsidRPr="00000000">
        <w:rPr>
          <w:rtl w:val="0"/>
        </w:rPr>
        <w:t xml:space="preserve">la objetivación, mediante la cual transformamos conceptos abstractos en experiencias concretas;</w:t>
      </w:r>
    </w:p>
    <w:p w:rsidR="00000000" w:rsidDel="00000000" w:rsidP="00000000" w:rsidRDefault="00000000" w:rsidRPr="00000000" w14:paraId="00000031">
      <w:pPr>
        <w:numPr>
          <w:ilvl w:val="0"/>
          <w:numId w:val="1"/>
        </w:numPr>
        <w:pBdr>
          <w:top w:space="0" w:sz="0" w:val="nil"/>
          <w:left w:space="0" w:sz="0" w:val="nil"/>
          <w:bottom w:space="0" w:sz="0" w:val="nil"/>
          <w:right w:space="0" w:sz="0" w:val="nil"/>
          <w:between w:space="0" w:sz="0" w:val="nil"/>
        </w:pBdr>
        <w:spacing w:after="120" w:before="240" w:lineRule="auto"/>
        <w:ind w:left="360" w:hanging="360"/>
        <w:rPr/>
      </w:pPr>
      <w:r w:rsidDel="00000000" w:rsidR="00000000" w:rsidRPr="00000000">
        <w:rPr>
          <w:rtl w:val="0"/>
        </w:rPr>
        <w:t xml:space="preserve">el anclaje, a través del que incorporamos lo extraño en nuestras redes de categorías y significaciones, para lo que, una vez que insertamos el nuevo objeto en nuestro marco de referencias, lo instrumentalizamos para poder usarlo en nuestra dinámica social. Para esto, tienen lugar dos tipos de procesos: la inserción del objeto en nuestro marco de referencias conocidas, y lo que Araya Umaña llama la instrumentalización del objeto representado para su uso en la dinámica social.</w:t>
      </w:r>
    </w:p>
    <w:p w:rsidR="00000000" w:rsidDel="00000000" w:rsidP="00000000" w:rsidRDefault="00000000" w:rsidRPr="00000000" w14:paraId="00000032">
      <w:pPr>
        <w:spacing w:after="120" w:before="240" w:lineRule="auto"/>
        <w:rPr/>
      </w:pPr>
      <w:r w:rsidDel="00000000" w:rsidR="00000000" w:rsidRPr="00000000">
        <w:rPr>
          <w:color w:val="000000"/>
          <w:rtl w:val="0"/>
        </w:rPr>
        <w:t xml:space="preserve">Estas actividades </w:t>
      </w:r>
      <w:r w:rsidDel="00000000" w:rsidR="00000000" w:rsidRPr="00000000">
        <w:rPr>
          <w:rtl w:val="0"/>
        </w:rPr>
        <w:t xml:space="preserve">de articulación intervienen en el proceso de objetivación al mostrar a la universidad -un concepto abstracto- como algo concreto y tangible. Colaboran también con el proceso de anclaje al presentar las distintas posibilidades que la UNTREF pone al alcance de los alumnos y de la comunidad en general.</w:t>
      </w:r>
    </w:p>
    <w:p w:rsidR="00000000" w:rsidDel="00000000" w:rsidP="00000000" w:rsidRDefault="00000000" w:rsidRPr="00000000" w14:paraId="00000033">
      <w:pPr>
        <w:spacing w:after="120" w:before="240" w:lineRule="auto"/>
        <w:rPr/>
      </w:pPr>
      <w:r w:rsidDel="00000000" w:rsidR="00000000" w:rsidRPr="00000000">
        <w:rPr>
          <w:b w:val="1"/>
          <w:bCs w:val="1"/>
          <w:rtl w:val="0"/>
        </w:rPr>
        <w:t xml:space="preserve">La afiliación académica e institucional en la transición hacia la universidad</w:t>
      </w:r>
      <w:r w:rsidDel="00000000" w:rsidR="00000000" w:rsidRPr="00000000">
        <w:rPr>
          <w:rtl w:val="0"/>
        </w:rPr>
        <w:br w:type="textWrapping"/>
        <w:br w:type="textWrapping"/>
        <w:t xml:space="preserve">Coulon (1995) explica que el estudiante, al ingresar a una institución de estudios superiores, atraviesa diferentes momentos y logra hacerlo exitosamente si puede completar los tres momentos de su afiliación a los estudios superiores. Según Coulon (1995, p.159), estos tiempos son:</w:t>
      </w:r>
    </w:p>
    <w:p w:rsidR="00000000" w:rsidDel="00000000" w:rsidP="00000000" w:rsidRDefault="00000000" w:rsidRPr="00000000" w14:paraId="00000034">
      <w:pPr>
        <w:spacing w:after="120" w:before="240" w:lineRule="auto"/>
        <w:ind w:left="720" w:right="758" w:firstLine="0"/>
        <w:rPr>
          <w:sz w:val="22"/>
          <w:szCs w:val="22"/>
        </w:rPr>
      </w:pPr>
      <w:r w:rsidDel="00000000" w:rsidR="00000000" w:rsidRPr="00000000">
        <w:rPr>
          <w:sz w:val="22"/>
          <w:szCs w:val="22"/>
          <w:rtl w:val="0"/>
        </w:rPr>
        <w:t xml:space="preserve">“- el tiempo de alienación: el estudiante entra en un universo desconocido, una nueva institución que rompe con el mundo familiar que acaba de dejar atrás; </w:t>
      </w:r>
    </w:p>
    <w:p w:rsidR="00000000" w:rsidDel="00000000" w:rsidP="00000000" w:rsidRDefault="00000000" w:rsidRPr="00000000" w14:paraId="00000035">
      <w:pPr>
        <w:spacing w:after="120" w:before="240" w:lineRule="auto"/>
        <w:ind w:left="720" w:right="758" w:firstLine="0"/>
        <w:rPr>
          <w:sz w:val="22"/>
          <w:szCs w:val="22"/>
        </w:rPr>
      </w:pPr>
      <w:r w:rsidDel="00000000" w:rsidR="00000000" w:rsidRPr="00000000">
        <w:rPr>
          <w:sz w:val="22"/>
          <w:szCs w:val="22"/>
          <w:rtl w:val="0"/>
        </w:rPr>
        <w:t xml:space="preserve">- el tiempo de aprendizaje: el estudiante se adapta progresivamente a la situación y la asume, a través de las tres operaciones fundamentales del trabajo intelectual: pensar, clasificar y categorizar; </w:t>
      </w:r>
    </w:p>
    <w:p w:rsidR="00000000" w:rsidDel="00000000" w:rsidP="00000000" w:rsidRDefault="00000000" w:rsidRPr="00000000" w14:paraId="00000036">
      <w:pPr>
        <w:spacing w:after="120" w:before="240" w:lineRule="auto"/>
        <w:ind w:left="720" w:right="758" w:firstLine="0"/>
        <w:rPr>
          <w:sz w:val="22"/>
          <w:szCs w:val="22"/>
        </w:rPr>
      </w:pPr>
      <w:r w:rsidDel="00000000" w:rsidR="00000000" w:rsidRPr="00000000">
        <w:rPr>
          <w:sz w:val="22"/>
          <w:szCs w:val="22"/>
          <w:rtl w:val="0"/>
        </w:rPr>
        <w:t xml:space="preserve">- por último, el tiempo de afiliación: período en el que se observa ya un relativo dominio, que se manifiesta especialmente por la capacidad de interpretar las reglas, e incluso transgredirlas. “</w:t>
      </w:r>
    </w:p>
    <w:p w:rsidR="00000000" w:rsidDel="00000000" w:rsidP="00000000" w:rsidRDefault="00000000" w:rsidRPr="00000000" w14:paraId="00000037">
      <w:pPr>
        <w:spacing w:after="120" w:before="240" w:lineRule="auto"/>
        <w:rPr/>
      </w:pPr>
      <w:r w:rsidDel="00000000" w:rsidR="00000000" w:rsidRPr="00000000">
        <w:rPr>
          <w:rtl w:val="0"/>
        </w:rPr>
        <w:t xml:space="preserve">El resultado de este proceso es la afiliación del estudiante al nuevo ámbito académico.  Para lograrlo, el estudiante debe ser capaz de demostrar su competencia como integrante de una comunidad estudiantil, esto es, dominar una serie de conocimientos comunes, y también, construirse una nueva identidad.</w:t>
      </w:r>
    </w:p>
    <w:p w:rsidR="00000000" w:rsidDel="00000000" w:rsidP="00000000" w:rsidRDefault="00000000" w:rsidRPr="00000000" w14:paraId="00000038">
      <w:pPr>
        <w:spacing w:after="120" w:before="240" w:lineRule="auto"/>
        <w:rPr/>
      </w:pPr>
      <w:r w:rsidDel="00000000" w:rsidR="00000000" w:rsidRPr="00000000">
        <w:rPr>
          <w:rtl w:val="0"/>
        </w:rPr>
        <w:t xml:space="preserve">Es importante destacar que existen, según Coulon (1995), dos tipos de afiliación: la institucional y la intelectual. La afiliación institucional tiene que ver con las reglas que permiten moverse dentro de una institución como, por ejemplo, la aceptación de un esquema de horarios y la adquisición de la autonomía. La afiliación intelectual, por su parte, implica el aprendizaje del uso del vocabulario apropiado, las correctas intervenciones orales, o las adecuadas prácticas de lectura, escritura y concentración. Más allá de esta diferenciación, ambas comparten procesos de adquisición similares para incorporar la capacidad de manipular lo que este autor denomina la practicidad de las reglas; en otras palabras, dominarlas al punto tal de ser capaz de transformar las consignas, tanto institucionales como intelectuales, en acciones prácticas. Podría decirse que afiliarse es lograr naturalidad en el manejo de esas prácticas y de las dinámicas universitarias que los alumnos ingresantes no tenían incorporadas previamente. Los estudiantes deben ser capaces de practicar las reglas, no sólo comprenderlas.</w:t>
      </w:r>
    </w:p>
    <w:p w:rsidR="00000000" w:rsidDel="00000000" w:rsidP="00000000" w:rsidRDefault="00000000" w:rsidRPr="00000000" w14:paraId="00000039">
      <w:pPr>
        <w:spacing w:after="120" w:before="240" w:lineRule="auto"/>
        <w:rPr/>
      </w:pPr>
      <w:r w:rsidDel="00000000" w:rsidR="00000000" w:rsidRPr="00000000">
        <w:rPr>
          <w:rtl w:val="0"/>
        </w:rPr>
        <w:t xml:space="preserve">Como veremos más adelante, los tres programas que se presentan en esta oportunidad ayudan a los alumnos, en mayor o menor medida, en este proceso, con una intensidad dispar, según la fase a la que nos refiramos.</w:t>
      </w:r>
    </w:p>
    <w:p w:rsidR="00000000" w:rsidDel="00000000" w:rsidP="00000000" w:rsidRDefault="00000000" w:rsidRPr="00000000" w14:paraId="0000003A">
      <w:pPr>
        <w:spacing w:after="120" w:before="240" w:lineRule="auto"/>
        <w:rPr>
          <w:b w:val="1"/>
          <w:bCs w:val="1"/>
        </w:rPr>
      </w:pPr>
      <w:r w:rsidDel="00000000" w:rsidR="00000000" w:rsidRPr="00000000">
        <w:rPr>
          <w:b w:val="1"/>
          <w:bCs w:val="1"/>
          <w:rtl w:val="0"/>
        </w:rPr>
        <w:t xml:space="preserve">El </w:t>
      </w:r>
      <w:r w:rsidDel="00000000" w:rsidR="00000000" w:rsidRPr="00000000">
        <w:rPr>
          <w:b w:val="1"/>
          <w:bCs w:val="1"/>
          <w:i w:val="1"/>
          <w:iCs w:val="1"/>
          <w:rtl w:val="0"/>
        </w:rPr>
        <w:t xml:space="preserve">habitus</w:t>
      </w:r>
      <w:r w:rsidDel="00000000" w:rsidR="00000000" w:rsidRPr="00000000">
        <w:rPr>
          <w:b w:val="1"/>
          <w:bCs w:val="1"/>
          <w:rtl w:val="0"/>
        </w:rPr>
        <w:t xml:space="preserve"> y la incorporación del oficio de estudiante universitario</w:t>
      </w:r>
    </w:p>
    <w:p w:rsidR="00000000" w:rsidDel="00000000" w:rsidP="00000000" w:rsidRDefault="00000000" w:rsidRPr="00000000" w14:paraId="0000003B">
      <w:pPr>
        <w:spacing w:after="120" w:before="240" w:lineRule="auto"/>
        <w:rPr/>
      </w:pPr>
      <w:r w:rsidDel="00000000" w:rsidR="00000000" w:rsidRPr="00000000">
        <w:rPr>
          <w:rtl w:val="0"/>
        </w:rPr>
        <w:t xml:space="preserve">Bourdieu, en el texto El Sentido Práctico (2007) se refiere al </w:t>
      </w:r>
      <w:r w:rsidDel="00000000" w:rsidR="00000000" w:rsidRPr="00000000">
        <w:rPr>
          <w:i w:val="1"/>
          <w:iCs w:val="1"/>
          <w:rtl w:val="0"/>
        </w:rPr>
        <w:t xml:space="preserve">habitus</w:t>
      </w:r>
      <w:r w:rsidDel="00000000" w:rsidR="00000000" w:rsidRPr="00000000">
        <w:rPr>
          <w:rtl w:val="0"/>
        </w:rPr>
        <w:t xml:space="preserve"> como a los sistemas de disposiciones duraderas y transferibles, que constituyen verdaderas estructuras que, a su vez, son estructurantes, es decir, que funcionan como principios generadores y organizadores de prácticas y de representaciones que pueden ser objetivamente adaptadas. Agrega, también que el </w:t>
      </w:r>
      <w:r w:rsidDel="00000000" w:rsidR="00000000" w:rsidRPr="00000000">
        <w:rPr>
          <w:i w:val="1"/>
          <w:iCs w:val="1"/>
          <w:rtl w:val="0"/>
        </w:rPr>
        <w:t xml:space="preserve">habitus </w:t>
      </w:r>
      <w:r w:rsidDel="00000000" w:rsidR="00000000" w:rsidRPr="00000000">
        <w:rPr>
          <w:rtl w:val="0"/>
        </w:rPr>
        <w:t xml:space="preserve">comprende esquemas de pensamiento, costumbres y comportamientos aprendidos de manera inconsciente en el entorno familiar y social, e influyen en las expectativas, prácticas y estrategias que los estudiantes despliegan durante su trayectoria educativa (Bourdieu, 2007).</w:t>
      </w:r>
    </w:p>
    <w:p w:rsidR="00000000" w:rsidDel="00000000" w:rsidP="00000000" w:rsidRDefault="00000000" w:rsidRPr="00000000" w14:paraId="0000003C">
      <w:pPr>
        <w:spacing w:after="120" w:lineRule="auto"/>
        <w:rPr/>
      </w:pPr>
      <w:r w:rsidDel="00000000" w:rsidR="00000000" w:rsidRPr="00000000">
        <w:rPr>
          <w:rtl w:val="0"/>
        </w:rPr>
        <w:t xml:space="preserve">En consecuencia, el ingreso a la universidad no depende exclusivamente de los conocimientos adquiridos, sino también del grado de correspondencia entre el </w:t>
      </w:r>
      <w:r w:rsidDel="00000000" w:rsidR="00000000" w:rsidRPr="00000000">
        <w:rPr>
          <w:i w:val="1"/>
          <w:iCs w:val="1"/>
          <w:rtl w:val="0"/>
        </w:rPr>
        <w:t xml:space="preserve">habitus</w:t>
      </w:r>
      <w:r w:rsidDel="00000000" w:rsidR="00000000" w:rsidRPr="00000000">
        <w:rPr>
          <w:rtl w:val="0"/>
        </w:rPr>
        <w:t xml:space="preserve"> construido en los espacios de socialización previos y las exigencias propias del campo universitario.</w:t>
      </w:r>
    </w:p>
    <w:p w:rsidR="00000000" w:rsidDel="00000000" w:rsidP="00000000" w:rsidRDefault="00000000" w:rsidRPr="00000000" w14:paraId="0000003D">
      <w:pPr>
        <w:spacing w:after="120" w:before="240" w:lineRule="auto"/>
        <w:rPr/>
      </w:pPr>
      <w:r w:rsidDel="00000000" w:rsidR="00000000" w:rsidRPr="00000000">
        <w:rPr>
          <w:rtl w:val="0"/>
        </w:rPr>
        <w:t xml:space="preserve">El autor nos advierte</w:t>
      </w:r>
      <w:r w:rsidDel="00000000" w:rsidR="00000000" w:rsidRPr="00000000">
        <w:rPr>
          <w:color w:val="000000"/>
          <w:rtl w:val="0"/>
        </w:rPr>
        <w:t xml:space="preserve">, también, </w:t>
      </w:r>
      <w:r w:rsidDel="00000000" w:rsidR="00000000" w:rsidRPr="00000000">
        <w:rPr>
          <w:rtl w:val="0"/>
        </w:rPr>
        <w:t xml:space="preserve">que “el peso particular de las experiencias primitivas resulta, en lo esencial, del hecho de que el </w:t>
      </w:r>
      <w:r w:rsidDel="00000000" w:rsidR="00000000" w:rsidRPr="00000000">
        <w:rPr>
          <w:i w:val="1"/>
          <w:iCs w:val="1"/>
          <w:rtl w:val="0"/>
        </w:rPr>
        <w:t xml:space="preserve">habitus </w:t>
      </w:r>
      <w:r w:rsidDel="00000000" w:rsidR="00000000" w:rsidRPr="00000000">
        <w:rPr>
          <w:rtl w:val="0"/>
        </w:rPr>
        <w:t xml:space="preserve">tiende a asegurar su propia constancia y su propia defensa contra el cambio”  (Bourdieu, El Sentido Práctico, p. 98), lo que nos obliga a tomar conciencia de la dimensión del desafío que enfrentan programas como los que presentamos: el hábito conserva en su interior la resistencia al cambio, y es justamente un cambio lo que debe experimentar el alumno que ingresa al nivel superior y desea convertirse en un estudiante universitario.</w:t>
      </w:r>
    </w:p>
    <w:p w:rsidR="00000000" w:rsidDel="00000000" w:rsidP="00000000" w:rsidRDefault="00000000" w:rsidRPr="00000000" w14:paraId="0000003E">
      <w:pPr>
        <w:spacing w:after="120" w:before="240" w:lineRule="auto"/>
        <w:rPr/>
      </w:pPr>
      <w:r w:rsidDel="00000000" w:rsidR="00000000" w:rsidRPr="00000000">
        <w:rPr>
          <w:rtl w:val="0"/>
        </w:rPr>
        <w:t xml:space="preserve">En este sentido, todas las acciones de articulación entre la escuela media y el nivel superior que lleva adelante la UNTREF tienen entre sus objetivos estratégicos ayudar a los ingresantes a conocer e incorporar el </w:t>
      </w:r>
      <w:r w:rsidDel="00000000" w:rsidR="00000000" w:rsidRPr="00000000">
        <w:rPr>
          <w:i w:val="1"/>
          <w:iCs w:val="1"/>
          <w:rtl w:val="0"/>
        </w:rPr>
        <w:t xml:space="preserve">habitus</w:t>
      </w:r>
      <w:r w:rsidDel="00000000" w:rsidR="00000000" w:rsidRPr="00000000">
        <w:rPr>
          <w:rtl w:val="0"/>
        </w:rPr>
        <w:t xml:space="preserve"> propio de un sujeto estudiante. A continuación, se </w:t>
      </w:r>
      <w:r w:rsidDel="00000000" w:rsidR="00000000" w:rsidRPr="00000000">
        <w:rPr>
          <w:color w:val="000000"/>
          <w:rtl w:val="0"/>
        </w:rPr>
        <w:t xml:space="preserve">expone </w:t>
      </w:r>
      <w:r w:rsidDel="00000000" w:rsidR="00000000" w:rsidRPr="00000000">
        <w:rPr>
          <w:rtl w:val="0"/>
        </w:rPr>
        <w:t xml:space="preserve">la manera específica en que los tres programas que se presentan en esta ponencia aportan sus particularidades al respecto.</w:t>
      </w:r>
    </w:p>
    <w:p w:rsidR="00000000" w:rsidDel="00000000" w:rsidP="00000000" w:rsidRDefault="00000000" w:rsidRPr="00000000" w14:paraId="0000003F">
      <w:pPr>
        <w:spacing w:after="120" w:before="240" w:lineRule="auto"/>
        <w:rPr/>
      </w:pPr>
      <w:r w:rsidDel="00000000" w:rsidR="00000000" w:rsidRPr="00000000">
        <w:rPr>
          <w:b w:val="1"/>
          <w:bCs w:val="1"/>
          <w:rtl w:val="0"/>
        </w:rPr>
        <w:t xml:space="preserve">Tres experiencias de articulación:  1 - Conociendo la universidad</w:t>
      </w:r>
      <w:r w:rsidDel="00000000" w:rsidR="00000000" w:rsidRPr="00000000">
        <w:rPr>
          <w:rtl w:val="0"/>
        </w:rPr>
      </w:r>
    </w:p>
    <w:p w:rsidR="00000000" w:rsidDel="00000000" w:rsidP="00000000" w:rsidRDefault="00000000" w:rsidRPr="00000000" w14:paraId="00000040">
      <w:pPr>
        <w:spacing w:after="120" w:before="240" w:lineRule="auto"/>
        <w:rPr/>
      </w:pPr>
      <w:r w:rsidDel="00000000" w:rsidR="00000000" w:rsidRPr="00000000">
        <w:rPr>
          <w:rtl w:val="0"/>
        </w:rPr>
        <w:t xml:space="preserve"> Conociendo la Universidad constituye una de las iniciativas que lleva adelante la Secretaría Académica de la Universidad Nacional de Tres de Febrero, ejemplifica lo expresado anteriormente en relación con las acciones de articulación y es el primero de los tres casos que queremos presentar en esta oportunidad.</w:t>
      </w:r>
    </w:p>
    <w:p w:rsidR="00000000" w:rsidDel="00000000" w:rsidP="00000000" w:rsidRDefault="00000000" w:rsidRPr="00000000" w14:paraId="00000041">
      <w:pPr>
        <w:spacing w:after="120" w:before="240" w:lineRule="auto"/>
        <w:rPr/>
      </w:pPr>
      <w:r w:rsidDel="00000000" w:rsidR="00000000" w:rsidRPr="00000000">
        <w:rPr>
          <w:rtl w:val="0"/>
        </w:rPr>
        <w:t xml:space="preserve">Este programa está orientado a favorecer nuevas representaciones de la universidad entre los alumnos, como una opción posible para su futuro, y a constituir un entramado de relaciones entre el nivel secundario y la universidad, que facilite, a su vez, iniciativas que relacionen ambos niveles que se correspondan con el mencionado objetivo. </w:t>
      </w:r>
    </w:p>
    <w:p w:rsidR="00000000" w:rsidDel="00000000" w:rsidP="00000000" w:rsidRDefault="00000000" w:rsidRPr="00000000" w14:paraId="00000042">
      <w:pPr>
        <w:spacing w:after="120" w:before="240" w:lineRule="auto"/>
        <w:rPr/>
      </w:pPr>
      <w:r w:rsidDel="00000000" w:rsidR="00000000" w:rsidRPr="00000000">
        <w:rPr>
          <w:rtl w:val="0"/>
        </w:rPr>
        <w:t xml:space="preserve">Las actividades consisten en un conjunto de visitas organizadas con las escuelas secundarias de la Región VII de la Provincia de Buenos Aires (Tres de Febrero, Hurlingham y San Martín), para que sus estudiantes puedan conocer las instalaciones que les ofrece esta institución y empezar a concebir a la universidad como un espacio posible, accesible, valioso y amigable.</w:t>
      </w:r>
    </w:p>
    <w:p w:rsidR="00000000" w:rsidDel="00000000" w:rsidP="00000000" w:rsidRDefault="00000000" w:rsidRPr="00000000" w14:paraId="00000043">
      <w:pPr>
        <w:spacing w:after="120" w:before="240" w:lineRule="auto"/>
        <w:rPr/>
      </w:pPr>
      <w:r w:rsidDel="00000000" w:rsidR="00000000" w:rsidRPr="00000000">
        <w:rPr>
          <w:rtl w:val="0"/>
        </w:rPr>
        <w:t xml:space="preserve">En cada encuentro se incluye la exhibición de un video institucional, la presentación de las ofertas académicas, de las actividades comunitarias y extracurriculares del Departamento de Extensión, y la realización de un recorrido por diferentes espacios de la UNTREF, tales como el museo (MUNTREF) y la Biblioteca. En estos últimos espacios, las participaciones de los alumnos tienen un carácter interactivo ya que en ambas instancias los estudiantes realizan diferentes actividades o juegos que se proponen en cada caso. Finalmente, los estudiantes intervienen en talleres informativos a cargo de docentes de distintas carreras de la universidad. </w:t>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120" w:before="240" w:lineRule="auto"/>
        <w:rPr/>
      </w:pPr>
      <w:r w:rsidDel="00000000" w:rsidR="00000000" w:rsidRPr="00000000">
        <w:rPr>
          <w:rtl w:val="0"/>
        </w:rPr>
        <w:t xml:space="preserve">Los alumnos que acuden a nuestra universidad con la intención de conocerla ya tienen una determinada representación social respecto de la Universidad. Esa representación, más allá de cualquier juicio de valor que pueda hacerse, está conformada por estereotipos, opiniones, creencias, valores y normas. Muchas veces sus representaciones sociales funcionan como habilitantes para ser un futuro alumno universitario, mientras que otras veces no. En estos últimos casos los estudiantes no pueden prefigurarse como integrantes de ese ámbito, y se llega a escuchar durante las visitas comentarios que hacen los alumnos al pasar tales como “la universidad no es para mí”, “esto es muy difícil”, o entre los docentes que los acompañan, “a los chicos les cuesta dejar el barrio”.</w:t>
      </w:r>
    </w:p>
    <w:p w:rsidR="00000000" w:rsidDel="00000000" w:rsidP="00000000" w:rsidRDefault="00000000" w:rsidRPr="00000000" w14:paraId="00000045">
      <w:pPr>
        <w:spacing w:after="120" w:before="240" w:lineRule="auto"/>
        <w:rPr/>
      </w:pPr>
      <w:r w:rsidDel="00000000" w:rsidR="00000000" w:rsidRPr="00000000">
        <w:rPr>
          <w:rtl w:val="0"/>
        </w:rPr>
        <w:t xml:space="preserve">A lo largo de sus ediciones anuales se ha podido comprobar que el programa es bien recibido por la comunidad educativa, y que satisface algunas de las necesidades manifestadas por los directivos de la Región VII en relación con la articulación entre los niveles de educación media y superior.</w:t>
      </w:r>
    </w:p>
    <w:p w:rsidR="00000000" w:rsidDel="00000000" w:rsidP="00000000" w:rsidRDefault="00000000" w:rsidRPr="00000000" w14:paraId="00000046">
      <w:pPr>
        <w:spacing w:after="120" w:before="240" w:lineRule="auto"/>
        <w:rPr/>
      </w:pPr>
      <w:r w:rsidDel="00000000" w:rsidR="00000000" w:rsidRPr="00000000">
        <w:rPr>
          <w:rtl w:val="0"/>
        </w:rPr>
        <w:t xml:space="preserve">En las últimas encuestas realizadas entre los asistentes se solicitó su grado de valoración de las actividades propuestas durante las visitas, en este caso, la charla informativa inicial y las charlas sobre las carreras. En el caso que se grafica a continuación, nos visitaron 573 alumnos que opinaron mayoritariamente que las charlas informativas sobre la UNTREF y sobre algunas carreras fueron un aporte importante.</w:t>
      </w:r>
    </w:p>
    <w:p w:rsidR="00000000" w:rsidDel="00000000" w:rsidP="00000000" w:rsidRDefault="00000000" w:rsidRPr="00000000" w14:paraId="00000047">
      <w:pPr>
        <w:spacing w:after="120" w:before="240" w:lineRule="auto"/>
        <w:rPr/>
      </w:pPr>
      <w:r w:rsidDel="00000000" w:rsidR="00000000" w:rsidRPr="00000000">
        <w:rPr>
          <w:rtl w:val="0"/>
        </w:rPr>
      </w:r>
    </w:p>
    <w:p w:rsidR="00000000" w:rsidDel="00000000" w:rsidP="00000000" w:rsidRDefault="00000000" w:rsidRPr="00000000" w14:paraId="00000048">
      <w:pPr>
        <w:spacing w:after="120" w:before="240" w:lineRule="auto"/>
        <w:rPr/>
      </w:pPr>
      <w:r w:rsidDel="00000000" w:rsidR="00000000" w:rsidRPr="00000000">
        <w:rPr>
          <w:rtl w:val="0"/>
        </w:rPr>
      </w:r>
    </w:p>
    <w:p w:rsidR="00000000" w:rsidDel="00000000" w:rsidP="00000000" w:rsidRDefault="00000000" w:rsidRPr="00000000" w14:paraId="00000049">
      <w:pPr>
        <w:spacing w:after="120" w:before="240" w:lineRule="auto"/>
        <w:rPr/>
      </w:pPr>
      <w:r w:rsidDel="00000000" w:rsidR="00000000" w:rsidRPr="00000000">
        <w:rPr/>
        <w:drawing>
          <wp:anchor allowOverlap="1" behindDoc="0" distB="0" distT="0" distL="114300" distR="114300" hidden="0" layoutInCell="1" locked="0" relativeHeight="0" simplePos="0">
            <wp:simplePos x="0" y="0"/>
            <wp:positionH relativeFrom="margin">
              <wp:posOffset>281940</wp:posOffset>
            </wp:positionH>
            <wp:positionV relativeFrom="margin">
              <wp:posOffset>-278729</wp:posOffset>
            </wp:positionV>
            <wp:extent cx="4666615" cy="2334260"/>
            <wp:effectExtent b="0" l="0" r="0" t="0"/>
            <wp:wrapSquare wrapText="bothSides" distB="0" distT="0" distL="114300" distR="11430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4666615" cy="2334260"/>
                    </a:xfrm>
                    <a:prstGeom prst="rect"/>
                    <a:ln/>
                  </pic:spPr>
                </pic:pic>
              </a:graphicData>
            </a:graphic>
          </wp:anchor>
        </w:drawing>
      </w:r>
      <w:r w:rsidDel="00000000" w:rsidR="00000000" w:rsidRPr="00000000">
        <w:rPr>
          <w:rtl w:val="0"/>
        </w:rPr>
      </w:r>
    </w:p>
    <w:p w:rsidR="00000000" w:rsidDel="00000000" w:rsidP="00000000" w:rsidRDefault="00000000" w:rsidRPr="00000000" w14:paraId="0000004A">
      <w:pPr>
        <w:spacing w:after="120" w:before="240" w:lineRule="auto"/>
        <w:rPr>
          <w:sz w:val="18"/>
          <w:szCs w:val="18"/>
        </w:rPr>
      </w:pPr>
      <w:r w:rsidDel="00000000" w:rsidR="00000000" w:rsidRPr="00000000">
        <w:rPr>
          <w:rtl w:val="0"/>
        </w:rPr>
      </w:r>
    </w:p>
    <w:p w:rsidR="00000000" w:rsidDel="00000000" w:rsidP="00000000" w:rsidRDefault="00000000" w:rsidRPr="00000000" w14:paraId="0000004B">
      <w:pPr>
        <w:spacing w:after="120" w:before="240" w:lineRule="auto"/>
        <w:rPr>
          <w:sz w:val="18"/>
          <w:szCs w:val="18"/>
        </w:rPr>
      </w:pPr>
      <w:r w:rsidDel="00000000" w:rsidR="00000000" w:rsidRPr="00000000">
        <w:rPr>
          <w:rtl w:val="0"/>
        </w:rPr>
      </w:r>
    </w:p>
    <w:p w:rsidR="00000000" w:rsidDel="00000000" w:rsidP="00000000" w:rsidRDefault="00000000" w:rsidRPr="00000000" w14:paraId="0000004C">
      <w:pPr>
        <w:spacing w:after="120" w:before="240" w:lineRule="auto"/>
        <w:rPr>
          <w:sz w:val="18"/>
          <w:szCs w:val="18"/>
        </w:rPr>
      </w:pPr>
      <w:r w:rsidDel="00000000" w:rsidR="00000000" w:rsidRPr="00000000">
        <w:rPr>
          <w:rtl w:val="0"/>
        </w:rPr>
      </w:r>
    </w:p>
    <w:p w:rsidR="00000000" w:rsidDel="00000000" w:rsidP="00000000" w:rsidRDefault="00000000" w:rsidRPr="00000000" w14:paraId="0000004D">
      <w:pPr>
        <w:spacing w:after="120" w:before="240" w:lineRule="auto"/>
        <w:rPr>
          <w:sz w:val="18"/>
          <w:szCs w:val="18"/>
        </w:rPr>
      </w:pPr>
      <w:r w:rsidDel="00000000" w:rsidR="00000000" w:rsidRPr="00000000">
        <w:rPr>
          <w:rtl w:val="0"/>
        </w:rPr>
      </w:r>
    </w:p>
    <w:p w:rsidR="00000000" w:rsidDel="00000000" w:rsidP="00000000" w:rsidRDefault="00000000" w:rsidRPr="00000000" w14:paraId="0000004E">
      <w:pPr>
        <w:spacing w:after="120" w:before="240" w:lineRule="auto"/>
        <w:rPr>
          <w:sz w:val="18"/>
          <w:szCs w:val="18"/>
        </w:rPr>
      </w:pPr>
      <w:r w:rsidDel="00000000" w:rsidR="00000000" w:rsidRPr="00000000">
        <w:rPr>
          <w:rtl w:val="0"/>
        </w:rPr>
      </w:r>
    </w:p>
    <w:p w:rsidR="00000000" w:rsidDel="00000000" w:rsidP="00000000" w:rsidRDefault="00000000" w:rsidRPr="00000000" w14:paraId="0000004F">
      <w:pPr>
        <w:spacing w:after="120" w:before="240" w:lineRule="auto"/>
        <w:rPr>
          <w:sz w:val="18"/>
          <w:szCs w:val="18"/>
        </w:rPr>
      </w:pPr>
      <w:r w:rsidDel="00000000" w:rsidR="00000000" w:rsidRPr="00000000">
        <w:rPr>
          <w:rtl w:val="0"/>
        </w:rPr>
      </w:r>
    </w:p>
    <w:p w:rsidR="00000000" w:rsidDel="00000000" w:rsidP="00000000" w:rsidRDefault="00000000" w:rsidRPr="00000000" w14:paraId="00000050">
      <w:pPr>
        <w:spacing w:after="120" w:before="240" w:lineRule="auto"/>
        <w:ind w:firstLine="720"/>
        <w:jc w:val="center"/>
        <w:rPr>
          <w:sz w:val="18"/>
          <w:szCs w:val="18"/>
        </w:rPr>
      </w:pPr>
      <w:r w:rsidDel="00000000" w:rsidR="00000000" w:rsidRPr="00000000">
        <w:rPr>
          <w:sz w:val="18"/>
          <w:szCs w:val="18"/>
          <w:rtl w:val="0"/>
        </w:rPr>
        <w:t xml:space="preserve">Fuente: Conociendo la universidad. Informe final 2019</w:t>
      </w:r>
    </w:p>
    <w:p w:rsidR="00000000" w:rsidDel="00000000" w:rsidP="00000000" w:rsidRDefault="00000000" w:rsidRPr="00000000" w14:paraId="00000051">
      <w:pPr>
        <w:spacing w:after="120" w:before="240" w:lineRule="auto"/>
        <w:rPr/>
      </w:pPr>
      <w:r w:rsidDel="00000000" w:rsidR="00000000" w:rsidRPr="00000000">
        <w:rPr>
          <w:rtl w:val="0"/>
        </w:rPr>
        <w:t xml:space="preserve">El valor que Conociendo la Universidad intenta aportar consiste en:</w:t>
      </w:r>
    </w:p>
    <w:p w:rsidR="00000000" w:rsidDel="00000000" w:rsidP="00000000" w:rsidRDefault="00000000" w:rsidRPr="00000000" w14:paraId="00000052">
      <w:pPr>
        <w:numPr>
          <w:ilvl w:val="0"/>
          <w:numId w:val="1"/>
        </w:numPr>
        <w:pBdr>
          <w:top w:space="0" w:sz="0" w:val="nil"/>
          <w:left w:space="0" w:sz="0" w:val="nil"/>
          <w:bottom w:space="0" w:sz="0" w:val="nil"/>
          <w:right w:space="0" w:sz="0" w:val="nil"/>
          <w:between w:space="0" w:sz="0" w:val="nil"/>
        </w:pBdr>
        <w:spacing w:after="120" w:before="240" w:lineRule="auto"/>
        <w:ind w:left="360" w:hanging="360"/>
        <w:rPr/>
      </w:pPr>
      <w:r w:rsidDel="00000000" w:rsidR="00000000" w:rsidRPr="00000000">
        <w:rPr>
          <w:rtl w:val="0"/>
        </w:rPr>
        <w:t xml:space="preserve">Ampliar el horizonte de posibilidades percibidas por los estudiantes que muchas veces existe en el imaginario de los alumnos y que les dificulta el acceso a las instituciones universitarias.</w:t>
      </w:r>
    </w:p>
    <w:p w:rsidR="00000000" w:rsidDel="00000000" w:rsidP="00000000" w:rsidRDefault="00000000" w:rsidRPr="00000000" w14:paraId="00000053">
      <w:pPr>
        <w:numPr>
          <w:ilvl w:val="0"/>
          <w:numId w:val="1"/>
        </w:numPr>
        <w:pBdr>
          <w:top w:space="0" w:sz="0" w:val="nil"/>
          <w:left w:space="0" w:sz="0" w:val="nil"/>
          <w:bottom w:space="0" w:sz="0" w:val="nil"/>
          <w:right w:space="0" w:sz="0" w:val="nil"/>
          <w:between w:space="0" w:sz="0" w:val="nil"/>
        </w:pBdr>
        <w:spacing w:after="120" w:before="240" w:lineRule="auto"/>
        <w:ind w:left="360" w:hanging="360"/>
        <w:rPr/>
      </w:pPr>
      <w:r w:rsidDel="00000000" w:rsidR="00000000" w:rsidRPr="00000000">
        <w:rPr>
          <w:rtl w:val="0"/>
        </w:rPr>
        <w:t xml:space="preserve">Construir una relación entre los alumnos secundarios y la UNTREF a partir de acercar la universidad a los estudiantes, una de las principales misiones de las universidades regionales que buscan descentralizar la oferta universitaria.  </w:t>
      </w:r>
    </w:p>
    <w:p w:rsidR="00000000" w:rsidDel="00000000" w:rsidP="00000000" w:rsidRDefault="00000000" w:rsidRPr="00000000" w14:paraId="00000054">
      <w:pPr>
        <w:numPr>
          <w:ilvl w:val="0"/>
          <w:numId w:val="1"/>
        </w:numPr>
        <w:pBdr>
          <w:top w:space="0" w:sz="0" w:val="nil"/>
          <w:left w:space="0" w:sz="0" w:val="nil"/>
          <w:bottom w:space="0" w:sz="0" w:val="nil"/>
          <w:right w:space="0" w:sz="0" w:val="nil"/>
          <w:between w:space="0" w:sz="0" w:val="nil"/>
        </w:pBdr>
        <w:spacing w:after="120" w:before="240" w:lineRule="auto"/>
        <w:ind w:left="360" w:hanging="360"/>
        <w:rPr/>
      </w:pPr>
      <w:r w:rsidDel="00000000" w:rsidR="00000000" w:rsidRPr="00000000">
        <w:rPr>
          <w:rtl w:val="0"/>
        </w:rPr>
        <w:t xml:space="preserve">Difundir la oferta de carreras, las diversas iniciativas culturales que impulsa la UNTREF y las propuestas de extensión universitaria, que están disponibles inclusive para quienes no son estudiantes de la UNTREF. </w:t>
      </w:r>
    </w:p>
    <w:p w:rsidR="00000000" w:rsidDel="00000000" w:rsidP="00000000" w:rsidRDefault="00000000" w:rsidRPr="00000000" w14:paraId="00000055">
      <w:pPr>
        <w:numPr>
          <w:ilvl w:val="0"/>
          <w:numId w:val="1"/>
        </w:numPr>
        <w:pBdr>
          <w:top w:space="0" w:sz="0" w:val="nil"/>
          <w:left w:space="0" w:sz="0" w:val="nil"/>
          <w:bottom w:space="0" w:sz="0" w:val="nil"/>
          <w:right w:space="0" w:sz="0" w:val="nil"/>
          <w:between w:space="0" w:sz="0" w:val="nil"/>
        </w:pBdr>
        <w:spacing w:after="120" w:before="240" w:lineRule="auto"/>
        <w:ind w:left="360" w:hanging="360"/>
        <w:rPr/>
      </w:pPr>
      <w:r w:rsidDel="00000000" w:rsidR="00000000" w:rsidRPr="00000000">
        <w:rPr>
          <w:rtl w:val="0"/>
        </w:rPr>
        <w:t xml:space="preserve">Modificar la representación social de los alumnos que a partir de caminar los pasillos de la universidad comienzan a ver como algo posible la alternativa de convertirse en estudiante universitario. </w:t>
      </w:r>
    </w:p>
    <w:p w:rsidR="00000000" w:rsidDel="00000000" w:rsidP="00000000" w:rsidRDefault="00000000" w:rsidRPr="00000000" w14:paraId="00000056">
      <w:pPr>
        <w:numPr>
          <w:ilvl w:val="0"/>
          <w:numId w:val="1"/>
        </w:numPr>
        <w:pBdr>
          <w:top w:space="0" w:sz="0" w:val="nil"/>
          <w:left w:space="0" w:sz="0" w:val="nil"/>
          <w:bottom w:space="0" w:sz="0" w:val="nil"/>
          <w:right w:space="0" w:sz="0" w:val="nil"/>
          <w:between w:space="0" w:sz="0" w:val="nil"/>
        </w:pBdr>
        <w:spacing w:after="120" w:before="240" w:lineRule="auto"/>
        <w:ind w:left="360" w:hanging="360"/>
        <w:rPr/>
      </w:pPr>
      <w:r w:rsidDel="00000000" w:rsidR="00000000" w:rsidRPr="00000000">
        <w:rPr>
          <w:rtl w:val="0"/>
        </w:rPr>
        <w:t xml:space="preserve">Lograr que los estudiantes, al familiarizarse con un entorno desconocido, comiencen a transitar el tiempo de la alienación y conciban a la universidad como algo posible. </w:t>
      </w:r>
    </w:p>
    <w:p w:rsidR="00000000" w:rsidDel="00000000" w:rsidP="00000000" w:rsidRDefault="00000000" w:rsidRPr="00000000" w14:paraId="00000057">
      <w:pPr>
        <w:numPr>
          <w:ilvl w:val="0"/>
          <w:numId w:val="1"/>
        </w:numPr>
        <w:pBdr>
          <w:top w:space="0" w:sz="0" w:val="nil"/>
          <w:left w:space="0" w:sz="0" w:val="nil"/>
          <w:bottom w:space="0" w:sz="0" w:val="nil"/>
          <w:right w:space="0" w:sz="0" w:val="nil"/>
          <w:between w:space="0" w:sz="0" w:val="nil"/>
        </w:pBdr>
        <w:spacing w:after="120" w:before="240" w:lineRule="auto"/>
        <w:ind w:left="360" w:hanging="360"/>
        <w:rPr/>
      </w:pPr>
      <w:r w:rsidDel="00000000" w:rsidR="00000000" w:rsidRPr="00000000">
        <w:rPr>
          <w:rtl w:val="0"/>
        </w:rPr>
        <w:t xml:space="preserve">Brindar una perspectiva más tangible de lo que es el mundo universitario, su dinámica y categorías, que contribuya a que los alumnos vislumbren la necesidad que tendrán de reestructurar su habitus mediante la incorporación de nuevas experiencias sociales.</w: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120" w:before="240" w:lineRule="auto"/>
        <w:rPr/>
      </w:pPr>
      <w:r w:rsidDel="00000000" w:rsidR="00000000" w:rsidRPr="00000000">
        <w:rPr>
          <w:rtl w:val="0"/>
        </w:rPr>
        <w:t xml:space="preserve">Detectar, descifrar e incorporar los códigos que comparten los miembros de la comunidad de estudiantes universitarios -que Coulon (1995) denomina marcadores de afiliación- resulta determinante para reducir las chances de abandono. Es importante que el ingresante construya ese hábito de estudiante que lo haga reconocerse como tal, que lo haga sentirse miembro de un universo social y mental, con similares referencias y perspectivas, y una misma manera de categorizar el mundo. Este autor  nos indica que en toda transición deben incorporarse las competencias de los miembros de la comunidad a través de la manipulación de las reglas. Los estudiantes que han logrado su afiliación son aceptados en su nuevo entorno. En otras palabras, han aprendido el oficio de ser estudiante y se han adecuado a las exigencias que le plantea este nuevo ámbito. El ingreso es solo un momento, pero el desafío va más allá: lograr la persistencia de las acciones de articulación hasta lograr la afiliación.</w:t>
      </w:r>
    </w:p>
    <w:p w:rsidR="00000000" w:rsidDel="00000000" w:rsidP="00000000" w:rsidRDefault="00000000" w:rsidRPr="00000000" w14:paraId="00000059">
      <w:pPr>
        <w:spacing w:after="120" w:before="240" w:lineRule="auto"/>
        <w:rPr/>
      </w:pPr>
      <w:r w:rsidDel="00000000" w:rsidR="00000000" w:rsidRPr="00000000">
        <w:rPr>
          <w:b w:val="1"/>
          <w:bCs w:val="1"/>
          <w:rtl w:val="0"/>
        </w:rPr>
        <w:t xml:space="preserve">Tres experiencias de articulación:  2 - ExpoUNTREF</w:t>
      </w:r>
      <w:r w:rsidDel="00000000" w:rsidR="00000000" w:rsidRPr="00000000">
        <w:rPr>
          <w:rtl w:val="0"/>
        </w:rPr>
      </w:r>
    </w:p>
    <w:p w:rsidR="00000000" w:rsidDel="00000000" w:rsidP="00000000" w:rsidRDefault="00000000" w:rsidRPr="00000000" w14:paraId="0000005A">
      <w:pPr>
        <w:spacing w:after="120" w:lineRule="auto"/>
        <w:rPr/>
      </w:pPr>
      <w:r w:rsidDel="00000000" w:rsidR="00000000" w:rsidRPr="00000000">
        <w:rPr>
          <w:rtl w:val="0"/>
        </w:rPr>
        <w:t xml:space="preserve">El programa ExpoUNTREF es otra de las acciones que lleva adelante la Secretaría Académica de la Universidad de Tres de Febrero en el marco de la política de articulación ya mencionada. Esta actividad está orientada a difundir la oferta académica de la UNTREF y los diversos servicios culturales que la institución pone a disposición de la comunidad. Consiste en la realización de una exposición anual que se lleva a cabo en la sede de Villa Lynch de la UNTREF. Cada año en un día determinado se abren las puertas de la universidad a estudiantes de la escuela secundaria y al público en general que quieran conocer lo que se desarrolla en la universidad.</w:t>
      </w:r>
    </w:p>
    <w:p w:rsidR="00000000" w:rsidDel="00000000" w:rsidP="00000000" w:rsidRDefault="00000000" w:rsidRPr="00000000" w14:paraId="0000005B">
      <w:pPr>
        <w:spacing w:after="120" w:lineRule="auto"/>
        <w:rPr/>
      </w:pPr>
      <w:r w:rsidDel="00000000" w:rsidR="00000000" w:rsidRPr="00000000">
        <w:rPr>
          <w:rtl w:val="0"/>
        </w:rPr>
        <w:t xml:space="preserve">El valor que ExpoUNTREF intenta aportar consiste en:</w:t>
      </w:r>
    </w:p>
    <w:p w:rsidR="00000000" w:rsidDel="00000000" w:rsidP="00000000" w:rsidRDefault="00000000" w:rsidRPr="00000000" w14:paraId="0000005C">
      <w:pPr>
        <w:numPr>
          <w:ilvl w:val="0"/>
          <w:numId w:val="1"/>
        </w:numPr>
        <w:pBdr>
          <w:top w:space="0" w:sz="0" w:val="nil"/>
          <w:left w:space="0" w:sz="0" w:val="nil"/>
          <w:bottom w:space="0" w:sz="0" w:val="nil"/>
          <w:right w:space="0" w:sz="0" w:val="nil"/>
          <w:between w:space="0" w:sz="0" w:val="nil"/>
        </w:pBdr>
        <w:spacing w:after="120" w:before="240" w:lineRule="auto"/>
        <w:ind w:left="360" w:hanging="360"/>
        <w:rPr/>
      </w:pPr>
      <w:r w:rsidDel="00000000" w:rsidR="00000000" w:rsidRPr="00000000">
        <w:rPr>
          <w:rtl w:val="0"/>
        </w:rPr>
        <w:t xml:space="preserve">Difundir la oferta de carreras, las diversas iniciativas culturales que impulsa la UNTREF y las propuestas de extensión universitaria, que están disponibles inclusive para quienes no son estudiantes de la UNTREF, y que pueden ayudarlos en el descubrimiento de su propio camino hacia los estudios universitarios.</w:t>
      </w:r>
    </w:p>
    <w:p w:rsidR="00000000" w:rsidDel="00000000" w:rsidP="00000000" w:rsidRDefault="00000000" w:rsidRPr="00000000" w14:paraId="0000005D">
      <w:pPr>
        <w:numPr>
          <w:ilvl w:val="0"/>
          <w:numId w:val="1"/>
        </w:numPr>
        <w:pBdr>
          <w:top w:space="0" w:sz="0" w:val="nil"/>
          <w:left w:space="0" w:sz="0" w:val="nil"/>
          <w:bottom w:space="0" w:sz="0" w:val="nil"/>
          <w:right w:space="0" w:sz="0" w:val="nil"/>
          <w:between w:space="0" w:sz="0" w:val="nil"/>
        </w:pBdr>
        <w:spacing w:after="120" w:before="240" w:lineRule="auto"/>
        <w:ind w:left="360" w:hanging="360"/>
        <w:rPr/>
      </w:pPr>
      <w:r w:rsidDel="00000000" w:rsidR="00000000" w:rsidRPr="00000000">
        <w:rPr>
          <w:rtl w:val="0"/>
        </w:rPr>
        <w:t xml:space="preserve">Atraer el interés respecto de la oferta académica no sólo de los estudiantes de la escuela secundaria, sino también de los docentes que quieren continuar su formación con las posibilidades que brinda la universidad con las carreras de complementación.</w:t>
      </w:r>
    </w:p>
    <w:p w:rsidR="00000000" w:rsidDel="00000000" w:rsidP="00000000" w:rsidRDefault="00000000" w:rsidRPr="00000000" w14:paraId="0000005E">
      <w:pPr>
        <w:numPr>
          <w:ilvl w:val="0"/>
          <w:numId w:val="1"/>
        </w:numPr>
        <w:pBdr>
          <w:top w:space="0" w:sz="0" w:val="nil"/>
          <w:left w:space="0" w:sz="0" w:val="nil"/>
          <w:bottom w:space="0" w:sz="0" w:val="nil"/>
          <w:right w:space="0" w:sz="0" w:val="nil"/>
          <w:between w:space="0" w:sz="0" w:val="nil"/>
        </w:pBdr>
        <w:spacing w:after="120" w:before="240" w:lineRule="auto"/>
        <w:ind w:left="360" w:hanging="360"/>
        <w:rPr/>
      </w:pPr>
      <w:r w:rsidDel="00000000" w:rsidR="00000000" w:rsidRPr="00000000">
        <w:rPr>
          <w:rtl w:val="0"/>
        </w:rPr>
        <w:t xml:space="preserve">Dar a conocer la infraestructura que la UNTREF pone a disposición de la comunidad en su conjunto: Museo, Biblioteca, Microestadio deportivo, entre otros.</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0">
      <w:pPr>
        <w:spacing w:after="120" w:lineRule="auto"/>
        <w:rPr/>
      </w:pPr>
      <w:r w:rsidDel="00000000" w:rsidR="00000000" w:rsidRPr="00000000">
        <w:rPr>
          <w:rtl w:val="0"/>
        </w:rPr>
        <w:t xml:space="preserve">Las actividades de este programa fueron diseñadas buscando alcanzar los siguientes objetivos específicos:</w:t>
      </w:r>
    </w:p>
    <w:p w:rsidR="00000000" w:rsidDel="00000000" w:rsidP="00000000" w:rsidRDefault="00000000" w:rsidRPr="00000000" w14:paraId="00000061">
      <w:pPr>
        <w:numPr>
          <w:ilvl w:val="0"/>
          <w:numId w:val="1"/>
        </w:numPr>
        <w:pBdr>
          <w:top w:space="0" w:sz="0" w:val="nil"/>
          <w:left w:space="0" w:sz="0" w:val="nil"/>
          <w:bottom w:space="0" w:sz="0" w:val="nil"/>
          <w:right w:space="0" w:sz="0" w:val="nil"/>
          <w:between w:space="0" w:sz="0" w:val="nil"/>
        </w:pBdr>
        <w:spacing w:after="120" w:before="240" w:lineRule="auto"/>
        <w:ind w:left="360" w:hanging="360"/>
        <w:rPr/>
      </w:pPr>
      <w:r w:rsidDel="00000000" w:rsidR="00000000" w:rsidRPr="00000000">
        <w:rPr>
          <w:rtl w:val="0"/>
        </w:rPr>
        <w:t xml:space="preserve">Que los estudiantes secundarios conozcan los diversos espacios que ofrece la UNTREF, sus actividades académicas y de extensión universitaria, y que se vinculen con las carreras de nuestra universidad.</w:t>
      </w:r>
    </w:p>
    <w:p w:rsidR="00000000" w:rsidDel="00000000" w:rsidP="00000000" w:rsidRDefault="00000000" w:rsidRPr="00000000" w14:paraId="00000062">
      <w:pPr>
        <w:numPr>
          <w:ilvl w:val="0"/>
          <w:numId w:val="1"/>
        </w:numPr>
        <w:pBdr>
          <w:top w:space="0" w:sz="0" w:val="nil"/>
          <w:left w:space="0" w:sz="0" w:val="nil"/>
          <w:bottom w:space="0" w:sz="0" w:val="nil"/>
          <w:right w:space="0" w:sz="0" w:val="nil"/>
          <w:between w:space="0" w:sz="0" w:val="nil"/>
        </w:pBdr>
        <w:spacing w:after="120" w:before="240" w:lineRule="auto"/>
        <w:ind w:left="360" w:hanging="360"/>
        <w:rPr/>
      </w:pPr>
      <w:r w:rsidDel="00000000" w:rsidR="00000000" w:rsidRPr="00000000">
        <w:rPr>
          <w:rtl w:val="0"/>
        </w:rPr>
        <w:t xml:space="preserve">Que la comunidad en general conozca y se apropie de los diferentes espacios y actividades que la universidad provee a todos los integrantes aun cuando no sean alumnos de esta universidad.</w:t>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120" w:before="240" w:lineRule="auto"/>
        <w:rPr/>
      </w:pPr>
      <w:r w:rsidDel="00000000" w:rsidR="00000000" w:rsidRPr="00000000">
        <w:rPr>
          <w:rtl w:val="0"/>
        </w:rPr>
        <w:t xml:space="preserve">Este programa comparte algunos de los sustentos teóricos e hipótesis de trabajo de Conociendo la Universidad:</w:t>
      </w:r>
    </w:p>
    <w:p w:rsidR="00000000" w:rsidDel="00000000" w:rsidP="00000000" w:rsidRDefault="00000000" w:rsidRPr="00000000" w14:paraId="00000064">
      <w:pPr>
        <w:numPr>
          <w:ilvl w:val="0"/>
          <w:numId w:val="1"/>
        </w:numPr>
        <w:pBdr>
          <w:top w:space="0" w:sz="0" w:val="nil"/>
          <w:left w:space="0" w:sz="0" w:val="nil"/>
          <w:bottom w:space="0" w:sz="0" w:val="nil"/>
          <w:right w:space="0" w:sz="0" w:val="nil"/>
          <w:between w:space="0" w:sz="0" w:val="nil"/>
        </w:pBdr>
        <w:spacing w:after="120" w:before="240" w:lineRule="auto"/>
        <w:ind w:left="360" w:hanging="360"/>
        <w:rPr/>
      </w:pPr>
      <w:r w:rsidDel="00000000" w:rsidR="00000000" w:rsidRPr="00000000">
        <w:rPr>
          <w:rtl w:val="0"/>
        </w:rPr>
        <w:t xml:space="preserve">Las representaciones sociales que los alumnos traen consigo pueden ser un limitante al momento de decidir si continúan su formación en los niveles superiores.</w:t>
      </w:r>
    </w:p>
    <w:p w:rsidR="00000000" w:rsidDel="00000000" w:rsidP="00000000" w:rsidRDefault="00000000" w:rsidRPr="00000000" w14:paraId="00000065">
      <w:pPr>
        <w:numPr>
          <w:ilvl w:val="0"/>
          <w:numId w:val="1"/>
        </w:numPr>
        <w:pBdr>
          <w:top w:space="0" w:sz="0" w:val="nil"/>
          <w:left w:space="0" w:sz="0" w:val="nil"/>
          <w:bottom w:space="0" w:sz="0" w:val="nil"/>
          <w:right w:space="0" w:sz="0" w:val="nil"/>
          <w:between w:space="0" w:sz="0" w:val="nil"/>
        </w:pBdr>
        <w:spacing w:after="120" w:before="240" w:lineRule="auto"/>
        <w:ind w:left="360" w:hanging="360"/>
        <w:rPr/>
      </w:pPr>
      <w:r w:rsidDel="00000000" w:rsidR="00000000" w:rsidRPr="00000000">
        <w:rPr>
          <w:rtl w:val="0"/>
        </w:rPr>
        <w:t xml:space="preserve">La afiliación de los alumnos como miembros del nuevo ámbito universitario resulta determinante para el éxito en su trayectoria académica.</w:t>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120" w:before="240" w:lineRule="auto"/>
        <w:rPr/>
      </w:pPr>
      <w:r w:rsidDel="00000000" w:rsidR="00000000" w:rsidRPr="00000000">
        <w:rPr>
          <w:rtl w:val="0"/>
        </w:rPr>
        <w:t xml:space="preserve">Por tratarse de un evento sociocultural, con la dinámica y el efecto que esto conlleva, ExpoUNTREF tiene el potencial de multiplicar las capacidades de difusión a partir de generar un efecto de reverberación en las redes sociales, tanto previo como posterior, con cierto efecto de persistencia en repositorios tales Instagram (@untref) o </w:t>
      </w:r>
      <w:hyperlink r:id="rId9">
        <w:r w:rsidDel="00000000" w:rsidR="00000000" w:rsidRPr="00000000">
          <w:rPr>
            <w:u w:val="single"/>
            <w:rtl w:val="0"/>
          </w:rPr>
          <w:t xml:space="preserve">www.untref.edu.ar</w:t>
        </w:r>
      </w:hyperlink>
      <w:r w:rsidDel="00000000" w:rsidR="00000000" w:rsidRPr="00000000">
        <w:rPr>
          <w:rtl w:val="0"/>
        </w:rPr>
        <w:t xml:space="preserve">. </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120" w:before="240" w:lineRule="auto"/>
        <w:rPr/>
      </w:pPr>
      <w:r w:rsidDel="00000000" w:rsidR="00000000" w:rsidRPr="00000000">
        <w:rPr>
          <w:rtl w:val="0"/>
        </w:rPr>
        <w:t xml:space="preserve">Esto favorece el proceso de objetivación del que habla Coulon (1995) al acercar el concepto abstracto de la universidad a aspectos cuasitangibles y facilita también ese otro proceso del que habla el autor, el anclaje al traducirlo en dispositivos cercanos al mundo del estudiante, que a su vez son instrumentalizables, como por ejemplo, los links a videos de ExpoUNTRF.</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120" w:before="240" w:lineRule="auto"/>
        <w:rPr>
          <w:b w:val="1"/>
          <w:bCs w:val="1"/>
        </w:rPr>
      </w:pPr>
      <w:r w:rsidDel="00000000" w:rsidR="00000000" w:rsidRPr="00000000">
        <w:rPr>
          <w:b w:val="1"/>
          <w:bCs w:val="1"/>
          <w:rtl w:val="0"/>
        </w:rPr>
        <w:t xml:space="preserve">Tres experiencias de articulación: 3 - Explorando estudios superiores</w:t>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120" w:before="240" w:lineRule="auto"/>
        <w:rPr/>
      </w:pPr>
      <w:r w:rsidDel="00000000" w:rsidR="00000000" w:rsidRPr="00000000">
        <w:rPr>
          <w:rtl w:val="0"/>
        </w:rPr>
        <w:t xml:space="preserve">Explorando estudios superiores es la tercera de las iniciativas de la UNTREF referidas anteriormente. Está fundada en la necesidad de despertar en todo estudiante secundario el deseo de seguir estudios superiores y de ayudarlo a elegir un campo de conocimiento en el que el alumno quiera desarrollar sus potencialidades.</w:t>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120" w:before="240" w:lineRule="auto"/>
        <w:rPr/>
      </w:pPr>
      <w:r w:rsidDel="00000000" w:rsidR="00000000" w:rsidRPr="00000000">
        <w:rPr>
          <w:rtl w:val="0"/>
        </w:rPr>
        <w:t xml:space="preserve">Este programa consiste en la realización de una serie de talleres de estudio en los que los alumnos de los últimos dos años de las escuelas secundarias de la Región VII de la Provincia de Buenos Aires (Tres de Febrero, Hurlingham y San Martín), coordinados por docentes de dichas instituciones, trabajen en equipos en la exploración de la oferta universitaria, realicen presentaciones sobre la información relevada, hagan una lectura comprensiva de textos de sus áreas de interés, produzcan textos que pertenezcan a las áreas disciplinares que los alumnos hayan elegido, debatan sobre las distintas carreras y asistan a charlas de profesionales experimentados de cada una de ellas.</w:t>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120" w:before="240" w:lineRule="auto"/>
        <w:rPr/>
      </w:pPr>
      <w:r w:rsidDel="00000000" w:rsidR="00000000" w:rsidRPr="00000000">
        <w:rPr>
          <w:rtl w:val="0"/>
        </w:rPr>
        <w:t xml:space="preserve">Con el programa Explorando estudios superiores la UNTREF se alinea con los objetivos mencionados, al establecer una coordinación con las instituciones del nivel secundario de la Región VII de la Provincia de Buenos Aires para que impulsen en sus estudiantes el valor de la comunicación, el trabajo en equipo, y para que generen el ámbito para que los alumnos adopten una actitud proactiva frente al conocimiento, actitud que será determinante para el éxito en los estudios superiores.</w:t>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120" w:before="240" w:lineRule="auto"/>
        <w:rPr/>
      </w:pPr>
      <w:r w:rsidDel="00000000" w:rsidR="00000000" w:rsidRPr="00000000">
        <w:rPr>
          <w:rtl w:val="0"/>
        </w:rPr>
        <w:t xml:space="preserve">Este programa se basa en los mismos conceptos teóricos y supuestos de trabajo que los presentados anteriormente. En ese sentido, la propuesta apoya a los alumnos en los siguientes aspectos:</w:t>
      </w:r>
    </w:p>
    <w:p w:rsidR="00000000" w:rsidDel="00000000" w:rsidP="00000000" w:rsidRDefault="00000000" w:rsidRPr="00000000" w14:paraId="0000006D">
      <w:pPr>
        <w:numPr>
          <w:ilvl w:val="0"/>
          <w:numId w:val="1"/>
        </w:numPr>
        <w:pBdr>
          <w:top w:space="0" w:sz="0" w:val="nil"/>
          <w:left w:space="0" w:sz="0" w:val="nil"/>
          <w:bottom w:space="0" w:sz="0" w:val="nil"/>
          <w:right w:space="0" w:sz="0" w:val="nil"/>
          <w:between w:space="0" w:sz="0" w:val="nil"/>
        </w:pBdr>
        <w:spacing w:after="120" w:before="240" w:lineRule="auto"/>
        <w:ind w:left="360" w:hanging="360"/>
        <w:rPr/>
      </w:pPr>
      <w:r w:rsidDel="00000000" w:rsidR="00000000" w:rsidRPr="00000000">
        <w:rPr>
          <w:rtl w:val="0"/>
        </w:rPr>
        <w:t xml:space="preserve">instala en el imaginario de los alumnos la figura del profesional, y al hacerlo, les muestra el final del camino académico sobre el que deberán reflexionar, lo que constituye el paso inicial para lograr una transformación de sus representaciones sociales;</w:t>
      </w:r>
    </w:p>
    <w:p w:rsidR="00000000" w:rsidDel="00000000" w:rsidP="00000000" w:rsidRDefault="00000000" w:rsidRPr="00000000" w14:paraId="0000006E">
      <w:pPr>
        <w:numPr>
          <w:ilvl w:val="0"/>
          <w:numId w:val="1"/>
        </w:numPr>
        <w:pBdr>
          <w:top w:space="0" w:sz="0" w:val="nil"/>
          <w:left w:space="0" w:sz="0" w:val="nil"/>
          <w:bottom w:space="0" w:sz="0" w:val="nil"/>
          <w:right w:space="0" w:sz="0" w:val="nil"/>
          <w:between w:space="0" w:sz="0" w:val="nil"/>
        </w:pBdr>
        <w:spacing w:after="120" w:lineRule="auto"/>
        <w:ind w:left="360" w:hanging="360"/>
        <w:rPr/>
      </w:pPr>
      <w:r w:rsidDel="00000000" w:rsidR="00000000" w:rsidRPr="00000000">
        <w:rPr>
          <w:rtl w:val="0"/>
        </w:rPr>
        <w:t xml:space="preserve">les propone una dinámica de trabajo afín a las propias del ámbito académico, y los pone en contacto con algunas características del </w:t>
      </w:r>
      <w:r w:rsidDel="00000000" w:rsidR="00000000" w:rsidRPr="00000000">
        <w:rPr>
          <w:i w:val="1"/>
          <w:iCs w:val="1"/>
          <w:rtl w:val="0"/>
        </w:rPr>
        <w:t xml:space="preserve">habitus</w:t>
      </w:r>
      <w:r w:rsidDel="00000000" w:rsidR="00000000" w:rsidRPr="00000000">
        <w:rPr>
          <w:rtl w:val="0"/>
        </w:rPr>
        <w:t xml:space="preserve"> universitario;</w:t>
      </w:r>
    </w:p>
    <w:p w:rsidR="00000000" w:rsidDel="00000000" w:rsidP="00000000" w:rsidRDefault="00000000" w:rsidRPr="00000000" w14:paraId="0000006F">
      <w:pPr>
        <w:numPr>
          <w:ilvl w:val="0"/>
          <w:numId w:val="1"/>
        </w:numPr>
        <w:pBdr>
          <w:top w:space="0" w:sz="0" w:val="nil"/>
          <w:left w:space="0" w:sz="0" w:val="nil"/>
          <w:bottom w:space="0" w:sz="0" w:val="nil"/>
          <w:right w:space="0" w:sz="0" w:val="nil"/>
          <w:between w:space="0" w:sz="0" w:val="nil"/>
        </w:pBdr>
        <w:spacing w:after="120" w:lineRule="auto"/>
        <w:ind w:left="360" w:hanging="360"/>
        <w:rPr/>
      </w:pPr>
      <w:r w:rsidDel="00000000" w:rsidR="00000000" w:rsidRPr="00000000">
        <w:rPr>
          <w:rtl w:val="0"/>
        </w:rPr>
        <w:t xml:space="preserve">los hace trabajar en equipo, hecho que favorece el tránsito a través de lo que Coulon (1995) denomina tiempo de alienación.</w:t>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120" w:before="240" w:lineRule="auto"/>
        <w:rPr/>
      </w:pPr>
      <w:r w:rsidDel="00000000" w:rsidR="00000000" w:rsidRPr="00000000">
        <w:rPr>
          <w:rtl w:val="0"/>
        </w:rPr>
        <w:t xml:space="preserve">No obstante, vale resaltar en este caso el aporte diferencial que este programa realiza en cuanto a los conceptos y supuestos de trabajo señalados, ya que ayuda a los alumnos a </w:t>
      </w:r>
    </w:p>
    <w:p w:rsidR="00000000" w:rsidDel="00000000" w:rsidP="00000000" w:rsidRDefault="00000000" w:rsidRPr="00000000" w14:paraId="00000071">
      <w:pPr>
        <w:numPr>
          <w:ilvl w:val="0"/>
          <w:numId w:val="1"/>
        </w:numPr>
        <w:spacing w:after="120" w:before="240" w:lineRule="auto"/>
        <w:ind w:left="360" w:hanging="360"/>
        <w:rPr/>
      </w:pPr>
      <w:r w:rsidDel="00000000" w:rsidR="00000000" w:rsidRPr="00000000">
        <w:rPr>
          <w:rtl w:val="0"/>
        </w:rPr>
        <w:t xml:space="preserve">adoptar una actitud proactiva en la búsqueda del conocimiento, lo que propicia el tiempo de afiliación;</w:t>
      </w:r>
    </w:p>
    <w:p w:rsidR="00000000" w:rsidDel="00000000" w:rsidP="00000000" w:rsidRDefault="00000000" w:rsidRPr="00000000" w14:paraId="00000072">
      <w:pPr>
        <w:numPr>
          <w:ilvl w:val="0"/>
          <w:numId w:val="1"/>
        </w:numPr>
        <w:spacing w:after="120" w:lineRule="auto"/>
        <w:ind w:left="360" w:hanging="360"/>
        <w:rPr/>
      </w:pPr>
      <w:r w:rsidDel="00000000" w:rsidR="00000000" w:rsidRPr="00000000">
        <w:rPr>
          <w:rtl w:val="0"/>
        </w:rPr>
        <w:t xml:space="preserve">identificar y acceder a fuentes de información sobre el área profesional de interés, interpretar, clasificar y categorizar aquello que resulte relevante para presentar al resto de los grupos.</w:t>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120" w:before="240" w:lineRule="auto"/>
        <w:rPr/>
      </w:pPr>
      <w:r w:rsidDel="00000000" w:rsidR="00000000" w:rsidRPr="00000000">
        <w:rPr>
          <w:rtl w:val="0"/>
        </w:rPr>
        <w:t xml:space="preserve">Dado que cada área de conocimiento hace un uso particular del lenguaje, este programa también se propone que los docentes de cada disciplina alienten en los estudiantes la necesidad de trabajar en la comprensión lectora y la escritura específica de su área, ya que solo los especialistas de cada una de las áreas de interés que identifiquen los alumnos, podrán ayudarlos en la comprensión y producción de textos afines. </w:t>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120" w:before="240" w:lineRule="auto"/>
        <w:rPr/>
      </w:pPr>
      <w:r w:rsidDel="00000000" w:rsidR="00000000" w:rsidRPr="00000000">
        <w:rPr>
          <w:rtl w:val="0"/>
        </w:rPr>
        <w:t xml:space="preserve">Los objetivos que se propone esta actividad se relacionan con desarrollar habilidades para leer, escribir, hablar y escuchar de manera adecuada en cualquier situación de la vida. También contempla impulsar en los estudiantes habilidades para adoptar una postura personal y original respecto de una problemática sobre la base del análisis de la información.  Por último, trata de que la interacción social, el trabajo colaborativo y el respeto por las diferentes opiniones sea un principio de la actividad.</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120" w:before="240" w:lineRule="auto"/>
        <w:rPr/>
      </w:pPr>
      <w:r w:rsidDel="00000000" w:rsidR="00000000" w:rsidRPr="00000000">
        <w:rPr>
          <w:rtl w:val="0"/>
        </w:rPr>
        <w:t xml:space="preserve">Suele ocurrir que los docentes plantean que los alumnos que reciben de la escuela secundaria tienen serias dificultades para comprender textos, consignas, escribir de manera coherente y cohesiva. El escribir y el comprender un texto no constituye un saber dado de una vez y para siempre. En la escuela secundaria, los alumnos estudian y comprenden textos adecuados a ese nivel de formación. No obstante, también es cierto que la escuela secundaria no pasa por su mejor momento. De manera que cuando un estudiante logra ingresar a una universidad aparece el problema de que la universidad es un ámbito escriturario, en el que la escritura y la lectura son actividades habituales. En ocasiones, los alumnos que atraviesan las etapas para lograr su afiliación también deben enfrentar las dificultades propias de la afiliación intelectual, tema que se ha mencionado anteriormente. En estos casos, los docentes suelen pensar que las diferentes disciplinas se enseñan independientemente del uso del lenguaje y del vocabulario específico de esa disciplina. Deberíamos recordar que las ciencias se producen en el lenguaje y cada ciencia hace un uso particular del lenguaje. </w:t>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120" w:before="240" w:lineRule="auto"/>
        <w:rPr/>
      </w:pPr>
      <w:r w:rsidDel="00000000" w:rsidR="00000000" w:rsidRPr="00000000">
        <w:rPr>
          <w:rtl w:val="0"/>
        </w:rPr>
        <w:t xml:space="preserve">Paula Carlino (2005, p 22) sostiene:</w:t>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120" w:before="240" w:lineRule="auto"/>
        <w:ind w:left="720" w:right="930" w:firstLine="0"/>
        <w:jc w:val="both"/>
        <w:rPr>
          <w:sz w:val="22"/>
          <w:szCs w:val="22"/>
        </w:rPr>
      </w:pPr>
      <w:r w:rsidDel="00000000" w:rsidR="00000000" w:rsidRPr="00000000">
        <w:rPr>
          <w:sz w:val="22"/>
          <w:szCs w:val="22"/>
          <w:rtl w:val="0"/>
        </w:rPr>
        <w:t xml:space="preserve">Numerosos investigadores constatan, por el contrario, que la lectura y la escritura exigidas en el nivel superior se aprenden en ocasión de enfrentar las prácticas de producción discursiva y consulta de textos propios de cada materia, y según la posibilidad de recibir orientación y apoyo por parte de quien domina la materia y participa de estas prácticas lectoescritoras.</w:t>
      </w:r>
    </w:p>
    <w:p w:rsidR="00000000" w:rsidDel="00000000" w:rsidP="00000000" w:rsidRDefault="00000000" w:rsidRPr="00000000" w14:paraId="00000078">
      <w:pPr>
        <w:spacing w:after="120" w:before="240" w:lineRule="auto"/>
        <w:rPr/>
      </w:pPr>
      <w:r w:rsidDel="00000000" w:rsidR="00000000" w:rsidRPr="00000000">
        <w:rPr>
          <w:rtl w:val="0"/>
        </w:rPr>
        <w:t xml:space="preserve">Carlino señala que el aprendizaje de la escritura en cada área de conocimiento potencia los conocimientos adquiridos. Sobre este principio se organizaron las actividades de Explorando estudios superiores. Tres momentos fundamentales debían desplegarse ante los estudiantes para encaminarnos hacia sus propósitos: abrirse al mundo de los estudios superiores descubriendo las posibilidades de carreras, cursos, tecnicaturas, entre otros. Leer, investigar sobre las posibilidades y los contenidos y, por último, escribir un texto -podría ser un resumen o una síntesis- en el que se vuelquen conceptos de la carrera elegida. Es decir, la intención es que los estudiantes mediante el uso del lenguaje puedan manifestar qué elementos encontraron que pudieron ser llamativos para ellos. Explorando estudios superiores influye en la afiliación intelectual y también en la transformación del </w:t>
      </w:r>
      <w:r w:rsidDel="00000000" w:rsidR="00000000" w:rsidRPr="00000000">
        <w:rPr>
          <w:i w:val="1"/>
          <w:iCs w:val="1"/>
          <w:rtl w:val="0"/>
        </w:rPr>
        <w:t xml:space="preserve">habitus</w:t>
      </w:r>
      <w:r w:rsidDel="00000000" w:rsidR="00000000" w:rsidRPr="00000000">
        <w:rPr>
          <w:rtl w:val="0"/>
        </w:rPr>
        <w:t xml:space="preserve">. En este sentido, la escritura les puede devolver una imagen de sí que desconocían. </w:t>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120" w:before="240" w:lineRule="auto"/>
        <w:rPr/>
      </w:pPr>
      <w:r w:rsidDel="00000000" w:rsidR="00000000" w:rsidRPr="00000000">
        <w:rPr>
          <w:b w:val="1"/>
          <w:bCs w:val="1"/>
          <w:rtl w:val="0"/>
        </w:rPr>
        <w:t xml:space="preserve">Conclusiones</w:t>
      </w: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120" w:before="240" w:lineRule="auto"/>
        <w:rPr/>
      </w:pPr>
      <w:r w:rsidDel="00000000" w:rsidR="00000000" w:rsidRPr="00000000">
        <w:rPr>
          <w:rtl w:val="0"/>
        </w:rPr>
        <w:t xml:space="preserve">En esta ponencia partimos del supuesto de que estas actividades, que hemos analizado a la luz de los conceptos teóricos y de la hipótesis de trabajo presentadas, junto con otras no mencionadas en este trabajo, pueden desarrollar en los alumnos el deseo de seguir estudiando. Este deseo plantea varias cuestiones que los ingresantes deben resolver: la elección de una carrera, el ingreso a un mundo desconocido, el aprendizaje de las reglas de este nuevo universo y la capacidad para sostener la carrera son metas complejas para cualquier estudiante. </w:t>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120" w:before="240" w:lineRule="auto"/>
        <w:rPr/>
      </w:pPr>
      <w:r w:rsidDel="00000000" w:rsidR="00000000" w:rsidRPr="00000000">
        <w:rPr>
          <w:rtl w:val="0"/>
        </w:rPr>
        <w:t xml:space="preserve">Como planteamos al comienzo, la creación de universidades descentralizadas ha sido muy importante para facilitar la posibilidad de seguir una carrera universitaria. Sin embargo, la proximidad geográfica de los centros de estudio no ha resuelto el problema. Por lo tanto, el planteo de este trabajo se centra en analizar otros aspectos que influyen en las decisiones de los alumnos respecto de seguir estudiando. La complejidad que mencionamos previamente radica en poder entender que convertirse en un estudiante de una carrera universitaria no es atravesar una puerta o rendir un examen de ingreso. La complejidad de este cambio de rol implica poder aceptar y practicar nuevas reglas, cambiar ciertas costumbres, aceptar un mundo diferente con otros códigos y poder comprender nuevos modelos de pensamiento. </w:t>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120" w:before="240" w:lineRule="auto"/>
        <w:rPr/>
      </w:pPr>
      <w:r w:rsidDel="00000000" w:rsidR="00000000" w:rsidRPr="00000000">
        <w:rPr>
          <w:rtl w:val="0"/>
        </w:rPr>
        <w:t xml:space="preserve">Hemos ejemplificado las teorías trabajadas con elementos concretos de los tres programas presentados y creemos que estas actividades pueden ayudar en la conformación de un estudiante universitario.</w:t>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120" w:before="240" w:lineRule="auto"/>
        <w:rPr>
          <w:b w:val="1"/>
          <w:bCs w:val="1"/>
        </w:rPr>
      </w:pPr>
      <w:r w:rsidDel="00000000" w:rsidR="00000000" w:rsidRPr="00000000">
        <w:rPr>
          <w:rtl w:val="0"/>
        </w:rPr>
      </w:r>
    </w:p>
    <w:p w:rsidR="00000000" w:rsidDel="00000000" w:rsidP="00000000" w:rsidRDefault="00000000" w:rsidRPr="00000000" w14:paraId="0000007E">
      <w:pPr>
        <w:spacing w:after="120" w:lineRule="auto"/>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120" w:before="240" w:lineRule="auto"/>
        <w:rPr>
          <w:b w:val="1"/>
          <w:bCs w:val="1"/>
        </w:rPr>
      </w:pPr>
      <w:r w:rsidDel="00000000" w:rsidR="00000000" w:rsidRPr="00000000">
        <w:rPr>
          <w:b w:val="1"/>
          <w:bCs w:val="1"/>
          <w:rtl w:val="0"/>
        </w:rPr>
        <w:t xml:space="preserve">Referencias bibliográficas</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80" w:line="240" w:lineRule="auto"/>
        <w:ind w:left="0" w:right="0" w:firstLine="0"/>
        <w:jc w:val="left"/>
        <w:rPr>
          <w:rFonts w:ascii="Times New Roman" w:cs="Times New Roman" w:eastAsia="Times New Roman" w:hAnsi="Times New Roman"/>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Araya Umaña, S. (2002). </w:t>
      </w:r>
      <w:r w:rsidDel="00000000" w:rsidR="00000000" w:rsidRPr="00000000">
        <w:rPr>
          <w:rFonts w:ascii="Times New Roman" w:cs="Times New Roman" w:eastAsia="Times New Roman" w:hAnsi="Times New Roman"/>
          <w:b w:val="0"/>
          <w:bCs w:val="0"/>
          <w:i w:val="1"/>
          <w:iCs w:val="1"/>
          <w:smallCaps w:val="0"/>
          <w:strike w:val="0"/>
          <w:color w:val="222222"/>
          <w:sz w:val="24"/>
          <w:szCs w:val="24"/>
          <w:u w:val="none"/>
          <w:shd w:fill="auto" w:val="clear"/>
          <w:vertAlign w:val="baseline"/>
          <w:rtl w:val="0"/>
        </w:rPr>
        <w:t xml:space="preserve">Las representaciones sociales: Ejes teóricos para su discusión</w:t>
      </w: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 FLACSO.</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80" w:line="240" w:lineRule="auto"/>
        <w:ind w:left="0" w:right="0" w:firstLine="0"/>
        <w:jc w:val="left"/>
        <w:rPr>
          <w:rFonts w:ascii="Times New Roman" w:cs="Times New Roman" w:eastAsia="Times New Roman" w:hAnsi="Times New Roman"/>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Bourdieu, P. (2007). </w:t>
      </w:r>
      <w:r w:rsidDel="00000000" w:rsidR="00000000" w:rsidRPr="00000000">
        <w:rPr>
          <w:rFonts w:ascii="Times New Roman" w:cs="Times New Roman" w:eastAsia="Times New Roman" w:hAnsi="Times New Roman"/>
          <w:b w:val="0"/>
          <w:bCs w:val="0"/>
          <w:i w:val="1"/>
          <w:iCs w:val="1"/>
          <w:smallCaps w:val="0"/>
          <w:strike w:val="0"/>
          <w:color w:val="222222"/>
          <w:sz w:val="24"/>
          <w:szCs w:val="24"/>
          <w:u w:val="none"/>
          <w:shd w:fill="auto" w:val="clear"/>
          <w:vertAlign w:val="baseline"/>
          <w:rtl w:val="0"/>
        </w:rPr>
        <w:t xml:space="preserve">El sentido práctico</w:t>
      </w: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 Siglo XXI Editores. (Trabajo original publicado en 1980).</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80" w:line="240" w:lineRule="auto"/>
        <w:ind w:left="0" w:right="0" w:firstLine="0"/>
        <w:jc w:val="left"/>
        <w:rPr>
          <w:rFonts w:ascii="Times New Roman" w:cs="Times New Roman" w:eastAsia="Times New Roman" w:hAnsi="Times New Roman"/>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Carlino, P. (2005). </w:t>
      </w:r>
      <w:r w:rsidDel="00000000" w:rsidR="00000000" w:rsidRPr="00000000">
        <w:rPr>
          <w:rFonts w:ascii="Times New Roman" w:cs="Times New Roman" w:eastAsia="Times New Roman" w:hAnsi="Times New Roman"/>
          <w:b w:val="0"/>
          <w:bCs w:val="0"/>
          <w:i w:val="1"/>
          <w:iCs w:val="1"/>
          <w:smallCaps w:val="0"/>
          <w:strike w:val="0"/>
          <w:color w:val="222222"/>
          <w:sz w:val="24"/>
          <w:szCs w:val="24"/>
          <w:u w:val="none"/>
          <w:shd w:fill="auto" w:val="clear"/>
          <w:vertAlign w:val="baseline"/>
          <w:rtl w:val="0"/>
        </w:rPr>
        <w:t xml:space="preserve">Escribir, leer y aprender en la universidad: Una introducción a la alfabetización académica</w:t>
      </w: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 Fondo de Cultura Económica.</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80" w:line="240" w:lineRule="auto"/>
        <w:ind w:left="0" w:right="0" w:firstLine="0"/>
        <w:jc w:val="left"/>
        <w:rPr>
          <w:rFonts w:ascii="Times New Roman" w:cs="Times New Roman" w:eastAsia="Times New Roman" w:hAnsi="Times New Roman"/>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Chiroleu, A. (2018). Democratización e inclusión en la universidad argentina: sus alcances durante los gobiernos Kirchner (2003-2015). </w:t>
      </w:r>
      <w:r w:rsidDel="00000000" w:rsidR="00000000" w:rsidRPr="00000000">
        <w:rPr>
          <w:rFonts w:ascii="Times New Roman" w:cs="Times New Roman" w:eastAsia="Times New Roman" w:hAnsi="Times New Roman"/>
          <w:b w:val="0"/>
          <w:bCs w:val="0"/>
          <w:i w:val="1"/>
          <w:iCs w:val="1"/>
          <w:smallCaps w:val="0"/>
          <w:strike w:val="0"/>
          <w:color w:val="222222"/>
          <w:sz w:val="24"/>
          <w:szCs w:val="24"/>
          <w:u w:val="none"/>
          <w:shd w:fill="auto" w:val="clear"/>
          <w:vertAlign w:val="baseline"/>
          <w:rtl w:val="0"/>
        </w:rPr>
        <w:t xml:space="preserve">Educação em Revista</w:t>
      </w: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222222"/>
          <w:sz w:val="24"/>
          <w:szCs w:val="24"/>
          <w:u w:val="none"/>
          <w:shd w:fill="auto" w:val="clear"/>
          <w:vertAlign w:val="baseline"/>
          <w:rtl w:val="0"/>
        </w:rPr>
        <w:t xml:space="preserve">34</w:t>
      </w: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 e176003.</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80" w:line="240" w:lineRule="auto"/>
        <w:ind w:left="0" w:right="0" w:firstLine="0"/>
        <w:jc w:val="left"/>
        <w:rPr>
          <w:rFonts w:ascii="Times New Roman" w:cs="Times New Roman" w:eastAsia="Times New Roman" w:hAnsi="Times New Roman"/>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Coulon, A. (1995). </w:t>
      </w:r>
      <w:r w:rsidDel="00000000" w:rsidR="00000000" w:rsidRPr="00000000">
        <w:rPr>
          <w:rFonts w:ascii="Times New Roman" w:cs="Times New Roman" w:eastAsia="Times New Roman" w:hAnsi="Times New Roman"/>
          <w:b w:val="0"/>
          <w:bCs w:val="0"/>
          <w:i w:val="1"/>
          <w:iCs w:val="1"/>
          <w:smallCaps w:val="0"/>
          <w:strike w:val="0"/>
          <w:color w:val="222222"/>
          <w:sz w:val="24"/>
          <w:szCs w:val="24"/>
          <w:u w:val="none"/>
          <w:shd w:fill="auto" w:val="clear"/>
          <w:vertAlign w:val="baseline"/>
          <w:rtl w:val="0"/>
        </w:rPr>
        <w:t xml:space="preserve">Etnometodología y educación</w:t>
      </w: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 Paidós.</w:t>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120" w:before="240" w:lineRule="auto"/>
        <w:rPr>
          <w:b w:val="1"/>
          <w:bCs w:val="1"/>
        </w:rPr>
      </w:pP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120" w:before="240" w:lineRule="auto"/>
        <w:rPr/>
      </w:pP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after="120" w:before="240" w:lineRule="auto"/>
        <w:rPr/>
      </w:pP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120" w:before="240" w:lineRule="auto"/>
        <w:rPr/>
      </w:pP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120" w:before="240" w:lineRule="auto"/>
        <w:rPr/>
      </w:pP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120" w:before="240" w:lineRule="auto"/>
        <w:rPr/>
      </w:pPr>
      <w:r w:rsidDel="00000000" w:rsidR="00000000" w:rsidRPr="00000000">
        <w:rPr>
          <w:rtl w:val="0"/>
        </w:rPr>
      </w:r>
    </w:p>
    <w:p w:rsidR="00000000" w:rsidDel="00000000" w:rsidP="00000000" w:rsidRDefault="00000000" w:rsidRPr="00000000" w14:paraId="0000008B">
      <w:pPr>
        <w:spacing w:after="120" w:before="240" w:lineRule="auto"/>
        <w:rPr/>
      </w:pPr>
      <w:r w:rsidDel="00000000" w:rsidR="00000000" w:rsidRPr="00000000">
        <w:rPr>
          <w:rtl w:val="0"/>
        </w:rPr>
      </w:r>
    </w:p>
    <w:p w:rsidR="00000000" w:rsidDel="00000000" w:rsidP="00000000" w:rsidRDefault="00000000" w:rsidRPr="00000000" w14:paraId="0000008C">
      <w:pPr>
        <w:spacing w:after="120" w:before="240" w:lineRule="auto"/>
        <w:rPr/>
      </w:pPr>
      <w:r w:rsidDel="00000000" w:rsidR="00000000" w:rsidRPr="00000000">
        <w:rPr>
          <w:rtl w:val="0"/>
        </w:rPr>
      </w:r>
    </w:p>
    <w:p w:rsidR="00000000" w:rsidDel="00000000" w:rsidP="00000000" w:rsidRDefault="00000000" w:rsidRPr="00000000" w14:paraId="0000008D">
      <w:pPr>
        <w:spacing w:after="120" w:before="240" w:lineRule="auto"/>
        <w:rPr/>
      </w:pPr>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5840" w:w="12240" w:orient="portrait"/>
      <w:pgMar w:bottom="1417" w:top="1417" w:left="1701" w:right="1701"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80808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80808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36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drawing>
        <wp:inline distB="114300" distT="114300" distL="114300" distR="114300">
          <wp:extent cx="2590800" cy="1085850"/>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90800" cy="108585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A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Subtitle">
    <w:name w:val="Subtitle"/>
    <w:basedOn w:val="Normal"/>
    <w:next w:val="Normal"/>
    <w:pPr>
      <w:spacing w:after="160" w:lineRule="auto"/>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untref.edu.ar" TargetMode="External"/><Relationship Id="rId15" Type="http://schemas.openxmlformats.org/officeDocument/2006/relationships/footer" Target="footer1.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a7bSTz/qStmNDfr+FDQEOfo2ow==">CgMxLjA4AHIhMXRrYXlGa09SdGNKY0FLelAtWGgyM3dwX0VWYzVRRWoy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