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DABD42B" w14:textId="17D8C6D4" w:rsidR="001923DC" w:rsidRPr="00BA642E" w:rsidRDefault="00406B64" w:rsidP="001923DC">
      <w:pPr>
        <w:jc w:val="center"/>
        <w:rPr>
          <w:rFonts w:ascii="Times New Roman" w:hAnsi="Times New Roman" w:cs="Times New Roman"/>
          <w:b/>
          <w:bCs/>
        </w:rPr>
      </w:pPr>
      <w:r w:rsidRPr="00406B64">
        <w:rPr>
          <w:rFonts w:ascii="Times New Roman" w:hAnsi="Times New Roman" w:cs="Times New Roman"/>
          <w:b/>
          <w:bCs/>
        </w:rPr>
        <w:t xml:space="preserve">El </w:t>
      </w:r>
      <w:proofErr w:type="spellStart"/>
      <w:r w:rsidRPr="00406B64">
        <w:rPr>
          <w:rFonts w:ascii="Times New Roman" w:hAnsi="Times New Roman" w:cs="Times New Roman"/>
          <w:b/>
          <w:bCs/>
        </w:rPr>
        <w:t>curriculum</w:t>
      </w:r>
      <w:proofErr w:type="spellEnd"/>
      <w:r w:rsidRPr="00406B64">
        <w:rPr>
          <w:rFonts w:ascii="Times New Roman" w:hAnsi="Times New Roman" w:cs="Times New Roman"/>
          <w:b/>
          <w:bCs/>
        </w:rPr>
        <w:t xml:space="preserve"> de la formación docente en ciencias experimentales: interdisciplina, aprendizaje colaborativo, TIC y perspectivas críticas</w:t>
      </w:r>
      <w:r>
        <w:rPr>
          <w:rFonts w:ascii="Times New Roman" w:hAnsi="Times New Roman" w:cs="Times New Roman"/>
          <w:b/>
          <w:bCs/>
        </w:rPr>
        <w:t xml:space="preserve"> </w:t>
      </w:r>
      <w:bookmarkStart w:id="0" w:name="_GoBack"/>
      <w:bookmarkEnd w:id="0"/>
    </w:p>
    <w:p w14:paraId="43C49479" w14:textId="77777777" w:rsidR="005F3B2E" w:rsidRPr="00BA642E" w:rsidRDefault="005F3B2E" w:rsidP="001923DC">
      <w:pPr>
        <w:jc w:val="center"/>
        <w:rPr>
          <w:rFonts w:ascii="Times New Roman" w:hAnsi="Times New Roman" w:cs="Times New Roman"/>
        </w:rPr>
      </w:pPr>
    </w:p>
    <w:p w14:paraId="4E738780" w14:textId="6EE87C4D"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 xml:space="preserve">Drogo, Claudia Fátima </w:t>
      </w:r>
    </w:p>
    <w:p w14:paraId="6C2AECCA" w14:textId="0C211636"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Universidad Nacional de Rosario</w:t>
      </w:r>
    </w:p>
    <w:p w14:paraId="1FA0F857" w14:textId="305D7889" w:rsidR="005F3B2E" w:rsidRDefault="008177D5" w:rsidP="00406B64">
      <w:pPr>
        <w:spacing w:after="0" w:line="240" w:lineRule="auto"/>
        <w:jc w:val="right"/>
        <w:rPr>
          <w:rFonts w:ascii="Times New Roman" w:hAnsi="Times New Roman" w:cs="Times New Roman"/>
        </w:rPr>
      </w:pPr>
      <w:hyperlink r:id="rId6" w:history="1">
        <w:r w:rsidR="00406B64" w:rsidRPr="00255824">
          <w:rPr>
            <w:rStyle w:val="Hipervnculo"/>
            <w:rFonts w:ascii="Times New Roman" w:hAnsi="Times New Roman" w:cs="Times New Roman"/>
          </w:rPr>
          <w:t>cfdrogo@gmail.com</w:t>
        </w:r>
      </w:hyperlink>
    </w:p>
    <w:p w14:paraId="0CE5F15F" w14:textId="77777777" w:rsidR="00406B64" w:rsidRPr="00BA642E" w:rsidRDefault="00406B64" w:rsidP="00406B64">
      <w:pPr>
        <w:spacing w:after="0" w:line="240" w:lineRule="auto"/>
        <w:jc w:val="right"/>
        <w:rPr>
          <w:rFonts w:ascii="Times New Roman" w:hAnsi="Times New Roman" w:cs="Times New Roman"/>
        </w:rPr>
      </w:pPr>
    </w:p>
    <w:p w14:paraId="1275A9C7" w14:textId="3D66A8C5"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 xml:space="preserve">Leguto, Alcides </w:t>
      </w:r>
    </w:p>
    <w:p w14:paraId="46FEEBE4" w14:textId="13628B6E"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Universidad Nacional de Rosario</w:t>
      </w:r>
    </w:p>
    <w:p w14:paraId="3CAC774D" w14:textId="3EE74727" w:rsidR="005F3B2E" w:rsidRDefault="008177D5" w:rsidP="005F3B2E">
      <w:pPr>
        <w:spacing w:after="0" w:line="240" w:lineRule="auto"/>
        <w:jc w:val="right"/>
        <w:rPr>
          <w:rFonts w:ascii="Times New Roman" w:hAnsi="Times New Roman" w:cs="Times New Roman"/>
        </w:rPr>
      </w:pPr>
      <w:hyperlink r:id="rId7" w:history="1">
        <w:r w:rsidR="00406B64" w:rsidRPr="00255824">
          <w:rPr>
            <w:rStyle w:val="Hipervnculo"/>
            <w:rFonts w:ascii="Times New Roman" w:hAnsi="Times New Roman" w:cs="Times New Roman"/>
          </w:rPr>
          <w:t>alcholeg@gmail.com</w:t>
        </w:r>
      </w:hyperlink>
    </w:p>
    <w:p w14:paraId="640847CC" w14:textId="49A171C4" w:rsidR="005F3B2E" w:rsidRPr="00BA642E" w:rsidRDefault="005F3B2E" w:rsidP="00406B64">
      <w:pPr>
        <w:spacing w:after="0" w:line="240" w:lineRule="auto"/>
        <w:rPr>
          <w:rFonts w:ascii="Times New Roman" w:hAnsi="Times New Roman" w:cs="Times New Roman"/>
        </w:rPr>
      </w:pPr>
    </w:p>
    <w:p w14:paraId="3F6986E9" w14:textId="2ECF56D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406B64">
        <w:rPr>
          <w:rFonts w:ascii="Times New Roman" w:hAnsi="Times New Roman" w:cs="Times New Roman"/>
        </w:rPr>
        <w:t xml:space="preserve">Trapé, Marcela E. </w:t>
      </w:r>
    </w:p>
    <w:p w14:paraId="4E696C7D" w14:textId="5AC84A10" w:rsidR="005F3B2E" w:rsidRPr="00BA642E" w:rsidRDefault="00406B64" w:rsidP="005F3B2E">
      <w:pPr>
        <w:spacing w:after="0" w:line="240" w:lineRule="auto"/>
        <w:jc w:val="right"/>
        <w:rPr>
          <w:rFonts w:ascii="Times New Roman" w:hAnsi="Times New Roman" w:cs="Times New Roman"/>
        </w:rPr>
      </w:pPr>
      <w:r>
        <w:rPr>
          <w:rFonts w:ascii="Times New Roman" w:hAnsi="Times New Roman" w:cs="Times New Roman"/>
        </w:rPr>
        <w:t>Universidad Nacional de Rosario</w:t>
      </w:r>
    </w:p>
    <w:p w14:paraId="3D73DB11" w14:textId="2D080B61" w:rsidR="005F3B2E" w:rsidRDefault="008177D5" w:rsidP="005F3B2E">
      <w:pPr>
        <w:spacing w:after="0" w:line="240" w:lineRule="auto"/>
        <w:jc w:val="right"/>
        <w:rPr>
          <w:rFonts w:ascii="Times New Roman" w:hAnsi="Times New Roman" w:cs="Times New Roman"/>
        </w:rPr>
      </w:pPr>
      <w:hyperlink r:id="rId8" w:history="1">
        <w:r w:rsidR="00406B64">
          <w:rPr>
            <w:rStyle w:val="Hipervnculo"/>
            <w:rFonts w:ascii="Times New Roman" w:hAnsi="Times New Roman" w:cs="Times New Roman"/>
          </w:rPr>
          <w:t>m</w:t>
        </w:r>
        <w:r w:rsidR="00406B64" w:rsidRPr="00255824">
          <w:rPr>
            <w:rStyle w:val="Hipervnculo"/>
            <w:rFonts w:ascii="Times New Roman" w:hAnsi="Times New Roman" w:cs="Times New Roman"/>
          </w:rPr>
          <w:t>arcela.trape@gmail.com</w:t>
        </w:r>
      </w:hyperlink>
    </w:p>
    <w:p w14:paraId="55A1A1C1" w14:textId="77777777" w:rsidR="00406B64" w:rsidRPr="00BA642E" w:rsidRDefault="00406B64" w:rsidP="005F3B2E">
      <w:pPr>
        <w:spacing w:after="0" w:line="240" w:lineRule="auto"/>
        <w:jc w:val="right"/>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35A6682C" w14:textId="0854FE29" w:rsidR="00BA642E" w:rsidRPr="007B5B5F" w:rsidRDefault="00BA642E" w:rsidP="007B5B5F">
      <w:pPr>
        <w:spacing w:line="240" w:lineRule="auto"/>
        <w:jc w:val="both"/>
        <w:rPr>
          <w:rFonts w:ascii="Times New Roman" w:hAnsi="Times New Roman" w:cs="Times New Roman"/>
          <w:b/>
          <w:bCs/>
        </w:rPr>
      </w:pPr>
      <w:r w:rsidRPr="00990602">
        <w:rPr>
          <w:rFonts w:ascii="Times New Roman" w:hAnsi="Times New Roman" w:cs="Times New Roman"/>
          <w:b/>
          <w:bCs/>
          <w:lang w:val="es-AR"/>
        </w:rPr>
        <w:t>Resumen:</w:t>
      </w:r>
      <w:r w:rsidR="007B5B5F" w:rsidRPr="00990602">
        <w:rPr>
          <w:rFonts w:ascii="Times New Roman" w:hAnsi="Times New Roman" w:cs="Times New Roman"/>
          <w:b/>
          <w:bCs/>
          <w:lang w:val="es-AR"/>
        </w:rPr>
        <w:t xml:space="preserve"> </w:t>
      </w:r>
      <w:r w:rsidR="00431312" w:rsidRPr="00990602">
        <w:rPr>
          <w:rFonts w:ascii="Times New Roman" w:hAnsi="Times New Roman" w:cs="Times New Roman"/>
          <w:bCs/>
          <w:lang w:val="es-AR"/>
        </w:rPr>
        <w:t>La carrera de posgrado "Especialización en Educación de las Ciencias Experimentales" surge como una respuesta institucional a las dificultades persistentes en la enseñanza de las ciencias, específicamente aquellas vinculadas con la comprensión conceptual, el desarrollo del pensamiento crítico y la práctica experimental de los estudiantes. Estas problemáticas fundamentan la necesidad de fortalecer una formación docente específica que logre articular los saberes disciplinares con didácticas actualizadas, asumiendo además el desafío de integrar tecnologías y nuevas modalidades de enseñanza. Por ello, la especialización convoca tanto a profesionales sin formación docente formal previa como a educadores en ejercicio que buscan profundizar su preparación pedagógica y disciplinar. Diseñada</w:t>
      </w:r>
      <w:r w:rsidR="00431312" w:rsidRPr="00990602">
        <w:rPr>
          <w:rFonts w:ascii="Times New Roman" w:hAnsi="Times New Roman" w:cs="Times New Roman"/>
          <w:b/>
          <w:bCs/>
          <w:lang w:val="es-AR"/>
        </w:rPr>
        <w:t xml:space="preserve"> </w:t>
      </w:r>
      <w:r w:rsidR="00431312" w:rsidRPr="00990602">
        <w:rPr>
          <w:rFonts w:ascii="Times New Roman" w:hAnsi="Times New Roman" w:cs="Times New Roman"/>
          <w:bCs/>
          <w:lang w:val="es-AR"/>
        </w:rPr>
        <w:t xml:space="preserve">íntegramente en formato a distancia, la carrera estructura su plan de estudios a lo largo de tres semestres. Su </w:t>
      </w:r>
      <w:proofErr w:type="spellStart"/>
      <w:r w:rsidR="00431312" w:rsidRPr="00990602">
        <w:rPr>
          <w:rFonts w:ascii="Times New Roman" w:hAnsi="Times New Roman" w:cs="Times New Roman"/>
          <w:bCs/>
          <w:lang w:val="es-AR"/>
        </w:rPr>
        <w:t>currícula</w:t>
      </w:r>
      <w:proofErr w:type="spellEnd"/>
      <w:r w:rsidR="00431312" w:rsidRPr="00990602">
        <w:rPr>
          <w:rFonts w:ascii="Times New Roman" w:hAnsi="Times New Roman" w:cs="Times New Roman"/>
          <w:bCs/>
          <w:lang w:val="es-AR"/>
        </w:rPr>
        <w:t xml:space="preserve"> incluye seminarios orientados a abordar múltiples dimensiones de la educación en ciencias, complementados con talleres interdisciplinarios. Los talleres desempeñan un papel central para articular los contenidos teóricos con los contextos de cada disciplina y la práctica áulica cotidiana. Asimismo, el plan de estudio promueve la transversalización de temáticas contemporáneas ineludibles, como la Educación Sexual Integral y la Educación Ambiental Integral, favoreciendo la construcción de una perspectiva crítica. El trayecto formativo culmina con un Trabajo Final Integrador (TFI). Esta producción individual escrita, rigurosa en sus criterios de investigación educativa, se nutre de los seminarios y talleres, pudiendo adoptar diversos formatos: proyecto educativo, estudio de caso, ensayo, informe de campo o sistematización de experiencias. Con el objetivo de evaluar la calidad del </w:t>
      </w:r>
      <w:proofErr w:type="spellStart"/>
      <w:r w:rsidR="00431312" w:rsidRPr="00990602">
        <w:rPr>
          <w:rFonts w:ascii="Times New Roman" w:hAnsi="Times New Roman" w:cs="Times New Roman"/>
          <w:bCs/>
          <w:lang w:val="es-AR"/>
        </w:rPr>
        <w:t>curriculum</w:t>
      </w:r>
      <w:proofErr w:type="spellEnd"/>
      <w:r w:rsidR="00431312" w:rsidRPr="00990602">
        <w:rPr>
          <w:rFonts w:ascii="Times New Roman" w:hAnsi="Times New Roman" w:cs="Times New Roman"/>
          <w:bCs/>
          <w:lang w:val="es-AR"/>
        </w:rPr>
        <w:t xml:space="preserve">, se llevó a cabo un estudio exploratorio, enfocado en analizar las opiniones de los cursantes sobre el valor formativo de la interacción entre pares. La premisa central es que estos espacios propician un diálogo enriquecedor entre distintos saberes disciplinares y trayectorias profesionales heterogéneas, otorgando un valor significativo </w:t>
      </w:r>
      <w:r w:rsidR="00431312" w:rsidRPr="00990602">
        <w:rPr>
          <w:rFonts w:ascii="Times New Roman" w:hAnsi="Times New Roman" w:cs="Times New Roman"/>
          <w:bCs/>
          <w:lang w:val="es-AR"/>
        </w:rPr>
        <w:lastRenderedPageBreak/>
        <w:t>al aprendizaje colaborativo. Para ello, se implementó un cuestionario autoadministrado, voluntario y anónimo, diseñado para indagar el grado de acuerdo de los estudiantes respecto al impacto de dichas interacciones. El instrumento permitió recoger valoraciones sobre las estrategias didácticas, la organización curricular, los dispositivos de evaluación, la vinculación pedagógica y la experiencia general del cursado a distancia. Los resultados evidenciaron una alta apreciación del acompañamiento tutorial, el fomento del aprendizaje autónomo, la accesibilidad de los materiales y la integración interdisciplinaria de los contenidos. Complementariamente, se realizaron entrevistas continuas a docentes y estudiantes para detectar y subsanar posibles dificultades desde la gestión. En conclusión, las valoraciones positivas de docentes y estudiantes sobre esta carrera actúan como un acicate institucional para ampliar la oferta educativa de la unidad académica. Estas experiencias se consolidan como una innovación pedagógica relevante que fortalece las redes interprofesionales y consolida un ecosistema académico orientado a la inclusión, el bienestar y la calidad, reafirmando el rol estratégico de la universidad pública y de los posgrados a distancia para el desarrollo sostenible de la educación superior.</w:t>
      </w:r>
    </w:p>
    <w:p w14:paraId="2994BAB3" w14:textId="56C8058E" w:rsidR="00BA642E" w:rsidRPr="00431312" w:rsidRDefault="00BA642E" w:rsidP="007B5B5F">
      <w:pPr>
        <w:spacing w:line="240" w:lineRule="auto"/>
        <w:jc w:val="both"/>
        <w:rPr>
          <w:rFonts w:ascii="Times New Roman" w:hAnsi="Times New Roman" w:cs="Times New Roman"/>
          <w:bCs/>
        </w:rPr>
      </w:pPr>
      <w:r w:rsidRPr="007B5B5F">
        <w:rPr>
          <w:rFonts w:ascii="Times New Roman" w:hAnsi="Times New Roman" w:cs="Times New Roman"/>
          <w:b/>
          <w:bCs/>
        </w:rPr>
        <w:t xml:space="preserve">Palabras clave: </w:t>
      </w:r>
      <w:proofErr w:type="spellStart"/>
      <w:r w:rsidR="00431312" w:rsidRPr="00431312">
        <w:rPr>
          <w:rFonts w:ascii="Times New Roman" w:hAnsi="Times New Roman" w:cs="Times New Roman"/>
          <w:bCs/>
        </w:rPr>
        <w:t>Curriculum</w:t>
      </w:r>
      <w:proofErr w:type="spellEnd"/>
      <w:r w:rsidR="00431312" w:rsidRPr="00431312">
        <w:rPr>
          <w:rFonts w:ascii="Times New Roman" w:hAnsi="Times New Roman" w:cs="Times New Roman"/>
          <w:bCs/>
        </w:rPr>
        <w:t xml:space="preserve">, </w:t>
      </w:r>
      <w:proofErr w:type="spellStart"/>
      <w:r w:rsidR="00431312" w:rsidRPr="00431312">
        <w:rPr>
          <w:rFonts w:ascii="Times New Roman" w:hAnsi="Times New Roman" w:cs="Times New Roman"/>
          <w:bCs/>
        </w:rPr>
        <w:t>Formacion</w:t>
      </w:r>
      <w:proofErr w:type="spellEnd"/>
      <w:r w:rsidR="00431312" w:rsidRPr="00431312">
        <w:rPr>
          <w:rFonts w:ascii="Times New Roman" w:hAnsi="Times New Roman" w:cs="Times New Roman"/>
          <w:bCs/>
        </w:rPr>
        <w:t xml:space="preserve"> Docente, Perspectivas Criticas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DD46F12" w14:textId="414C60DD" w:rsidR="004B3A9F" w:rsidRPr="004B3A9F" w:rsidRDefault="00990602" w:rsidP="004B3A9F">
      <w:pPr>
        <w:spacing w:line="240" w:lineRule="auto"/>
        <w:jc w:val="both"/>
        <w:rPr>
          <w:rFonts w:ascii="Times New Roman" w:hAnsi="Times New Roman" w:cs="Times New Roman"/>
        </w:rPr>
      </w:pPr>
      <w:r>
        <w:rPr>
          <w:rFonts w:ascii="Times New Roman" w:hAnsi="Times New Roman" w:cs="Times New Roman"/>
        </w:rPr>
        <w:t xml:space="preserve"> </w:t>
      </w:r>
      <w:r w:rsidR="004B3A9F" w:rsidRPr="004B3A9F">
        <w:rPr>
          <w:rFonts w:ascii="Times New Roman" w:hAnsi="Times New Roman" w:cs="Times New Roman"/>
        </w:rPr>
        <w:t>La enseñanza de las ciencias experimentales en los diferentes niveles del sistema educativo contemporáneo atraviesa una crisis estructural de larga data, manifestada con preocupación en las dificultades persistentes que evidencian los estudiantes para alcanzar una comprensión conceptual profunda, desplegar un pensamiento crítico autónomo y consolidar prácticas de laboratorio que excedan la mera repetición instrumental de recetas preestablecidas. Lejos de constituir una problemática técnica de fácil resolución mediante atajos metodológicos o actualizaciones bibliográficas superficiales, este escenario configura desafíos caracterizados por una trama causal profundamente compleja, donde las fronteras del problema son difusas, las soluciones carecen de linealidad y confluyen múltiples actores con visiones, demandas e intereses frecuentemente divergentes e instituidos (Del Castillo Alemán, 2023). Revertir la desatención pedagógica y didáctica en disciplinas como la física, la química o la biología exige, por lo tanto, una intervención de fondo sobre las estructuras de formación de quienes tienen a su cargo la adaptación didáctica de dichos saberes en diferentes contextos educativos.</w:t>
      </w:r>
    </w:p>
    <w:p w14:paraId="69B5EC6A" w14:textId="3C3E247A" w:rsidR="004B3A9F" w:rsidRPr="004B3A9F" w:rsidRDefault="004B3A9F" w:rsidP="004B3A9F">
      <w:pPr>
        <w:spacing w:line="240" w:lineRule="auto"/>
        <w:jc w:val="both"/>
        <w:rPr>
          <w:rFonts w:ascii="Times New Roman" w:hAnsi="Times New Roman" w:cs="Times New Roman"/>
        </w:rPr>
      </w:pPr>
      <w:r w:rsidRPr="004B3A9F">
        <w:rPr>
          <w:rFonts w:ascii="Times New Roman" w:hAnsi="Times New Roman" w:cs="Times New Roman"/>
        </w:rPr>
        <w:t xml:space="preserve"> En este complejo horizonte, la Universidad Pública asume la responsabilidad histórica y educativa de diseñar dispositivos de formación de posgrado que actúen de manera situada sobre las grietas del sistema educativo. La carrera de Especialización en Educación de las Ciencias Experimentales surge precisamente como una respuesta institucional deliberada a estas demandas. Su diseño curricular asume como premisa fundamental que la solvencia técnico-profesional en una “ciencia dura” no se traduce de manera automática en capacidades didácticas innovadoras (</w:t>
      </w:r>
      <w:proofErr w:type="spellStart"/>
      <w:r w:rsidRPr="004B3A9F">
        <w:rPr>
          <w:rFonts w:ascii="Times New Roman" w:hAnsi="Times New Roman" w:cs="Times New Roman"/>
        </w:rPr>
        <w:t>Malbernat</w:t>
      </w:r>
      <w:proofErr w:type="spellEnd"/>
      <w:r w:rsidRPr="004B3A9F">
        <w:rPr>
          <w:rFonts w:ascii="Times New Roman" w:hAnsi="Times New Roman" w:cs="Times New Roman"/>
        </w:rPr>
        <w:t xml:space="preserve">, 2011). Por ello, la carrera convoca a un universo estudiantil marcadamente heterogéneo: por un lado, a profesionales de las ciencias exactas y naturales (ingenieras/os, bioquímicas/os, farmacéuticas/os, biotecnólogas/os) que carecen de un trayecto pedagógico formal </w:t>
      </w:r>
      <w:r w:rsidR="00CA7920" w:rsidRPr="004B3A9F">
        <w:rPr>
          <w:rFonts w:ascii="Times New Roman" w:hAnsi="Times New Roman" w:cs="Times New Roman"/>
        </w:rPr>
        <w:t>previo,</w:t>
      </w:r>
      <w:r w:rsidRPr="004B3A9F">
        <w:rPr>
          <w:rFonts w:ascii="Times New Roman" w:hAnsi="Times New Roman" w:cs="Times New Roman"/>
        </w:rPr>
        <w:t xml:space="preserve"> pero ejercen la docencia en el nivel medio o superior; y, por el otro, a educadores en ejercicio que buscan interpelar, actualizar y profundizar sus matrices de enseñanza y sus marcos disciplinares.</w:t>
      </w:r>
    </w:p>
    <w:p w14:paraId="033B8769" w14:textId="77777777" w:rsidR="004B3A9F" w:rsidRPr="004B3A9F" w:rsidRDefault="004B3A9F" w:rsidP="004B3A9F">
      <w:pPr>
        <w:spacing w:line="240" w:lineRule="auto"/>
        <w:jc w:val="both"/>
        <w:rPr>
          <w:rFonts w:ascii="Times New Roman" w:hAnsi="Times New Roman" w:cs="Times New Roman"/>
        </w:rPr>
      </w:pPr>
      <w:r w:rsidRPr="004B3A9F">
        <w:rPr>
          <w:rFonts w:ascii="Times New Roman" w:hAnsi="Times New Roman" w:cs="Times New Roman"/>
        </w:rPr>
        <w:t xml:space="preserve"> Estructurada íntegramente en un formato a distancia a lo largo de tres semestres, la Especialización no solo se propone como un espacio de actualización técnica, sino como un territorio de disputa epistemológica frente a los modelos tradicionales. Esta modalidad virtual se despliega en un contexto regional latinoamericano atravesado por la tensión constante entre los modelos universitarios hegemónicos de corte neoliberal y los movimientos de democratización del conocimiento (Unzué, 2023). En las últimas décadas, los sistemas de educación superior han sufrido la embestida de discursos globales que pretenden reducir la calidad educativa a métricas corporativas y </w:t>
      </w:r>
      <w:proofErr w:type="spellStart"/>
      <w:r w:rsidRPr="004B3A9F">
        <w:rPr>
          <w:rFonts w:ascii="Times New Roman" w:hAnsi="Times New Roman" w:cs="Times New Roman"/>
        </w:rPr>
        <w:t>eficientistas</w:t>
      </w:r>
      <w:proofErr w:type="spellEnd"/>
      <w:r w:rsidRPr="004B3A9F">
        <w:rPr>
          <w:rFonts w:ascii="Times New Roman" w:hAnsi="Times New Roman" w:cs="Times New Roman"/>
        </w:rPr>
        <w:t>, que premian la selectividad elitista, el patentamiento comercial y la producción burocrática de artículos indexados (Unzué, 2023), fenómeno potenciado por la avanzada de corporaciones tecnológicas transnacionales que buscan instalar lógicas de mercado en las plataformas universitarias (Iriarte et al., 2024). Para las ciencias experimentales en nuestra región, la adopción acrítica de estos parámetros conlleva el riesgo inminente de deslegitimar los trayectos formativos y las investigaciones orientadas genuinamente a resolver problemáticas territoriales o a fortalecer los sistemas educativos locales (Unzué, 2023).</w:t>
      </w:r>
    </w:p>
    <w:p w14:paraId="1DC68603" w14:textId="0FA1BA67" w:rsidR="004B3A9F" w:rsidRPr="004B3A9F" w:rsidRDefault="00CA7920" w:rsidP="004B3A9F">
      <w:pPr>
        <w:spacing w:line="240" w:lineRule="auto"/>
        <w:jc w:val="both"/>
        <w:rPr>
          <w:rFonts w:ascii="Times New Roman" w:hAnsi="Times New Roman" w:cs="Times New Roman"/>
        </w:rPr>
      </w:pPr>
      <w:r>
        <w:rPr>
          <w:rFonts w:ascii="Times New Roman" w:hAnsi="Times New Roman" w:cs="Times New Roman"/>
        </w:rPr>
        <w:t xml:space="preserve"> Frente a este avance regulador</w:t>
      </w:r>
      <w:r w:rsidR="004B3A9F" w:rsidRPr="004B3A9F">
        <w:rPr>
          <w:rFonts w:ascii="Times New Roman" w:hAnsi="Times New Roman" w:cs="Times New Roman"/>
        </w:rPr>
        <w:t xml:space="preserve"> del mercado, las tradiciones reformistas de la región, convalidadas en las Declaraciones de las Conferencias Regionales de Educación Superior (CRES 2008 y 2018), ratifican que la educación superior y el conocimiento científico constituyen bienes públicos sociales, derechos humanos universales y obligaciones indelegables del Estado (</w:t>
      </w:r>
      <w:proofErr w:type="spellStart"/>
      <w:r w:rsidR="004B3A9F" w:rsidRPr="004B3A9F">
        <w:rPr>
          <w:rFonts w:ascii="Times New Roman" w:hAnsi="Times New Roman" w:cs="Times New Roman"/>
        </w:rPr>
        <w:t>Arim</w:t>
      </w:r>
      <w:proofErr w:type="spellEnd"/>
      <w:r w:rsidR="004B3A9F" w:rsidRPr="004B3A9F">
        <w:rPr>
          <w:rFonts w:ascii="Times New Roman" w:hAnsi="Times New Roman" w:cs="Times New Roman"/>
        </w:rPr>
        <w:t xml:space="preserve"> &amp; Cabrera Di </w:t>
      </w:r>
      <w:proofErr w:type="spellStart"/>
      <w:r w:rsidR="004B3A9F" w:rsidRPr="004B3A9F">
        <w:rPr>
          <w:rFonts w:ascii="Times New Roman" w:hAnsi="Times New Roman" w:cs="Times New Roman"/>
        </w:rPr>
        <w:t>Piramo</w:t>
      </w:r>
      <w:proofErr w:type="spellEnd"/>
      <w:r w:rsidR="004B3A9F" w:rsidRPr="004B3A9F">
        <w:rPr>
          <w:rFonts w:ascii="Times New Roman" w:hAnsi="Times New Roman" w:cs="Times New Roman"/>
        </w:rPr>
        <w:t xml:space="preserve">, 2023). En esta línea de resistencia y propuesta soberana, la virtualización de la enseñanza de posgrado en la universidad pública adquiere un significado político profundo. Como advierten </w:t>
      </w:r>
      <w:proofErr w:type="spellStart"/>
      <w:r w:rsidR="004B3A9F" w:rsidRPr="004B3A9F">
        <w:rPr>
          <w:rFonts w:ascii="Times New Roman" w:hAnsi="Times New Roman" w:cs="Times New Roman"/>
        </w:rPr>
        <w:t>Arim</w:t>
      </w:r>
      <w:proofErr w:type="spellEnd"/>
      <w:r w:rsidR="004B3A9F" w:rsidRPr="004B3A9F">
        <w:rPr>
          <w:rFonts w:ascii="Times New Roman" w:hAnsi="Times New Roman" w:cs="Times New Roman"/>
        </w:rPr>
        <w:t xml:space="preserve"> y Cabrera Di </w:t>
      </w:r>
      <w:proofErr w:type="spellStart"/>
      <w:r w:rsidR="004B3A9F" w:rsidRPr="004B3A9F">
        <w:rPr>
          <w:rFonts w:ascii="Times New Roman" w:hAnsi="Times New Roman" w:cs="Times New Roman"/>
        </w:rPr>
        <w:t>Piramo</w:t>
      </w:r>
      <w:proofErr w:type="spellEnd"/>
      <w:r w:rsidR="004B3A9F" w:rsidRPr="004B3A9F">
        <w:rPr>
          <w:rFonts w:ascii="Times New Roman" w:hAnsi="Times New Roman" w:cs="Times New Roman"/>
        </w:rPr>
        <w:t xml:space="preserve"> (2023), la sola expansión cuantitativa de las matrículas puede derivar en nuevos procesos de exclusión o estratificación institucional interna si las universidades no transforman sustancialmente sus arquitecturas pedagógicas. La educación a distancia, gestionada desde una matriz pública y de calidad, no opera como un sustituto de menor valor o un mecanismo de flexibilización laboral (García Aretio, 2021), sino como un dispositivo de equidad y democratización que permite a los docentes de las escuelas técnicas, de los institutos de formación y de Universidades Nacionales radicados en lugares geográficamente dispersos o alejados de las grandes urbes acceder a comunidades de aprendizaje científico de primer nivel sin abandonar sus territorios ni sus prácticas áulicas (</w:t>
      </w:r>
      <w:proofErr w:type="spellStart"/>
      <w:r w:rsidR="004B3A9F" w:rsidRPr="004B3A9F">
        <w:rPr>
          <w:rFonts w:ascii="Times New Roman" w:hAnsi="Times New Roman" w:cs="Times New Roman"/>
        </w:rPr>
        <w:t>Luzbet</w:t>
      </w:r>
      <w:proofErr w:type="spellEnd"/>
      <w:r w:rsidR="004B3A9F" w:rsidRPr="004B3A9F">
        <w:rPr>
          <w:rFonts w:ascii="Times New Roman" w:hAnsi="Times New Roman" w:cs="Times New Roman"/>
        </w:rPr>
        <w:t xml:space="preserve"> Gómez &amp; Leyva, 2020; Unzué, 2023).</w:t>
      </w:r>
    </w:p>
    <w:p w14:paraId="640FE3C7" w14:textId="77777777" w:rsidR="004B3A9F" w:rsidRPr="004B3A9F" w:rsidRDefault="004B3A9F" w:rsidP="004B3A9F">
      <w:pPr>
        <w:spacing w:line="240" w:lineRule="auto"/>
        <w:jc w:val="both"/>
        <w:rPr>
          <w:rFonts w:ascii="Times New Roman" w:hAnsi="Times New Roman" w:cs="Times New Roman"/>
        </w:rPr>
      </w:pPr>
      <w:r w:rsidRPr="004B3A9F">
        <w:rPr>
          <w:rFonts w:ascii="Times New Roman" w:hAnsi="Times New Roman" w:cs="Times New Roman"/>
        </w:rPr>
        <w:t xml:space="preserve"> Para cumplir con este propósito democratizador, el </w:t>
      </w:r>
      <w:proofErr w:type="spellStart"/>
      <w:r w:rsidRPr="004B3A9F">
        <w:rPr>
          <w:rFonts w:ascii="Times New Roman" w:hAnsi="Times New Roman" w:cs="Times New Roman"/>
        </w:rPr>
        <w:t>curriculum</w:t>
      </w:r>
      <w:proofErr w:type="spellEnd"/>
      <w:r w:rsidRPr="004B3A9F">
        <w:rPr>
          <w:rFonts w:ascii="Times New Roman" w:hAnsi="Times New Roman" w:cs="Times New Roman"/>
        </w:rPr>
        <w:t xml:space="preserve"> de la Especialización propone un quiebre con la fragmentación analítica del saber a través de una propuesta que entrelaza seminarios teóricos con talleres interdisciplinares de intervención situada. Mientras los seminarios abordan las múltiples dimensiones de la educación en ciencias (políticas educativas, psicología cognitiva, entornos tecnológicos y epistemología), los talleres se constituyen como el corazón del plan de estudios, funcionando como espacios donde se disuelven las fronteras disciplinares rígidas para abordar problemas complejos de la práctica áulica cotidiana. En este entorno, la heterogeneidad de las trayectorias de los cursantes deja de ser un obstáculo metodológico para transformarse en el principal activo formativo, propiciando un diálogo enriquecedor entre el saber procedimental del científico erudito y la sabiduría práctica del profesional docente.</w:t>
      </w:r>
    </w:p>
    <w:p w14:paraId="50A22D19" w14:textId="33EB24C5" w:rsidR="004B3A9F" w:rsidRPr="004B3A9F" w:rsidRDefault="004B3A9F" w:rsidP="004B3A9F">
      <w:pPr>
        <w:spacing w:line="240" w:lineRule="auto"/>
        <w:jc w:val="both"/>
        <w:rPr>
          <w:rFonts w:ascii="Times New Roman" w:hAnsi="Times New Roman" w:cs="Times New Roman"/>
        </w:rPr>
      </w:pPr>
      <w:r w:rsidRPr="004B3A9F">
        <w:rPr>
          <w:rFonts w:ascii="Times New Roman" w:hAnsi="Times New Roman" w:cs="Times New Roman"/>
        </w:rPr>
        <w:t xml:space="preserve"> Asimismo, la carrera asume el desafío ético y epistemológico de transversalizar temáticas contemporáneas ineludibles como la Educación Sexual Integral (ESI) y la Educación Ambiental Integral (EAI). Tradicionalmente, las carreras del área de las ciencias exactas y naturales han funcionado bajo una pretendida lógica de asepsia y neutralidad ideológica. Introducir de manera transversal la perspectiva de género y los derechos humanos en este posgrado implica subvertir críticamente las bases del positivismo dogmático, utilizando marcos teóricos conceptuales que deconstruyen la supuesta naturalidad ahistórica de los cuerpos y los discursos biológicos (Fausto-</w:t>
      </w:r>
      <w:proofErr w:type="spellStart"/>
      <w:r w:rsidRPr="004B3A9F">
        <w:rPr>
          <w:rFonts w:ascii="Times New Roman" w:hAnsi="Times New Roman" w:cs="Times New Roman"/>
        </w:rPr>
        <w:t>Sterling</w:t>
      </w:r>
      <w:proofErr w:type="spellEnd"/>
      <w:r w:rsidRPr="004B3A9F">
        <w:rPr>
          <w:rFonts w:ascii="Times New Roman" w:hAnsi="Times New Roman" w:cs="Times New Roman"/>
        </w:rPr>
        <w:t xml:space="preserve">, 2000; </w:t>
      </w:r>
      <w:proofErr w:type="spellStart"/>
      <w:r w:rsidR="0055098E" w:rsidRPr="004B3A9F">
        <w:rPr>
          <w:rFonts w:ascii="Times New Roman" w:hAnsi="Times New Roman" w:cs="Times New Roman"/>
        </w:rPr>
        <w:t>Guasch</w:t>
      </w:r>
      <w:proofErr w:type="spellEnd"/>
      <w:r w:rsidR="0055098E" w:rsidRPr="004B3A9F">
        <w:rPr>
          <w:rFonts w:ascii="Times New Roman" w:hAnsi="Times New Roman" w:cs="Times New Roman"/>
        </w:rPr>
        <w:t>, 2000</w:t>
      </w:r>
      <w:r w:rsidR="0055098E">
        <w:rPr>
          <w:rFonts w:ascii="Times New Roman" w:hAnsi="Times New Roman" w:cs="Times New Roman"/>
        </w:rPr>
        <w:t xml:space="preserve">: </w:t>
      </w:r>
      <w:proofErr w:type="spellStart"/>
      <w:r w:rsidR="0055098E" w:rsidRPr="004B3A9F">
        <w:rPr>
          <w:rFonts w:ascii="Times New Roman" w:hAnsi="Times New Roman" w:cs="Times New Roman"/>
        </w:rPr>
        <w:t>Laqueur</w:t>
      </w:r>
      <w:proofErr w:type="spellEnd"/>
      <w:r w:rsidR="0055098E" w:rsidRPr="004B3A9F">
        <w:rPr>
          <w:rFonts w:ascii="Times New Roman" w:hAnsi="Times New Roman" w:cs="Times New Roman"/>
        </w:rPr>
        <w:t>, 1994</w:t>
      </w:r>
      <w:r w:rsidR="0055098E">
        <w:rPr>
          <w:rFonts w:ascii="Times New Roman" w:hAnsi="Times New Roman" w:cs="Times New Roman"/>
        </w:rPr>
        <w:t xml:space="preserve">; </w:t>
      </w:r>
      <w:proofErr w:type="spellStart"/>
      <w:r w:rsidRPr="004B3A9F">
        <w:rPr>
          <w:rFonts w:ascii="Times New Roman" w:hAnsi="Times New Roman" w:cs="Times New Roman"/>
        </w:rPr>
        <w:t>Maffia</w:t>
      </w:r>
      <w:proofErr w:type="spellEnd"/>
      <w:r w:rsidRPr="004B3A9F">
        <w:rPr>
          <w:rFonts w:ascii="Times New Roman" w:hAnsi="Times New Roman" w:cs="Times New Roman"/>
        </w:rPr>
        <w:t xml:space="preserve"> &amp; Cabral, 2003; </w:t>
      </w:r>
      <w:proofErr w:type="spellStart"/>
      <w:r w:rsidR="0055098E">
        <w:rPr>
          <w:rFonts w:ascii="Times New Roman" w:hAnsi="Times New Roman" w:cs="Times New Roman"/>
        </w:rPr>
        <w:t>Wittig</w:t>
      </w:r>
      <w:proofErr w:type="spellEnd"/>
      <w:r w:rsidR="0055098E">
        <w:rPr>
          <w:rFonts w:ascii="Times New Roman" w:hAnsi="Times New Roman" w:cs="Times New Roman"/>
        </w:rPr>
        <w:t>, 2006</w:t>
      </w:r>
      <w:r w:rsidRPr="004B3A9F">
        <w:rPr>
          <w:rFonts w:ascii="Times New Roman" w:hAnsi="Times New Roman" w:cs="Times New Roman"/>
        </w:rPr>
        <w:t>). El trayecto formativo confluye y se consolida en la producción de un Trabajo Final Integrador (TFI), un dispositivo flexible pero metodológicamente riguroso que adopta formatos diversos —como proyectos educativos, estudios de caso, ensayos o sistematizaciones de experiencias— destinados a impactar de forma directa en la mejora de los entornos educativos reales de los estudiantes. En el ámbito de la especialización en Educación en Ciencias Experimentales, la adopción de un currículo flexible resulta especialmente pertinente, ya que posibilita el diseño de trayectorias formativas acordes con los perfiles profesionales y académicos.</w:t>
      </w:r>
      <w:r>
        <w:rPr>
          <w:rFonts w:ascii="Times New Roman" w:hAnsi="Times New Roman" w:cs="Times New Roman"/>
        </w:rPr>
        <w:t xml:space="preserve"> </w:t>
      </w:r>
      <w:r w:rsidRPr="004B3A9F">
        <w:rPr>
          <w:rFonts w:ascii="Times New Roman" w:hAnsi="Times New Roman" w:cs="Times New Roman"/>
        </w:rPr>
        <w:t>El currículo flexible puede definirse como una propuesta que, sin renunciar a los objetivos generales de formación, ajusta los contenidos, las estrategias de enseñanza y los mecanismos de evaluación de acuerdo con las características, necesidades e intereses de los estudiantes (Zavala et al., 2024). Esta concepción favorece trayectorias formativas más pertinentes y promueve una participación activa del estudiante en la construcción de su aprendizaje.</w:t>
      </w:r>
    </w:p>
    <w:p w14:paraId="13C27DE8" w14:textId="04054008" w:rsidR="00BA642E" w:rsidRPr="007B5B5F" w:rsidRDefault="004B3A9F" w:rsidP="004B3A9F">
      <w:pPr>
        <w:spacing w:line="240" w:lineRule="auto"/>
        <w:jc w:val="both"/>
        <w:rPr>
          <w:rFonts w:ascii="Times New Roman" w:hAnsi="Times New Roman" w:cs="Times New Roman"/>
        </w:rPr>
      </w:pPr>
      <w:r w:rsidRPr="004B3A9F">
        <w:rPr>
          <w:rFonts w:ascii="Times New Roman" w:hAnsi="Times New Roman" w:cs="Times New Roman"/>
        </w:rPr>
        <w:t xml:space="preserve"> Con el objetivo de evaluar la calidad del diseño curricular y la consistencia de su propuesta pedagógica virtual, se llevó a cabo un estudio exploratorio enfocado en analizar las percepciones de los cursantes sobre el valor formativo de la interacción entre pares y el impacto del aprendizaje colaborativo. El presente trabajo expone las fundamentaciones teóricas, la metodología y los resultados de dicha investigación, demostrando cómo el sostenimiento de redes interprofesionales y un ecosistema de acompañamiento tutorial proactivo permiten consolidar un modelo de posgrado a distancia orientado a la inclusión, el bienestar y la calidad académica en la universidad pública (Rico, 2023).</w:t>
      </w:r>
      <w:r>
        <w:rPr>
          <w:rFonts w:ascii="Times New Roman" w:hAnsi="Times New Roman" w:cs="Times New Roman"/>
        </w:rPr>
        <w:t xml:space="preserve">  </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37C39450" w14:textId="2A2CC71E" w:rsidR="00130FEC" w:rsidRPr="00130FEC" w:rsidRDefault="00130FEC" w:rsidP="00130FEC">
      <w:pPr>
        <w:spacing w:line="240" w:lineRule="auto"/>
        <w:rPr>
          <w:rFonts w:ascii="Times New Roman" w:hAnsi="Times New Roman" w:cs="Times New Roman"/>
          <w:b/>
        </w:rPr>
      </w:pPr>
      <w:r w:rsidRPr="00130FEC">
        <w:rPr>
          <w:rFonts w:ascii="Times New Roman" w:hAnsi="Times New Roman" w:cs="Times New Roman"/>
          <w:b/>
        </w:rPr>
        <w:t>La Estructura Curricular Abierta frente a la Fragmentación Tecnocrática</w:t>
      </w:r>
    </w:p>
    <w:p w14:paraId="651D8791" w14:textId="429E83E8"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diseño de un trayecto formativo de posgrado orientado a la enseñanza de las ciencias experimentales exige una revisión profunda de las arquitecturas curriculares heredadas. Tradicionalmente, la formación docente y la actualización profesional en disciplinas como la química, la física o la biología han operado bajo esquemas de fragmentación y compartimentación analítica, donde los saberes disciplinares estrictos se enseñan disociados de los marcos didácticos y pedagógicos que les otorgan sentido en el aula. Esta matriz de organización curricular no es inocente; responde a lógicas tecnocráticas que priorizan una formación instrumental y atomizada, facilitando la estandarización exigida por los organismos internacionales de evaluación y los rankings globales (Lam et al., 2024; Unzué, 2023). Frente a este modelo hegemónico, que tiende a mercantilizar el posgrado y a reducir la calidad a parámetros </w:t>
      </w:r>
      <w:proofErr w:type="spellStart"/>
      <w:r w:rsidRPr="00130FEC">
        <w:rPr>
          <w:rFonts w:ascii="Times New Roman" w:hAnsi="Times New Roman" w:cs="Times New Roman"/>
        </w:rPr>
        <w:t>eficientistas</w:t>
      </w:r>
      <w:proofErr w:type="spellEnd"/>
      <w:r w:rsidRPr="00130FEC">
        <w:rPr>
          <w:rFonts w:ascii="Times New Roman" w:hAnsi="Times New Roman" w:cs="Times New Roman"/>
        </w:rPr>
        <w:t xml:space="preserve"> de rendimiento cuantitativo, la Especialización en Educación de las Ciencias Experimentales instituye una propuesta alternativa fundada en la flexibilidad, la interdisciplina y el diálogo social crítico y colaborativo (</w:t>
      </w:r>
      <w:r w:rsidR="0055098E" w:rsidRPr="00130FEC">
        <w:rPr>
          <w:rFonts w:ascii="Times New Roman" w:hAnsi="Times New Roman" w:cs="Times New Roman"/>
        </w:rPr>
        <w:t>Hernández Manso y Jiménez Sánchez, 2023</w:t>
      </w:r>
      <w:r w:rsidR="0055098E">
        <w:rPr>
          <w:rFonts w:ascii="Times New Roman" w:hAnsi="Times New Roman" w:cs="Times New Roman"/>
        </w:rPr>
        <w:t xml:space="preserve">; </w:t>
      </w:r>
      <w:proofErr w:type="spellStart"/>
      <w:r w:rsidR="0055098E">
        <w:rPr>
          <w:rFonts w:ascii="Times New Roman" w:hAnsi="Times New Roman" w:cs="Times New Roman"/>
        </w:rPr>
        <w:t>Unzué</w:t>
      </w:r>
      <w:proofErr w:type="spellEnd"/>
      <w:r w:rsidR="0055098E">
        <w:rPr>
          <w:rFonts w:ascii="Times New Roman" w:hAnsi="Times New Roman" w:cs="Times New Roman"/>
        </w:rPr>
        <w:t>, 2023</w:t>
      </w:r>
      <w:r w:rsidRPr="00130FEC">
        <w:rPr>
          <w:rFonts w:ascii="Times New Roman" w:hAnsi="Times New Roman" w:cs="Times New Roman"/>
        </w:rPr>
        <w:t>).</w:t>
      </w:r>
    </w:p>
    <w:p w14:paraId="38E6C2F5"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La carrera organiza su plan de estudios a lo largo de tres semestres en una modalidad íntegramente a distancia, configurando un entorno que desafía los circuitos de exclusión y estratificación educativa descritos por </w:t>
      </w:r>
      <w:proofErr w:type="spellStart"/>
      <w:r w:rsidRPr="00130FEC">
        <w:rPr>
          <w:rFonts w:ascii="Times New Roman" w:hAnsi="Times New Roman" w:cs="Times New Roman"/>
        </w:rPr>
        <w:t>Arim</w:t>
      </w:r>
      <w:proofErr w:type="spellEnd"/>
      <w:r w:rsidRPr="00130FEC">
        <w:rPr>
          <w:rFonts w:ascii="Times New Roman" w:hAnsi="Times New Roman" w:cs="Times New Roman"/>
        </w:rPr>
        <w:t xml:space="preserve"> y Cabrera Di </w:t>
      </w:r>
      <w:proofErr w:type="spellStart"/>
      <w:r w:rsidRPr="00130FEC">
        <w:rPr>
          <w:rFonts w:ascii="Times New Roman" w:hAnsi="Times New Roman" w:cs="Times New Roman"/>
        </w:rPr>
        <w:t>Piramo</w:t>
      </w:r>
      <w:proofErr w:type="spellEnd"/>
      <w:r w:rsidRPr="00130FEC">
        <w:rPr>
          <w:rFonts w:ascii="Times New Roman" w:hAnsi="Times New Roman" w:cs="Times New Roman"/>
        </w:rPr>
        <w:t xml:space="preserve"> (2023). La expansión de la matrícula en la educación superior regional corre el riesgo de transformarse en un simulacro democratizador si el acceso al posgrado queda restringido a quienes habitan los grandes centros urbanos o disponen de trayectorias homogéneas y lineales. Al estructurar una propuesta virtual pública y de calidad, se habilita una red de formación federal y descentralizada que convoca a una población estudiantil profundamente heterogénea (Aguirre y Porta, 2022). Esta heterogeneidad, lejos de ser tratada como un déficit metodológico o un obstáculo para la estandarización áulica, constituye el principal activo epistemológico del diseño curricular.</w:t>
      </w:r>
    </w:p>
    <w:p w14:paraId="07D1FF75" w14:textId="201A4B22"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núcleo dinámico de esta arquitectura se asienta en la articulación orgánica entre seminarios de fundamentación teórica y talleres interdisciplinares de intervención situada. Mientras los seminarios proveen las herramientas conceptuales necesarias para interpelar las políticas educativas, las teorías del aprendizaje y los entornos tecnológicos contemporáneos, los talleres funcionan como verdaderas comunidades de práctica y de producción colectiva. Es en el espacio del taller donde la heterogeneidad de trayectorias adquiere potencia heurística: la convivencia interactiva en los entornos virtuales de profesionales de la ciencia sin formación pedagógica formal previa (ingenieras/os, bioquímicas/os, farmacéuticas/os) junto con profesionales de la educación genera una fecundación cruzada de saberes. Quienes se formaron como profesionales de la ciencia aportan el rigor metodológico, la lógica procedimental y la densidad conceptual del laboratorio; las/os profesionales de la educación introducen la sabiduría práctica de la transposición didáctica, la comprensión de la contingencia institucional y la lectura política de los sujetos de aprendizaje (</w:t>
      </w:r>
      <w:proofErr w:type="spellStart"/>
      <w:r w:rsidRPr="00130FEC">
        <w:rPr>
          <w:rFonts w:ascii="Times New Roman" w:hAnsi="Times New Roman" w:cs="Times New Roman"/>
        </w:rPr>
        <w:t>Malbernat</w:t>
      </w:r>
      <w:proofErr w:type="spellEnd"/>
      <w:r w:rsidRPr="00130FEC">
        <w:rPr>
          <w:rFonts w:ascii="Times New Roman" w:hAnsi="Times New Roman" w:cs="Times New Roman"/>
        </w:rPr>
        <w:t>, 2011). Este intercambio sistemático e interactivo rompe la rigidez tubular del currículum tradicional, transformando la flexibilidad pedagógica en un mecanismo efectivo de equidad y pe</w:t>
      </w:r>
      <w:r w:rsidR="0055098E">
        <w:rPr>
          <w:rFonts w:ascii="Times New Roman" w:hAnsi="Times New Roman" w:cs="Times New Roman"/>
        </w:rPr>
        <w:t>rmanencia que reconoce</w:t>
      </w:r>
      <w:r w:rsidRPr="00130FEC">
        <w:rPr>
          <w:rFonts w:ascii="Times New Roman" w:hAnsi="Times New Roman" w:cs="Times New Roman"/>
        </w:rPr>
        <w:t xml:space="preserve"> las transiciones </w:t>
      </w:r>
      <w:proofErr w:type="spellStart"/>
      <w:r w:rsidRPr="00130FEC">
        <w:rPr>
          <w:rFonts w:ascii="Times New Roman" w:hAnsi="Times New Roman" w:cs="Times New Roman"/>
        </w:rPr>
        <w:t>identitarias</w:t>
      </w:r>
      <w:proofErr w:type="spellEnd"/>
      <w:r w:rsidRPr="00130FEC">
        <w:rPr>
          <w:rFonts w:ascii="Times New Roman" w:hAnsi="Times New Roman" w:cs="Times New Roman"/>
        </w:rPr>
        <w:t xml:space="preserve"> de los cursantes en su devenir como educadores científicos (</w:t>
      </w:r>
      <w:proofErr w:type="spellStart"/>
      <w:r w:rsidRPr="00130FEC">
        <w:rPr>
          <w:rFonts w:ascii="Times New Roman" w:hAnsi="Times New Roman" w:cs="Times New Roman"/>
        </w:rPr>
        <w:t>Arim</w:t>
      </w:r>
      <w:proofErr w:type="spellEnd"/>
      <w:r w:rsidRPr="00130FEC">
        <w:rPr>
          <w:rFonts w:ascii="Times New Roman" w:hAnsi="Times New Roman" w:cs="Times New Roman"/>
        </w:rPr>
        <w:t xml:space="preserve"> &amp; Cabrera Di </w:t>
      </w:r>
      <w:proofErr w:type="spellStart"/>
      <w:r w:rsidRPr="00130FEC">
        <w:rPr>
          <w:rFonts w:ascii="Times New Roman" w:hAnsi="Times New Roman" w:cs="Times New Roman"/>
        </w:rPr>
        <w:t>Piramo</w:t>
      </w:r>
      <w:proofErr w:type="spellEnd"/>
      <w:r w:rsidRPr="00130FEC">
        <w:rPr>
          <w:rFonts w:ascii="Times New Roman" w:hAnsi="Times New Roman" w:cs="Times New Roman"/>
        </w:rPr>
        <w:t>, 2023).</w:t>
      </w:r>
    </w:p>
    <w:p w14:paraId="1E41E5CD" w14:textId="77777777" w:rsidR="00130FEC" w:rsidRPr="00130FEC" w:rsidRDefault="00130FEC" w:rsidP="00130FEC">
      <w:pPr>
        <w:spacing w:line="240" w:lineRule="auto"/>
        <w:rPr>
          <w:rFonts w:ascii="Times New Roman" w:hAnsi="Times New Roman" w:cs="Times New Roman"/>
          <w:b/>
        </w:rPr>
      </w:pPr>
      <w:r w:rsidRPr="00130FEC">
        <w:rPr>
          <w:rFonts w:ascii="Times New Roman" w:hAnsi="Times New Roman" w:cs="Times New Roman"/>
          <w:b/>
        </w:rPr>
        <w:t>El Giro Epistemológico en las Ciencias Experimentales: Deconstrucción de la Neutralidad a través de la ESI</w:t>
      </w:r>
    </w:p>
    <w:p w14:paraId="6119A916"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aspecto más disruptivo y ético de la propuesta curricular de la Especialización radica en la transversalización obligatoria de perspectivas críticas que interpelan la supuesta asepsia e inmunidad ideológica de las ciencias experimentales. En las tradiciones universitarias latinoamericanas de corte napoleónico, las facultades de ciencias exactas, naturales y de la salud han construido su prestigio sobre el mito de la neutralidad instrumental, presentando al método experimental como un reflejo objetivo y transparente de una realidad natural ahistórica. Introducir de manera transversal la Educación Sexual Integral (ESI) en la formación de posgrado de estas disciplinas constituye un giro epistemológico radical que subvierte los cimientos del positivismo dogmático, demostrando que los discursos científicos son producciones humanas mediadas por relaciones de poder, sesgos androcéntricos e inscripciones políticas de género (Del Castillo Alemán, 2023).</w:t>
      </w:r>
    </w:p>
    <w:p w14:paraId="30789300"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Para operar este giro conceptual, la </w:t>
      </w:r>
      <w:proofErr w:type="spellStart"/>
      <w:r w:rsidRPr="00130FEC">
        <w:rPr>
          <w:rFonts w:ascii="Times New Roman" w:hAnsi="Times New Roman" w:cs="Times New Roman"/>
        </w:rPr>
        <w:t>currícula</w:t>
      </w:r>
      <w:proofErr w:type="spellEnd"/>
      <w:r w:rsidRPr="00130FEC">
        <w:rPr>
          <w:rFonts w:ascii="Times New Roman" w:hAnsi="Times New Roman" w:cs="Times New Roman"/>
        </w:rPr>
        <w:t xml:space="preserve"> de la carrera incorpora un sólido corpus teórico proveniente de las epistemologías feministas y los estudios críticos de la sexualidad (Fausto-</w:t>
      </w:r>
      <w:proofErr w:type="spellStart"/>
      <w:r w:rsidRPr="00130FEC">
        <w:rPr>
          <w:rFonts w:ascii="Times New Roman" w:hAnsi="Times New Roman" w:cs="Times New Roman"/>
        </w:rPr>
        <w:t>Sterling</w:t>
      </w:r>
      <w:proofErr w:type="spellEnd"/>
      <w:r w:rsidRPr="00130FEC">
        <w:rPr>
          <w:rFonts w:ascii="Times New Roman" w:hAnsi="Times New Roman" w:cs="Times New Roman"/>
        </w:rPr>
        <w:t xml:space="preserve">, 2000; </w:t>
      </w:r>
      <w:proofErr w:type="spellStart"/>
      <w:r w:rsidRPr="00130FEC">
        <w:rPr>
          <w:rFonts w:ascii="Times New Roman" w:hAnsi="Times New Roman" w:cs="Times New Roman"/>
        </w:rPr>
        <w:t>Guasch</w:t>
      </w:r>
      <w:proofErr w:type="spellEnd"/>
      <w:r w:rsidRPr="00130FEC">
        <w:rPr>
          <w:rFonts w:ascii="Times New Roman" w:hAnsi="Times New Roman" w:cs="Times New Roman"/>
        </w:rPr>
        <w:t xml:space="preserve">, 2000; </w:t>
      </w:r>
      <w:proofErr w:type="spellStart"/>
      <w:r w:rsidRPr="00130FEC">
        <w:rPr>
          <w:rFonts w:ascii="Times New Roman" w:hAnsi="Times New Roman" w:cs="Times New Roman"/>
        </w:rPr>
        <w:t>Laqueur</w:t>
      </w:r>
      <w:proofErr w:type="spellEnd"/>
      <w:r w:rsidRPr="00130FEC">
        <w:rPr>
          <w:rFonts w:ascii="Times New Roman" w:hAnsi="Times New Roman" w:cs="Times New Roman"/>
        </w:rPr>
        <w:t xml:space="preserve">, 1994; </w:t>
      </w:r>
      <w:proofErr w:type="spellStart"/>
      <w:r w:rsidRPr="00130FEC">
        <w:rPr>
          <w:rFonts w:ascii="Times New Roman" w:hAnsi="Times New Roman" w:cs="Times New Roman"/>
        </w:rPr>
        <w:t>Maffia</w:t>
      </w:r>
      <w:proofErr w:type="spellEnd"/>
      <w:r w:rsidRPr="00130FEC">
        <w:rPr>
          <w:rFonts w:ascii="Times New Roman" w:hAnsi="Times New Roman" w:cs="Times New Roman"/>
        </w:rPr>
        <w:t xml:space="preserve"> &amp; Cabral, 2003; </w:t>
      </w:r>
      <w:proofErr w:type="spellStart"/>
      <w:r w:rsidRPr="00130FEC">
        <w:rPr>
          <w:rFonts w:ascii="Times New Roman" w:hAnsi="Times New Roman" w:cs="Times New Roman"/>
        </w:rPr>
        <w:t>Wittig</w:t>
      </w:r>
      <w:proofErr w:type="spellEnd"/>
      <w:r w:rsidRPr="00130FEC">
        <w:rPr>
          <w:rFonts w:ascii="Times New Roman" w:hAnsi="Times New Roman" w:cs="Times New Roman"/>
        </w:rPr>
        <w:t>, 2006). Lo verdaderamente disruptivo de la ESI en el currículum de la Especialización radica en su capacidad para desestabilizar la tradicional dicotomía entre "sexo biológico" y "género cultural", cuestionando la presunta objetividad y neutralidad con la que las ciencias experimentales han abordado históricamente la anatomía y los cuerpos.</w:t>
      </w:r>
    </w:p>
    <w:p w14:paraId="1CAC30F5"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Este enfoque crítico demuestra que el binarismo sexual y los paradigmas biomédicos no son datos puros de la naturaleza, sino constructos históricos mediados por lecturas ideológicas previas y necesidades sociopolíticas de regulación. De este modo, la propuesta curricular desnuda el reduccionismo de la matriz clínica tradicional que históricamente ha disciplinado e intervenido las corporalidades —como ocurre en las intersexualidades— para ajustarlas por la fuerza a la heteronormatividad obligatoria, invisibilizando la autonomía, el placer y la diversidad de las existencias. La ciencia es interpelada como un régimen político y cognitivo que instituye fronteras rígidas de normalidad para regular la vida cotidiana y las identidades profesionales.</w:t>
      </w:r>
    </w:p>
    <w:p w14:paraId="14DEE533"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La disrupción curricular consiste, entonces, en obligar a los profesionales de las ciencias experimentales a ejercer una vigilancia epistemológica crítica en sus aulas y laboratorios. Al comprender que los protocolos, discursos de verdad y rangos de referencia científicos no son verdades universales ahistóricas, el educador transforma por completo su práctica. Deja de ser un aplicador técnico neutral para convertirse en un actor clave capaz de desarmar sesgos excluyentes, evitando reproducir la patologización y la segregación de las identidades diversas.</w:t>
      </w:r>
    </w:p>
    <w:p w14:paraId="460B7FDD"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Cuando un profesional de la química, la bioquímica o la farmacia transita este bloque formativo en el posgrado, experimenta una transformación radical en su concepción de la ciencia. Comprende que los rangos de referencia de los análisis clínicos, las clasificaciones hormonales y los modelos biológicos del desarrollo reproductivo enseñados tradicionalmente en las asignaturas universitarias o en las escuelas técnicas secundarias no son absolutos ahistóricos, sino constructos científicos condicionados por decisiones políticas humanas (Lam et al., 2024). El egresado de la Especialización se descubre a sí mismo no como un aplicador técnico neutral de protocolos, sino como un actor pedagógico que, si no ejerce una vigilancia epistemológica crítica, puede actuar involuntariamente como un guardián de normatividades excluyentes, perpetuando la patologización de las identidades trans, no binarias e intersex dentro de los laboratorios y las aulas (</w:t>
      </w:r>
      <w:proofErr w:type="spellStart"/>
      <w:r w:rsidRPr="00130FEC">
        <w:rPr>
          <w:rFonts w:ascii="Times New Roman" w:hAnsi="Times New Roman" w:cs="Times New Roman"/>
        </w:rPr>
        <w:t>Maffia</w:t>
      </w:r>
      <w:proofErr w:type="spellEnd"/>
      <w:r w:rsidRPr="00130FEC">
        <w:rPr>
          <w:rFonts w:ascii="Times New Roman" w:hAnsi="Times New Roman" w:cs="Times New Roman"/>
        </w:rPr>
        <w:t xml:space="preserve"> &amp; Cabral, 2003). De esta manera, las dimensiones de género, derechos humanos e interculturalidad se incorporan orgánicamente como vectores ineludibles de la calidad de la educación superior (</w:t>
      </w:r>
      <w:proofErr w:type="spellStart"/>
      <w:r w:rsidRPr="00130FEC">
        <w:rPr>
          <w:rFonts w:ascii="Times New Roman" w:hAnsi="Times New Roman" w:cs="Times New Roman"/>
        </w:rPr>
        <w:t>Arim</w:t>
      </w:r>
      <w:proofErr w:type="spellEnd"/>
      <w:r w:rsidRPr="00130FEC">
        <w:rPr>
          <w:rFonts w:ascii="Times New Roman" w:hAnsi="Times New Roman" w:cs="Times New Roman"/>
        </w:rPr>
        <w:t xml:space="preserve"> &amp; Cabrera Di </w:t>
      </w:r>
      <w:proofErr w:type="spellStart"/>
      <w:r w:rsidRPr="00130FEC">
        <w:rPr>
          <w:rFonts w:ascii="Times New Roman" w:hAnsi="Times New Roman" w:cs="Times New Roman"/>
        </w:rPr>
        <w:t>Piramo</w:t>
      </w:r>
      <w:proofErr w:type="spellEnd"/>
      <w:r w:rsidRPr="00130FEC">
        <w:rPr>
          <w:rFonts w:ascii="Times New Roman" w:hAnsi="Times New Roman" w:cs="Times New Roman"/>
        </w:rPr>
        <w:t>, 2023).</w:t>
      </w:r>
    </w:p>
    <w:p w14:paraId="42350CD0" w14:textId="77777777" w:rsidR="00130FEC" w:rsidRPr="00130FEC" w:rsidRDefault="00130FEC" w:rsidP="00130FEC">
      <w:pPr>
        <w:spacing w:line="240" w:lineRule="auto"/>
        <w:rPr>
          <w:rFonts w:ascii="Times New Roman" w:hAnsi="Times New Roman" w:cs="Times New Roman"/>
          <w:b/>
        </w:rPr>
      </w:pPr>
      <w:r w:rsidRPr="00130FEC">
        <w:rPr>
          <w:rFonts w:ascii="Times New Roman" w:hAnsi="Times New Roman" w:cs="Times New Roman"/>
          <w:b/>
        </w:rPr>
        <w:t>Saberes en Territorio: La Educación Ambiental Integral como Praxis Ecológica Crítica</w:t>
      </w:r>
    </w:p>
    <w:p w14:paraId="08396500"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En perfecta correspondencia con el giro epistemológico de la ESI, el </w:t>
      </w:r>
      <w:proofErr w:type="spellStart"/>
      <w:r w:rsidRPr="00130FEC">
        <w:rPr>
          <w:rFonts w:ascii="Times New Roman" w:hAnsi="Times New Roman" w:cs="Times New Roman"/>
        </w:rPr>
        <w:t>curriculum</w:t>
      </w:r>
      <w:proofErr w:type="spellEnd"/>
      <w:r w:rsidRPr="00130FEC">
        <w:rPr>
          <w:rFonts w:ascii="Times New Roman" w:hAnsi="Times New Roman" w:cs="Times New Roman"/>
        </w:rPr>
        <w:t xml:space="preserve"> de la Especialización transversaliza de forma homóloga la perspectiva de la Educación Ambiental Integral (EAI). Al igual que ocurre con los discursos sobre el cuerpo, la enseñanza tradicional de las ciencias experimentales ha tendido a aislar los fenómenos físico-químicos y biológicos dentro de las paredes asépticas del laboratorio, ignorando deliberadamente los contextos territoriales, económicos y socioambientales donde se producen e impactan dichas reacciones.</w:t>
      </w:r>
    </w:p>
    <w:p w14:paraId="1CE477E2"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La incorporación de la EAI en este trayecto de posgrado exige que el estudio de los sistemas experimentales abandone la abstracción del tubo de ensayo aislado y se formule preguntas críticas en torno al modelo de desarrollo, la sustentabilidad y la justicia ecológica regional. Ya no es éticamente posible enseñar la cinética de una reacción química, el metabolismo de un microorganismo o el modelado de un sistema de crecimiento microbiológico mediante ecuaciones lineales y matrices sin interrogarse, simultáneamente, por las problemáticas socioambientales que sacuden al territorio local: la contaminación hídrica por efluentes industriales, el impacto </w:t>
      </w:r>
      <w:proofErr w:type="spellStart"/>
      <w:r w:rsidRPr="00130FEC">
        <w:rPr>
          <w:rFonts w:ascii="Times New Roman" w:hAnsi="Times New Roman" w:cs="Times New Roman"/>
        </w:rPr>
        <w:t>ecotóxico</w:t>
      </w:r>
      <w:proofErr w:type="spellEnd"/>
      <w:r w:rsidRPr="00130FEC">
        <w:rPr>
          <w:rFonts w:ascii="Times New Roman" w:hAnsi="Times New Roman" w:cs="Times New Roman"/>
        </w:rPr>
        <w:t xml:space="preserve"> de los agroquímicos en los cordones periurbanos, los dilemas del </w:t>
      </w:r>
      <w:proofErr w:type="spellStart"/>
      <w:r w:rsidRPr="00130FEC">
        <w:rPr>
          <w:rFonts w:ascii="Times New Roman" w:hAnsi="Times New Roman" w:cs="Times New Roman"/>
        </w:rPr>
        <w:t>extractivismo</w:t>
      </w:r>
      <w:proofErr w:type="spellEnd"/>
      <w:r w:rsidRPr="00130FEC">
        <w:rPr>
          <w:rFonts w:ascii="Times New Roman" w:hAnsi="Times New Roman" w:cs="Times New Roman"/>
        </w:rPr>
        <w:t xml:space="preserve"> y la urgencia por resguardar la soberanía alimentaria y sanitaria de la población, entre otras problemáticas ambientales de nuestros territorios.</w:t>
      </w:r>
    </w:p>
    <w:p w14:paraId="03D7EC80"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Este enfoque de la EAI sitúa a las ciencias experimentales en íntima conexión con la función social de la universidad pública latinoamericana descrita por Álvaro Rico (2023). En una región donde alrededor del 80% de la investigación científica y el desarrollo tecnológico se concentra en las instituciones de gestión estatal, los posgrados universitarios no pueden orientar sus esfuerzos a la mera satisfacción de demandas corporativas transnacionales o a la acumulación burocrática de patentes comerciales medidas por los rankings globales. La calidad pedagógica y científica de la educación superior se valida en su capacidad de producir saberes socialmente productivos, situados y orientados a la emancipación y bienestar de las comunidades (Rico, 2023). La EAI, entendida bajo esta clave crítica, dota a los futuros docentes de herramientas para propiciar una verdadera alfabetización científica ciudadana en sus respectivas aulas, formando estudiantes capaces de comprender la complejidad ambiental, intervenir con responsabilidad ética en sus territorios y concebir a la ciencia experimental como una herramienta soberana al servicio del desarrollo sostenible de la región.</w:t>
      </w:r>
    </w:p>
    <w:p w14:paraId="0D98A459" w14:textId="77777777" w:rsidR="00130FEC" w:rsidRPr="00130FEC" w:rsidRDefault="00130FEC" w:rsidP="00130FEC">
      <w:pPr>
        <w:spacing w:line="240" w:lineRule="auto"/>
        <w:rPr>
          <w:rFonts w:ascii="Times New Roman" w:hAnsi="Times New Roman" w:cs="Times New Roman"/>
          <w:b/>
        </w:rPr>
      </w:pPr>
      <w:r w:rsidRPr="00130FEC">
        <w:rPr>
          <w:rFonts w:ascii="Times New Roman" w:hAnsi="Times New Roman" w:cs="Times New Roman"/>
          <w:b/>
        </w:rPr>
        <w:t>Metodología del Estudio: Diseño, Instrumentos y Dimensiones de Análisis</w:t>
      </w:r>
    </w:p>
    <w:p w14:paraId="33E5A680"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análisis de la calidad, la pertinencia y el impacto pedagógico de la arquitectura curricular de la Especialización en Educación de las Ciencias Experimentales no puede confinarse a una revisión teórica o documental. Para evaluar de qué manera las innovaciones curriculares impactan en el territorio y transforman las concepciones de los cursantes, la gestión de la carrera diseñó e implementó un estudio exploratorio con enfoque mixto (</w:t>
      </w:r>
      <w:proofErr w:type="spellStart"/>
      <w:r w:rsidRPr="00130FEC">
        <w:rPr>
          <w:rFonts w:ascii="Times New Roman" w:hAnsi="Times New Roman" w:cs="Times New Roman"/>
        </w:rPr>
        <w:t>cuali</w:t>
      </w:r>
      <w:proofErr w:type="spellEnd"/>
      <w:r w:rsidRPr="00130FEC">
        <w:rPr>
          <w:rFonts w:ascii="Times New Roman" w:hAnsi="Times New Roman" w:cs="Times New Roman"/>
        </w:rPr>
        <w:t>-cuantitativo). Este enfoque metodológico integrado permite, por un lado, mensurar tendencias generales de conformidad y estructuración procedimental mediante datos cuantitativos y, por el otro, comprender la densidad de las vivencias formativas, los procesos de transición identitaria y los nudos problemáticos emergentes a través de la interpretación de narrativas cualitativas (Aguirre y Porta, 2022).</w:t>
      </w:r>
    </w:p>
    <w:p w14:paraId="0C3150DF" w14:textId="50322CD8"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universo del estudio estuvo constituido por la totalidad de la cohorte 2025, que fueron 18 estudiantes de la Especialización. La población bajo análisis presenta la heterogeneidad estructural que define la identidad de la carrera: conviven profesionales provenientes de las ciencias exactas y naturales sin formación pedagógica previa junto con docentes en ejercicio, tanto en el nivel secundario como en el nivel superior universitario y no universitario. El instrumento principal de recolección de datos cuantitativos consistió en un cuestionario autoadministrado en formato digital, de participación estrictamente voluntaria y anónima. La distribución del instrumento y el sostenimiento del lazo comunicacional con los participantes se canalizaron a través de las plataformas oficiales del entorno virtual de la unidad académica, respaldadas por la infraestructura conectiva de los correos institucionales y los subdominios de la facultad pública de origen. Esta mediación tecnológica institucional garantizó un entorno seguro, transparente y accesible para los estudiantes dispersos geográficamente. La antedicha arquitectura digital da cuenta de los procesos de modernización y virtualización de la gestión académica que las universidades públicas argentinas profundizaron de manera permanente tras la experiencia de la </w:t>
      </w:r>
      <w:proofErr w:type="spellStart"/>
      <w:r w:rsidRPr="00130FEC">
        <w:rPr>
          <w:rFonts w:ascii="Times New Roman" w:hAnsi="Times New Roman" w:cs="Times New Roman"/>
        </w:rPr>
        <w:t>pospandemia</w:t>
      </w:r>
      <w:proofErr w:type="spellEnd"/>
      <w:r w:rsidRPr="00130FEC">
        <w:rPr>
          <w:rFonts w:ascii="Times New Roman" w:hAnsi="Times New Roman" w:cs="Times New Roman"/>
        </w:rPr>
        <w:t xml:space="preserve"> (Iriarte et al., 2024).</w:t>
      </w:r>
    </w:p>
    <w:p w14:paraId="5AF842B7"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cuestionario fue estructurado minuciosamente para indagar el grado de acuerdo de los cursantes a partir de reactivos con escala Likert de cinco puntos, complementados con secciones de respuesta abierta para la libre expresión de los usuarios. El diseño del instrumento organizó el análisis en torno a cinco dimensiones críticas de la experiencia formativa a distancia:</w:t>
      </w:r>
    </w:p>
    <w:p w14:paraId="0124602B" w14:textId="77777777" w:rsidR="00130FEC" w:rsidRPr="00130FEC" w:rsidRDefault="00130FEC" w:rsidP="00130FEC">
      <w:pPr>
        <w:spacing w:line="240" w:lineRule="auto"/>
        <w:rPr>
          <w:rFonts w:ascii="Times New Roman" w:hAnsi="Times New Roman" w:cs="Times New Roman"/>
        </w:rPr>
      </w:pPr>
      <w:r w:rsidRPr="00130FEC">
        <w:rPr>
          <w:rFonts w:ascii="Times New Roman" w:hAnsi="Times New Roman" w:cs="Times New Roman"/>
        </w:rPr>
        <w:t>●</w:t>
      </w:r>
      <w:r w:rsidRPr="00130FEC">
        <w:rPr>
          <w:rFonts w:ascii="Times New Roman" w:hAnsi="Times New Roman" w:cs="Times New Roman"/>
        </w:rPr>
        <w:tab/>
        <w:t>Estrategias didácticas: Evaluación de las metodologías de enseñanza implementadas por el cuerpo docente, el nivel de interactividad de las propuestas y la inclusión de enfoques situados con perspectiva STEAM (</w:t>
      </w:r>
      <w:proofErr w:type="spellStart"/>
      <w:r w:rsidRPr="00130FEC">
        <w:rPr>
          <w:rFonts w:ascii="Times New Roman" w:hAnsi="Times New Roman" w:cs="Times New Roman"/>
        </w:rPr>
        <w:t>Science</w:t>
      </w:r>
      <w:proofErr w:type="spellEnd"/>
      <w:r w:rsidRPr="00130FEC">
        <w:rPr>
          <w:rFonts w:ascii="Times New Roman" w:hAnsi="Times New Roman" w:cs="Times New Roman"/>
        </w:rPr>
        <w:t xml:space="preserve">, </w:t>
      </w:r>
      <w:proofErr w:type="spellStart"/>
      <w:r w:rsidRPr="00130FEC">
        <w:rPr>
          <w:rFonts w:ascii="Times New Roman" w:hAnsi="Times New Roman" w:cs="Times New Roman"/>
        </w:rPr>
        <w:t>Technology</w:t>
      </w:r>
      <w:proofErr w:type="spellEnd"/>
      <w:r w:rsidRPr="00130FEC">
        <w:rPr>
          <w:rFonts w:ascii="Times New Roman" w:hAnsi="Times New Roman" w:cs="Times New Roman"/>
        </w:rPr>
        <w:t xml:space="preserve">, </w:t>
      </w:r>
      <w:proofErr w:type="spellStart"/>
      <w:r w:rsidRPr="00130FEC">
        <w:rPr>
          <w:rFonts w:ascii="Times New Roman" w:hAnsi="Times New Roman" w:cs="Times New Roman"/>
        </w:rPr>
        <w:t>Engineering</w:t>
      </w:r>
      <w:proofErr w:type="spellEnd"/>
      <w:r w:rsidRPr="00130FEC">
        <w:rPr>
          <w:rFonts w:ascii="Times New Roman" w:hAnsi="Times New Roman" w:cs="Times New Roman"/>
        </w:rPr>
        <w:t xml:space="preserve">, </w:t>
      </w:r>
      <w:proofErr w:type="spellStart"/>
      <w:r w:rsidRPr="00130FEC">
        <w:rPr>
          <w:rFonts w:ascii="Times New Roman" w:hAnsi="Times New Roman" w:cs="Times New Roman"/>
        </w:rPr>
        <w:t>Arts</w:t>
      </w:r>
      <w:proofErr w:type="spellEnd"/>
      <w:r w:rsidRPr="00130FEC">
        <w:rPr>
          <w:rFonts w:ascii="Times New Roman" w:hAnsi="Times New Roman" w:cs="Times New Roman"/>
        </w:rPr>
        <w:t xml:space="preserve">, and </w:t>
      </w:r>
      <w:proofErr w:type="spellStart"/>
      <w:r w:rsidRPr="00130FEC">
        <w:rPr>
          <w:rFonts w:ascii="Times New Roman" w:hAnsi="Times New Roman" w:cs="Times New Roman"/>
        </w:rPr>
        <w:t>Mathematics</w:t>
      </w:r>
      <w:proofErr w:type="spellEnd"/>
      <w:r w:rsidRPr="00130FEC">
        <w:rPr>
          <w:rFonts w:ascii="Times New Roman" w:hAnsi="Times New Roman" w:cs="Times New Roman"/>
        </w:rPr>
        <w:t>).</w:t>
      </w:r>
    </w:p>
    <w:p w14:paraId="6B8A047F"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w:t>
      </w:r>
      <w:r w:rsidRPr="00130FEC">
        <w:rPr>
          <w:rFonts w:ascii="Times New Roman" w:hAnsi="Times New Roman" w:cs="Times New Roman"/>
        </w:rPr>
        <w:tab/>
        <w:t>Organización curricular: Análisis de la secuenciación de los contenidos, la distribución del tiempo pedagógico a lo largo de los tres semestres y la pertinencia de las hojas de ruta provistas en cada módulo.</w:t>
      </w:r>
    </w:p>
    <w:p w14:paraId="28DB62CB"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w:t>
      </w:r>
      <w:r w:rsidRPr="00130FEC">
        <w:rPr>
          <w:rFonts w:ascii="Times New Roman" w:hAnsi="Times New Roman" w:cs="Times New Roman"/>
        </w:rPr>
        <w:tab/>
        <w:t>Dispositivos de evaluación: Ponderación de los cuestionarios de evaluación, las rúbricas formativas, las entregas parciales y el nivel de correspondencia entre las exigencias acreditables y los contenidos desarrollados.</w:t>
      </w:r>
    </w:p>
    <w:p w14:paraId="0369BEEC"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w:t>
      </w:r>
      <w:r w:rsidRPr="00130FEC">
        <w:rPr>
          <w:rFonts w:ascii="Times New Roman" w:hAnsi="Times New Roman" w:cs="Times New Roman"/>
        </w:rPr>
        <w:tab/>
        <w:t>Vinculación pedagógica: Medición de la calidad de las interacciones virtuales, el lazo social horizontal entre pares en los foros —entendidos como herramientas de construcción social del conocimiento que potencian el aprendizaje colaborativo e igualitario— y la disponibilidad del acompañamiento tutorial (</w:t>
      </w:r>
      <w:proofErr w:type="spellStart"/>
      <w:r w:rsidRPr="00130FEC">
        <w:rPr>
          <w:rFonts w:ascii="Times New Roman" w:hAnsi="Times New Roman" w:cs="Times New Roman"/>
        </w:rPr>
        <w:t>Luzbet</w:t>
      </w:r>
      <w:proofErr w:type="spellEnd"/>
      <w:r w:rsidRPr="00130FEC">
        <w:rPr>
          <w:rFonts w:ascii="Times New Roman" w:hAnsi="Times New Roman" w:cs="Times New Roman"/>
        </w:rPr>
        <w:t xml:space="preserve"> Gómez, 2023).</w:t>
      </w:r>
    </w:p>
    <w:p w14:paraId="0ACE078E"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w:t>
      </w:r>
      <w:r w:rsidRPr="00130FEC">
        <w:rPr>
          <w:rFonts w:ascii="Times New Roman" w:hAnsi="Times New Roman" w:cs="Times New Roman"/>
        </w:rPr>
        <w:tab/>
        <w:t>Experiencia general en el entorno virtual: Valoración de la usabilidad de la plataforma, la accesibilidad de los materiales digitalizados y la eficacia de la infraestructura de comunicación institucional.</w:t>
      </w:r>
    </w:p>
    <w:p w14:paraId="1D047F52"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De forma complementaria al cuestionario, se desplegó un dispositivo cualitativo continuo basado en entrevistas semiestructuradas a muestras representativas de estudiantes y docentes de los talleres. Este monitoreo regular permitió a la gestión institucional cruzar los datos estadísticos con las voces de los actores, facilitando la detección temprana de sobrecargas en las tareas académicas o fricciones procedimentales, y habilitando correcciones dinámicas en tiempo real sobre el diseño de las aulas virtuales.</w:t>
      </w:r>
    </w:p>
    <w:p w14:paraId="5095311F"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Los datos cuantitativos procesados revelaron un índice de conformidad general marcadamente positivo, destacando la consistencia interna del diseño curricular. Al analizar la dimensión de las estrategias didácticas, un porcentaje abrumador de los encuestados valoró positivamente la implementación de propuestas con un enfoque situado STEAM. Los cursantes expresaron que el </w:t>
      </w:r>
      <w:proofErr w:type="spellStart"/>
      <w:r w:rsidRPr="00130FEC">
        <w:rPr>
          <w:rFonts w:ascii="Times New Roman" w:hAnsi="Times New Roman" w:cs="Times New Roman"/>
        </w:rPr>
        <w:t>co</w:t>
      </w:r>
      <w:proofErr w:type="spellEnd"/>
      <w:r w:rsidRPr="00130FEC">
        <w:rPr>
          <w:rFonts w:ascii="Times New Roman" w:hAnsi="Times New Roman" w:cs="Times New Roman"/>
        </w:rPr>
        <w:t>-diseño de unidades didácticas interdisciplinares les permitió romper con la tradicional enseñanza memorística y fragmentada de las ciencias experimentales. Los profesores de las escuelas secundarias técnicas señalaron de manera particular que estas estrategias les brindaron herramientas concretas para transformar sus clases de física, química o biología en laboratorios de experimentación reflexiva, donde los estudiantes de nivel medio pueden abordar problemas del entorno socio-productivo local en lugar de repetir protocolos asépticos y abstractos.</w:t>
      </w:r>
    </w:p>
    <w:p w14:paraId="068A6548"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En lo que respecta a la organización curricular, los resultados evidenciaron una alta apreciación de las hojas de ruta y la accesibilidad de los materiales bibliográficos. La digitalización total e </w:t>
      </w:r>
      <w:proofErr w:type="spellStart"/>
      <w:r w:rsidRPr="00130FEC">
        <w:rPr>
          <w:rFonts w:ascii="Times New Roman" w:hAnsi="Times New Roman" w:cs="Times New Roman"/>
        </w:rPr>
        <w:t>hipervinculada</w:t>
      </w:r>
      <w:proofErr w:type="spellEnd"/>
      <w:r w:rsidRPr="00130FEC">
        <w:rPr>
          <w:rFonts w:ascii="Times New Roman" w:hAnsi="Times New Roman" w:cs="Times New Roman"/>
        </w:rPr>
        <w:t xml:space="preserve"> del corpus teórico fue señalada como un factor clave para la democratización del acceso, reduciendo los costos económicos de cursado y permitiendo la autogestión del tiempo autónomo de estudio. No obstante, las entrevistas cualitativas introdujeron matices de discusión en esta dimensión: algunos profesionales que ejercen la docencia en paralelo a sus jornadas en laboratorios bioquímicos o farmacéuticos advirtieron la emergencia de tensiones para conciliar los plazos de lectura con las demandas laborales, lo que reafirma la necesidad de que los posgrados públicos continúen flexibilizando sus cronogramas para garantizar la permanencia y el bienestar estudiantil sin resignar la rigurosidad académica (Estigarribia et al., 2025; </w:t>
      </w:r>
      <w:proofErr w:type="spellStart"/>
      <w:r w:rsidRPr="00130FEC">
        <w:rPr>
          <w:rFonts w:ascii="Times New Roman" w:hAnsi="Times New Roman" w:cs="Times New Roman"/>
        </w:rPr>
        <w:t>Arim</w:t>
      </w:r>
      <w:proofErr w:type="spellEnd"/>
      <w:r w:rsidRPr="00130FEC">
        <w:rPr>
          <w:rFonts w:ascii="Times New Roman" w:hAnsi="Times New Roman" w:cs="Times New Roman"/>
        </w:rPr>
        <w:t xml:space="preserve"> &amp; Cabrera Di </w:t>
      </w:r>
      <w:proofErr w:type="spellStart"/>
      <w:r w:rsidRPr="00130FEC">
        <w:rPr>
          <w:rFonts w:ascii="Times New Roman" w:hAnsi="Times New Roman" w:cs="Times New Roman"/>
        </w:rPr>
        <w:t>Piramo</w:t>
      </w:r>
      <w:proofErr w:type="spellEnd"/>
      <w:r w:rsidRPr="00130FEC">
        <w:rPr>
          <w:rFonts w:ascii="Times New Roman" w:hAnsi="Times New Roman" w:cs="Times New Roman"/>
        </w:rPr>
        <w:t>, 2023).</w:t>
      </w:r>
    </w:p>
    <w:p w14:paraId="065C27AB"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La dimensión referida a los dispositivos de evaluación arrojó luz sobre la eficacia de la evaluación formativa. Los cuestionarios de evaluación integrados en la plataforma virtual y las metodologías de acreditación por avance de proyectos fueron percibidos no como instancias de punición o control burocrático, sino como andamiajes de retroalimentación continua. Los cursantes destacaron que las evaluaciones los interpelaron a aplicar los modelos teóricos críticos (como la deconstrucción del binarismo biológico de la ESI o los dilemas del </w:t>
      </w:r>
      <w:proofErr w:type="spellStart"/>
      <w:r w:rsidRPr="00130FEC">
        <w:rPr>
          <w:rFonts w:ascii="Times New Roman" w:hAnsi="Times New Roman" w:cs="Times New Roman"/>
        </w:rPr>
        <w:t>extractivismo</w:t>
      </w:r>
      <w:proofErr w:type="spellEnd"/>
      <w:r w:rsidRPr="00130FEC">
        <w:rPr>
          <w:rFonts w:ascii="Times New Roman" w:hAnsi="Times New Roman" w:cs="Times New Roman"/>
        </w:rPr>
        <w:t xml:space="preserve"> de la EAI) directamente en la planificación de sus prácticas áulicas o en la planificación futura de sus Trabajos Finales Integradores (TFI). Esta coherencia entre las formas de evaluar y los objetivos transformadores del currículum constituye un indicador fundamental de la calidad educativa, distanciándose de las lógicas mercantiles de evaluación estandarizada que imponen las corrientes </w:t>
      </w:r>
      <w:proofErr w:type="spellStart"/>
      <w:r w:rsidRPr="00130FEC">
        <w:rPr>
          <w:rFonts w:ascii="Times New Roman" w:hAnsi="Times New Roman" w:cs="Times New Roman"/>
        </w:rPr>
        <w:t>eficientistas</w:t>
      </w:r>
      <w:proofErr w:type="spellEnd"/>
      <w:r w:rsidRPr="00130FEC">
        <w:rPr>
          <w:rFonts w:ascii="Times New Roman" w:hAnsi="Times New Roman" w:cs="Times New Roman"/>
        </w:rPr>
        <w:t xml:space="preserve"> globales (</w:t>
      </w:r>
      <w:proofErr w:type="spellStart"/>
      <w:r w:rsidRPr="00130FEC">
        <w:rPr>
          <w:rFonts w:ascii="Times New Roman" w:hAnsi="Times New Roman" w:cs="Times New Roman"/>
        </w:rPr>
        <w:t>Unzué</w:t>
      </w:r>
      <w:proofErr w:type="spellEnd"/>
      <w:r w:rsidRPr="00130FEC">
        <w:rPr>
          <w:rFonts w:ascii="Times New Roman" w:hAnsi="Times New Roman" w:cs="Times New Roman"/>
        </w:rPr>
        <w:t>, 2023).</w:t>
      </w:r>
    </w:p>
    <w:p w14:paraId="186A7A8E" w14:textId="77777777" w:rsidR="00130FEC" w:rsidRPr="00130FEC" w:rsidRDefault="00130FEC" w:rsidP="00130FEC">
      <w:pPr>
        <w:spacing w:line="240" w:lineRule="auto"/>
        <w:rPr>
          <w:rFonts w:ascii="Times New Roman" w:hAnsi="Times New Roman" w:cs="Times New Roman"/>
          <w:b/>
        </w:rPr>
      </w:pPr>
      <w:r w:rsidRPr="00130FEC">
        <w:rPr>
          <w:rFonts w:ascii="Times New Roman" w:hAnsi="Times New Roman" w:cs="Times New Roman"/>
          <w:b/>
        </w:rPr>
        <w:t>Discusión: El Sostén Tutorial y la Potencia Colectiva de los Foros Virtuales</w:t>
      </w:r>
    </w:p>
    <w:p w14:paraId="47EC4C3D"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El hallazgo de mayor relevancia teórica y pedagógica del estudio exploratorio emerge del cruce entre la vinculación pedagógica y la experiencia general en el entorno virtual. Tradicionalmente, la literatura crítica sobre la educación a distancia ha encendido alarmas en torno al fenómeno del aislamiento del estudiante virtual, la pérdida del lazo social (Aguirre y Porta, 2022) y la alta tasa de deserción asociada a entornos digitales impersonales y fríos (García Aretio, 2021). Frente a este diagnóstico, los resultados de esta Especialización demuestran que la distancia física no se traduce necesariamente en distancia pedagógica si existe un diseño político-institucional orientado a la hospitalidad digital.</w:t>
      </w:r>
    </w:p>
    <w:p w14:paraId="4F3591E8"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Los estudiantes ponderaron de forma unánime el rol del acompañamiento tutorial proactivo. Las/os tutores en esta propuesta virtual no operan como un mero administrador de entregas o un corrector automatizado de planillas; por el contrario, se erige como un mediador pedagógico fundamental que sostiene afectiva e intelectualmente el trayecto del cursante (</w:t>
      </w:r>
      <w:proofErr w:type="spellStart"/>
      <w:r w:rsidRPr="00130FEC">
        <w:rPr>
          <w:rFonts w:ascii="Times New Roman" w:hAnsi="Times New Roman" w:cs="Times New Roman"/>
        </w:rPr>
        <w:t>Luzbet</w:t>
      </w:r>
      <w:proofErr w:type="spellEnd"/>
      <w:r w:rsidRPr="00130FEC">
        <w:rPr>
          <w:rFonts w:ascii="Times New Roman" w:hAnsi="Times New Roman" w:cs="Times New Roman"/>
        </w:rPr>
        <w:t xml:space="preserve"> Gómez &amp; Leyva, 2020). Las devoluciones personalizadas, detalladas y cualitativas ante cada participación o cuestionario fueron percibidas por los estudiantes como un factor decisivo para apuntalar su confianza y evitar el abandono. En los testimonios de las entrevistas, los ingresantes que carecían de base pedagógica previa remarcaron que el clima de seguridad institucional provisto por la tutoría les permitió procesar el golpe epistemológico provocado por las lecturas críticas, facilitando su transición identitaria hacia el rol de educadores científicos críticos.</w:t>
      </w:r>
    </w:p>
    <w:p w14:paraId="552B51A3" w14:textId="77777777" w:rsidR="00130FEC" w:rsidRPr="00130FEC"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Asimismo, los foros virtuales de discusión y </w:t>
      </w:r>
      <w:proofErr w:type="spellStart"/>
      <w:r w:rsidRPr="00130FEC">
        <w:rPr>
          <w:rFonts w:ascii="Times New Roman" w:hAnsi="Times New Roman" w:cs="Times New Roman"/>
        </w:rPr>
        <w:t>co</w:t>
      </w:r>
      <w:proofErr w:type="spellEnd"/>
      <w:r w:rsidRPr="00130FEC">
        <w:rPr>
          <w:rFonts w:ascii="Times New Roman" w:hAnsi="Times New Roman" w:cs="Times New Roman"/>
        </w:rPr>
        <w:t>-diseño interdisciplinar funcionaron como verdaderas zonas de desarrollo próximo de carácter colectivo. La interacción horizontal obligó a los cursantes a realizar un profundo esfuerzo metacognitivo. Un ingeniero o un bioquímico, acostumbrados a la endogamia metodológica de sus respectivas ciencias de origen, requirieron justificar sus propuestas didácticas frente a pares que ejercen como profesores con años de experiencia en la gestión de la contingencia del aula. Este diálogo social denso propició una fecundación cruzada de saberes: el rigor del dato experimental del científico se articuló con la sabiduría práctica de la transposición didáctica del educador. Esta confluencia materializa la tendencia de unificar las categorías pedagógicas y tecnológicas con igualdad de prioridad, garantizando un entorno enfocado en el desarrollo integral de los sujetos participantes (</w:t>
      </w:r>
      <w:proofErr w:type="spellStart"/>
      <w:r w:rsidRPr="00130FEC">
        <w:rPr>
          <w:rFonts w:ascii="Times New Roman" w:hAnsi="Times New Roman" w:cs="Times New Roman"/>
        </w:rPr>
        <w:t>Luzbet</w:t>
      </w:r>
      <w:proofErr w:type="spellEnd"/>
      <w:r w:rsidRPr="00130FEC">
        <w:rPr>
          <w:rFonts w:ascii="Times New Roman" w:hAnsi="Times New Roman" w:cs="Times New Roman"/>
        </w:rPr>
        <w:t xml:space="preserve"> Gómez, 2023).</w:t>
      </w:r>
    </w:p>
    <w:p w14:paraId="75A38657" w14:textId="393EDBB6" w:rsidR="00CA7920" w:rsidRDefault="00130FEC" w:rsidP="00130FEC">
      <w:pPr>
        <w:spacing w:line="240" w:lineRule="auto"/>
        <w:jc w:val="both"/>
        <w:rPr>
          <w:rFonts w:ascii="Times New Roman" w:hAnsi="Times New Roman" w:cs="Times New Roman"/>
        </w:rPr>
      </w:pPr>
      <w:r w:rsidRPr="00130FEC">
        <w:rPr>
          <w:rFonts w:ascii="Times New Roman" w:hAnsi="Times New Roman" w:cs="Times New Roman"/>
        </w:rPr>
        <w:t xml:space="preserve"> En consecuencia, el aprendizaje colaborativo devino en una genuina innovación conceptual. Las redes interprofesionales consolidadas en el espacio virtual trascienden los límites temporales del cursado, proyectándose como comunidades permanentes de debate y transformación de la enseñanza de las ciencias en la región. La universidad pública, a través de estos dispositivos virtuales democráticos, demuestra que es posible construir un ecosistema académico de excelencia enfocado en la inclusión, el bienestar y la soberanía del conocimiento, disputando con éxito el sentido de la calidad de posgrado a los modelos hegemónicos corporativos (Del Castillo Alemán, 2023; Rico, 2023).</w:t>
      </w:r>
    </w:p>
    <w:p w14:paraId="12CE0BCB" w14:textId="16AC9381"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3F0B1D7F" w14:textId="00CD9B94" w:rsidR="00C57568" w:rsidRPr="00C57568" w:rsidRDefault="00705044" w:rsidP="00C57568">
      <w:pPr>
        <w:spacing w:line="240" w:lineRule="auto"/>
        <w:jc w:val="both"/>
        <w:rPr>
          <w:rFonts w:ascii="Times New Roman" w:hAnsi="Times New Roman" w:cs="Times New Roman"/>
        </w:rPr>
      </w:pPr>
      <w:r>
        <w:rPr>
          <w:rFonts w:ascii="Times New Roman" w:hAnsi="Times New Roman" w:cs="Times New Roman"/>
        </w:rPr>
        <w:t xml:space="preserve"> </w:t>
      </w:r>
      <w:r w:rsidR="00C57568" w:rsidRPr="00C57568">
        <w:rPr>
          <w:rFonts w:ascii="Times New Roman" w:hAnsi="Times New Roman" w:cs="Times New Roman"/>
        </w:rPr>
        <w:t xml:space="preserve">La implementación de la Especialización en Educación de las Ciencias Experimentales demuestra de manera concluyente que las universidades públicas de América Latina poseen la capacidad teórica, técnica y política de liderar procesos de vanguardia pedagógica en la modalidad a distancia, disputando el sentido de la "calidad" educativa frente a los modelos hegemónicos de corte corporativo y </w:t>
      </w:r>
      <w:proofErr w:type="spellStart"/>
      <w:r w:rsidR="00C57568" w:rsidRPr="00C57568">
        <w:rPr>
          <w:rFonts w:ascii="Times New Roman" w:hAnsi="Times New Roman" w:cs="Times New Roman"/>
        </w:rPr>
        <w:t>eficientista</w:t>
      </w:r>
      <w:proofErr w:type="spellEnd"/>
      <w:r w:rsidR="00C57568" w:rsidRPr="00C57568">
        <w:rPr>
          <w:rFonts w:ascii="Times New Roman" w:hAnsi="Times New Roman" w:cs="Times New Roman"/>
        </w:rPr>
        <w:t xml:space="preserve"> (</w:t>
      </w:r>
      <w:proofErr w:type="spellStart"/>
      <w:r w:rsidR="00C57568" w:rsidRPr="00C57568">
        <w:rPr>
          <w:rFonts w:ascii="Times New Roman" w:hAnsi="Times New Roman" w:cs="Times New Roman"/>
        </w:rPr>
        <w:t>Unzué</w:t>
      </w:r>
      <w:proofErr w:type="spellEnd"/>
      <w:r w:rsidR="00C57568" w:rsidRPr="00C57568">
        <w:rPr>
          <w:rFonts w:ascii="Times New Roman" w:hAnsi="Times New Roman" w:cs="Times New Roman"/>
        </w:rPr>
        <w:t>, 2023). Cuando la virtualización de la enseñanza de posgrado es asumida desde una matriz soberana, crítica y democrática, deja de ser una mera técnica de transmisión remedial de información para transformarse en una potente arquitectura de equidad, inclusión y ampliación de derechos territoriales (</w:t>
      </w:r>
      <w:proofErr w:type="spellStart"/>
      <w:r w:rsidR="00C57568" w:rsidRPr="00C57568">
        <w:rPr>
          <w:rFonts w:ascii="Times New Roman" w:hAnsi="Times New Roman" w:cs="Times New Roman"/>
        </w:rPr>
        <w:t>Arim</w:t>
      </w:r>
      <w:proofErr w:type="spellEnd"/>
      <w:r w:rsidR="00C57568" w:rsidRPr="00C57568">
        <w:rPr>
          <w:rFonts w:ascii="Times New Roman" w:hAnsi="Times New Roman" w:cs="Times New Roman"/>
        </w:rPr>
        <w:t xml:space="preserve"> &amp; Cabrera Di </w:t>
      </w:r>
      <w:proofErr w:type="spellStart"/>
      <w:r w:rsidR="00C57568" w:rsidRPr="00C57568">
        <w:rPr>
          <w:rFonts w:ascii="Times New Roman" w:hAnsi="Times New Roman" w:cs="Times New Roman"/>
        </w:rPr>
        <w:t>Piramo</w:t>
      </w:r>
      <w:proofErr w:type="spellEnd"/>
      <w:r w:rsidR="00C57568" w:rsidRPr="00C57568">
        <w:rPr>
          <w:rFonts w:ascii="Times New Roman" w:hAnsi="Times New Roman" w:cs="Times New Roman"/>
        </w:rPr>
        <w:t xml:space="preserve">, 2023; </w:t>
      </w:r>
      <w:proofErr w:type="spellStart"/>
      <w:r w:rsidR="00C57568" w:rsidRPr="00C57568">
        <w:rPr>
          <w:rFonts w:ascii="Times New Roman" w:hAnsi="Times New Roman" w:cs="Times New Roman"/>
        </w:rPr>
        <w:t>Unzué</w:t>
      </w:r>
      <w:proofErr w:type="spellEnd"/>
      <w:r w:rsidR="00C57568" w:rsidRPr="00C57568">
        <w:rPr>
          <w:rFonts w:ascii="Times New Roman" w:hAnsi="Times New Roman" w:cs="Times New Roman"/>
        </w:rPr>
        <w:t>, 2023).</w:t>
      </w:r>
    </w:p>
    <w:p w14:paraId="28776FB3" w14:textId="77777777" w:rsidR="00C57568" w:rsidRPr="00C57568" w:rsidRDefault="00C57568" w:rsidP="00C57568">
      <w:pPr>
        <w:spacing w:line="240" w:lineRule="auto"/>
        <w:jc w:val="both"/>
        <w:rPr>
          <w:rFonts w:ascii="Times New Roman" w:hAnsi="Times New Roman" w:cs="Times New Roman"/>
        </w:rPr>
      </w:pPr>
      <w:r w:rsidRPr="00C57568">
        <w:rPr>
          <w:rFonts w:ascii="Times New Roman" w:hAnsi="Times New Roman" w:cs="Times New Roman"/>
        </w:rPr>
        <w:t xml:space="preserve"> El trayecto formativo analizado quiebra con éxito la fragmentación analítica del saber mediante un diseño curricular flexible que convierte la heterogeneidad de las trayectorias estudiantiles en su principal activo epistemológico. La adopción de un currículo flexible resulta especialmente pertinente, ya que posibilita el diseño de trayectorias formativas acordes con los perfiles profesionales y académicos de los estudiantes. Asimismo, facilita la incorporación de metodologías activas, recursos tecnológicos y experiencias de investigación e innovación educativa, fortaleciendo el desarrollo de competencias disciplinares, didácticas e investigativas necesarias para responder a los desafíos contemporáneos de la enseñanza de las ciencias.</w:t>
      </w:r>
    </w:p>
    <w:p w14:paraId="0904EDD0" w14:textId="77777777" w:rsidR="00C57568" w:rsidRPr="00C57568" w:rsidRDefault="00C57568" w:rsidP="00C57568">
      <w:pPr>
        <w:spacing w:line="240" w:lineRule="auto"/>
        <w:jc w:val="both"/>
        <w:rPr>
          <w:rFonts w:ascii="Times New Roman" w:hAnsi="Times New Roman" w:cs="Times New Roman"/>
        </w:rPr>
      </w:pPr>
      <w:r w:rsidRPr="00C57568">
        <w:rPr>
          <w:rFonts w:ascii="Times New Roman" w:hAnsi="Times New Roman" w:cs="Times New Roman"/>
        </w:rPr>
        <w:t xml:space="preserve"> Los talleres interdisciplinares y los dispositivos de evaluación formativa actúan como zonas de desarrollo próximo de carácter colectivo. Allí, el diálogo interactivo horizontal entre profesionales de la ciencia y docentes de carrera propicia una fecundación cruzada de saberes que enriquece de forma directa la transposición didáctica.</w:t>
      </w:r>
    </w:p>
    <w:p w14:paraId="1D23F87E" w14:textId="77777777" w:rsidR="00C57568" w:rsidRPr="00C57568" w:rsidRDefault="00C57568" w:rsidP="00C57568">
      <w:pPr>
        <w:spacing w:line="240" w:lineRule="auto"/>
        <w:jc w:val="both"/>
        <w:rPr>
          <w:rFonts w:ascii="Times New Roman" w:hAnsi="Times New Roman" w:cs="Times New Roman"/>
        </w:rPr>
      </w:pPr>
      <w:r w:rsidRPr="00C57568">
        <w:rPr>
          <w:rFonts w:ascii="Times New Roman" w:hAnsi="Times New Roman" w:cs="Times New Roman"/>
        </w:rPr>
        <w:t xml:space="preserve"> Asimismo, el posgrado consolida un giro epistemológico irrenunciable al transversalizar la Educación Sexual Integral (ESI) y la Educación Ambiental Integral (EAI). Al incorporar el corpus teórico crítico de estos marcos, la carrera subvierte de raíz el mito positivista de la asepsia y neutralidad instrumental de las ciencias experimentales. Este sacudón conceptual permite que químicos, bioquímicos y farmacéuticos reconozcan la historicidad y la </w:t>
      </w:r>
      <w:proofErr w:type="spellStart"/>
      <w:r w:rsidRPr="00C57568">
        <w:rPr>
          <w:rFonts w:ascii="Times New Roman" w:hAnsi="Times New Roman" w:cs="Times New Roman"/>
        </w:rPr>
        <w:t>politicidad</w:t>
      </w:r>
      <w:proofErr w:type="spellEnd"/>
      <w:r w:rsidRPr="00C57568">
        <w:rPr>
          <w:rFonts w:ascii="Times New Roman" w:hAnsi="Times New Roman" w:cs="Times New Roman"/>
        </w:rPr>
        <w:t xml:space="preserve"> de sus marcos de referencia, evitando que la práctica docente actúe como un dispositivo involuntario de patologización, binarismo o exclusión de las corporalidades e identidades diversas. De igual modo, la EAI reconecta el tubo de ensayo con las problemáticas socioambientales situadas, promoviendo una praxis ecológica comprometida con la justicia social.</w:t>
      </w:r>
    </w:p>
    <w:p w14:paraId="544B704F" w14:textId="0800A888" w:rsidR="00BC236F" w:rsidRPr="00BA642E" w:rsidRDefault="00C57568" w:rsidP="00C57568">
      <w:pPr>
        <w:spacing w:line="240" w:lineRule="auto"/>
        <w:jc w:val="both"/>
        <w:rPr>
          <w:rFonts w:ascii="Times New Roman" w:hAnsi="Times New Roman" w:cs="Times New Roman"/>
        </w:rPr>
      </w:pPr>
      <w:r w:rsidRPr="00C57568">
        <w:rPr>
          <w:rFonts w:ascii="Times New Roman" w:hAnsi="Times New Roman" w:cs="Times New Roman"/>
        </w:rPr>
        <w:t xml:space="preserve"> Finalmente, los hallazgos del estudio exploratorio validan la solidez de este modelo pedagógico virtual. Frente al tradicional aislamiento que suelen reproducir las plataformas digitales de mercado, esta propuesta demuestra que el acompañamiento tutorial proactivo y la hospitalidad digital configuran entornos seguros que resguardan el bienestar estudiantil. Las valoraciones significativamente positivas de los cursantes actúan como un genuino acicate institucional para la unidad académica, impulsando la toma de decisiones orientadas a expandir la oferta de posgrados flexibles. En un escenario regional complejo, la universidad pública ratifica su rol histórico e insustituible como motor del desarrollo social equitativo y de la soberanía del conocimiento científico (Rico, 2023).</w:t>
      </w:r>
    </w:p>
    <w:p w14:paraId="39B57161" w14:textId="2609F8D2"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1FD2EDC2" w14:textId="77777777" w:rsidR="00997C74" w:rsidRP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Aguirre, J. y Porta, L. (2022). La formación de posgrado en contextos virales adversos. Virtualización, internacionalización y desafíos pospandémicos a partir de las narrativas de los docentes universitarios [Ponencia]. Segundo Congreso Internacional de Ciencias Humanas “Actualidad de lo clásico y saberes en disputa de cara a la sociedad digital”, Escuela de Humanidades, Universidad Nacional de San Martín, San Martín, Argentina.</w:t>
      </w:r>
    </w:p>
    <w:p w14:paraId="79F7F354" w14:textId="063956E7" w:rsidR="00997C74" w:rsidRPr="00997C74" w:rsidRDefault="00997C74" w:rsidP="00FD7BE3">
      <w:pPr>
        <w:spacing w:line="240" w:lineRule="auto"/>
        <w:ind w:left="709" w:hanging="709"/>
        <w:jc w:val="both"/>
        <w:rPr>
          <w:rFonts w:ascii="Times New Roman" w:hAnsi="Times New Roman" w:cs="Times New Roman"/>
        </w:rPr>
      </w:pPr>
      <w:proofErr w:type="spellStart"/>
      <w:r w:rsidRPr="00997C74">
        <w:rPr>
          <w:rFonts w:ascii="Times New Roman" w:hAnsi="Times New Roman" w:cs="Times New Roman"/>
        </w:rPr>
        <w:t>Arim</w:t>
      </w:r>
      <w:proofErr w:type="spellEnd"/>
      <w:r w:rsidRPr="00997C74">
        <w:rPr>
          <w:rFonts w:ascii="Times New Roman" w:hAnsi="Times New Roman" w:cs="Times New Roman"/>
        </w:rPr>
        <w:t xml:space="preserve">, R., &amp; Cabrera Di </w:t>
      </w:r>
      <w:proofErr w:type="spellStart"/>
      <w:r w:rsidRPr="00997C74">
        <w:rPr>
          <w:rFonts w:ascii="Times New Roman" w:hAnsi="Times New Roman" w:cs="Times New Roman"/>
        </w:rPr>
        <w:t>Piramo</w:t>
      </w:r>
      <w:proofErr w:type="spellEnd"/>
      <w:r w:rsidRPr="00997C74">
        <w:rPr>
          <w:rFonts w:ascii="Times New Roman" w:hAnsi="Times New Roman" w:cs="Times New Roman"/>
        </w:rPr>
        <w:t xml:space="preserve">, C. (2023). Desigualdad y educación superior en el siglo XXI. Reflexiones desde América Latina y el Caribe. En M. Unzué &amp; D. </w:t>
      </w:r>
      <w:proofErr w:type="spellStart"/>
      <w:r w:rsidRPr="00997C74">
        <w:rPr>
          <w:rFonts w:ascii="Times New Roman" w:hAnsi="Times New Roman" w:cs="Times New Roman"/>
        </w:rPr>
        <w:t>Perrotta</w:t>
      </w:r>
      <w:proofErr w:type="spellEnd"/>
      <w:r w:rsidRPr="00997C74">
        <w:rPr>
          <w:rFonts w:ascii="Times New Roman" w:hAnsi="Times New Roman" w:cs="Times New Roman"/>
        </w:rPr>
        <w:t xml:space="preserve"> (</w:t>
      </w:r>
      <w:proofErr w:type="spellStart"/>
      <w:r w:rsidRPr="00997C74">
        <w:rPr>
          <w:rFonts w:ascii="Times New Roman" w:hAnsi="Times New Roman" w:cs="Times New Roman"/>
        </w:rPr>
        <w:t>Coords</w:t>
      </w:r>
      <w:proofErr w:type="spellEnd"/>
      <w:r w:rsidRPr="00997C74">
        <w:rPr>
          <w:rFonts w:ascii="Times New Roman" w:hAnsi="Times New Roman" w:cs="Times New Roman"/>
        </w:rPr>
        <w:t>.), Nuevos desafíos para la educación superior regional (pp. 41-74). CLACSO.</w:t>
      </w:r>
    </w:p>
    <w:p w14:paraId="383EE523" w14:textId="679B5632" w:rsidR="00997C74" w:rsidRP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Del Castillo Alemán, G. (2023). La transformación de la educación superior desde un enfoque heterodoxo de política pública. Claves para el debate. En M. Unzué &amp; D. </w:t>
      </w:r>
      <w:proofErr w:type="spellStart"/>
      <w:r w:rsidRPr="00997C74">
        <w:rPr>
          <w:rFonts w:ascii="Times New Roman" w:hAnsi="Times New Roman" w:cs="Times New Roman"/>
        </w:rPr>
        <w:t>Perrotta</w:t>
      </w:r>
      <w:proofErr w:type="spellEnd"/>
      <w:r w:rsidRPr="00997C74">
        <w:rPr>
          <w:rFonts w:ascii="Times New Roman" w:hAnsi="Times New Roman" w:cs="Times New Roman"/>
        </w:rPr>
        <w:t xml:space="preserve"> (</w:t>
      </w:r>
      <w:proofErr w:type="spellStart"/>
      <w:r w:rsidRPr="00997C74">
        <w:rPr>
          <w:rFonts w:ascii="Times New Roman" w:hAnsi="Times New Roman" w:cs="Times New Roman"/>
        </w:rPr>
        <w:t>Coords</w:t>
      </w:r>
      <w:proofErr w:type="spellEnd"/>
      <w:r w:rsidRPr="00997C74">
        <w:rPr>
          <w:rFonts w:ascii="Times New Roman" w:hAnsi="Times New Roman" w:cs="Times New Roman"/>
        </w:rPr>
        <w:t>.), Nuevos desafíos para la educación superior regional (pp. 83-87). CLACSO.</w:t>
      </w:r>
    </w:p>
    <w:p w14:paraId="5FE940DC" w14:textId="54213BC2" w:rsidR="00997C74" w:rsidRP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Estigarribia, O. A., Le Gall, L. J., &amp; </w:t>
      </w:r>
      <w:proofErr w:type="spellStart"/>
      <w:r w:rsidRPr="00997C74">
        <w:rPr>
          <w:rFonts w:ascii="Times New Roman" w:hAnsi="Times New Roman" w:cs="Times New Roman"/>
        </w:rPr>
        <w:t>Morenate</w:t>
      </w:r>
      <w:proofErr w:type="spellEnd"/>
      <w:r w:rsidRPr="00997C74">
        <w:rPr>
          <w:rFonts w:ascii="Times New Roman" w:hAnsi="Times New Roman" w:cs="Times New Roman"/>
        </w:rPr>
        <w:t xml:space="preserve">, R. A. (2025). Tecnología, equidad y aprendizaje: un análisis de la inclusión y exclusión educativa en la enseñanza universitaria mediada por TIC. </w:t>
      </w:r>
      <w:r w:rsidRPr="00997C74">
        <w:rPr>
          <w:rFonts w:ascii="Times New Roman" w:hAnsi="Times New Roman" w:cs="Times New Roman"/>
          <w:i/>
        </w:rPr>
        <w:t>Revista de Educación</w:t>
      </w:r>
      <w:r w:rsidRPr="00997C74">
        <w:rPr>
          <w:rFonts w:ascii="Times New Roman" w:hAnsi="Times New Roman" w:cs="Times New Roman"/>
        </w:rPr>
        <w:t>, 16(35.1), 47-74.</w:t>
      </w:r>
    </w:p>
    <w:p w14:paraId="19A44914" w14:textId="77777777" w:rsid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Fausto-</w:t>
      </w:r>
      <w:proofErr w:type="spellStart"/>
      <w:r w:rsidRPr="00997C74">
        <w:rPr>
          <w:rFonts w:ascii="Times New Roman" w:hAnsi="Times New Roman" w:cs="Times New Roman"/>
        </w:rPr>
        <w:t>Sterling</w:t>
      </w:r>
      <w:proofErr w:type="spellEnd"/>
      <w:r w:rsidRPr="00997C74">
        <w:rPr>
          <w:rFonts w:ascii="Times New Roman" w:hAnsi="Times New Roman" w:cs="Times New Roman"/>
        </w:rPr>
        <w:t xml:space="preserve">, A. (2000). </w:t>
      </w:r>
      <w:r w:rsidRPr="00997C74">
        <w:rPr>
          <w:rFonts w:ascii="Times New Roman" w:hAnsi="Times New Roman" w:cs="Times New Roman"/>
          <w:i/>
        </w:rPr>
        <w:t>Cuerpos sexuados: La política de género y la construcción de la sexualidad.</w:t>
      </w:r>
      <w:r>
        <w:rPr>
          <w:rFonts w:ascii="Times New Roman" w:hAnsi="Times New Roman" w:cs="Times New Roman"/>
        </w:rPr>
        <w:t xml:space="preserve"> </w:t>
      </w:r>
      <w:proofErr w:type="spellStart"/>
      <w:r>
        <w:rPr>
          <w:rFonts w:ascii="Times New Roman" w:hAnsi="Times New Roman" w:cs="Times New Roman"/>
        </w:rPr>
        <w:t>Melusina</w:t>
      </w:r>
      <w:proofErr w:type="spellEnd"/>
      <w:r>
        <w:rPr>
          <w:rFonts w:ascii="Times New Roman" w:hAnsi="Times New Roman" w:cs="Times New Roman"/>
        </w:rPr>
        <w:t>.</w:t>
      </w:r>
    </w:p>
    <w:p w14:paraId="0E57280D" w14:textId="31300107" w:rsid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García Aretio, L. (2021). COVID-19 y educación a distancia digital: </w:t>
      </w:r>
      <w:proofErr w:type="spellStart"/>
      <w:r w:rsidRPr="00997C74">
        <w:rPr>
          <w:rFonts w:ascii="Times New Roman" w:hAnsi="Times New Roman" w:cs="Times New Roman"/>
        </w:rPr>
        <w:t>preconfinamiento</w:t>
      </w:r>
      <w:proofErr w:type="spellEnd"/>
      <w:r w:rsidRPr="00997C74">
        <w:rPr>
          <w:rFonts w:ascii="Times New Roman" w:hAnsi="Times New Roman" w:cs="Times New Roman"/>
        </w:rPr>
        <w:t xml:space="preserve">, confinamiento y </w:t>
      </w:r>
      <w:proofErr w:type="spellStart"/>
      <w:r w:rsidRPr="00997C74">
        <w:rPr>
          <w:rFonts w:ascii="Times New Roman" w:hAnsi="Times New Roman" w:cs="Times New Roman"/>
        </w:rPr>
        <w:t>posconfinamiento</w:t>
      </w:r>
      <w:proofErr w:type="spellEnd"/>
      <w:r w:rsidRPr="00997C74">
        <w:rPr>
          <w:rFonts w:ascii="Times New Roman" w:hAnsi="Times New Roman" w:cs="Times New Roman"/>
        </w:rPr>
        <w:t xml:space="preserve">. RIED. </w:t>
      </w:r>
      <w:r w:rsidRPr="00997C74">
        <w:rPr>
          <w:rFonts w:ascii="Times New Roman" w:hAnsi="Times New Roman" w:cs="Times New Roman"/>
          <w:i/>
        </w:rPr>
        <w:t>Revista Iberoamericana de Educación a Distancia,</w:t>
      </w:r>
      <w:r w:rsidRPr="00997C74">
        <w:rPr>
          <w:rFonts w:ascii="Times New Roman" w:hAnsi="Times New Roman" w:cs="Times New Roman"/>
        </w:rPr>
        <w:t xml:space="preserve"> 24(1), 9-32. </w:t>
      </w:r>
      <w:hyperlink r:id="rId9" w:history="1">
        <w:r w:rsidRPr="00255824">
          <w:rPr>
            <w:rStyle w:val="Hipervnculo"/>
            <w:rFonts w:ascii="Times New Roman" w:hAnsi="Times New Roman" w:cs="Times New Roman"/>
          </w:rPr>
          <w:t>https://doi.org/10.5944/ried.24.1.28080</w:t>
        </w:r>
      </w:hyperlink>
    </w:p>
    <w:p w14:paraId="40A843DA" w14:textId="6E129B40" w:rsidR="00997C74" w:rsidRP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Guasch, O. (2000). Sociología de la sexualidad. Centro de Investigaciones Sociológicas.</w:t>
      </w:r>
    </w:p>
    <w:p w14:paraId="123FE6D4" w14:textId="1F9B94FF" w:rsidR="00997C74" w:rsidRP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Hernández Manso, T., &amp; Jiménez Sánchez, L. (2023). Los principios de la superación profesional a distancia del docente universitario desde un enfoque tecno-pedagógico. </w:t>
      </w:r>
      <w:r w:rsidRPr="00997C74">
        <w:rPr>
          <w:rFonts w:ascii="Times New Roman" w:hAnsi="Times New Roman" w:cs="Times New Roman"/>
          <w:i/>
        </w:rPr>
        <w:t xml:space="preserve">Revista </w:t>
      </w:r>
      <w:proofErr w:type="spellStart"/>
      <w:r w:rsidRPr="00997C74">
        <w:rPr>
          <w:rFonts w:ascii="Times New Roman" w:hAnsi="Times New Roman" w:cs="Times New Roman"/>
          <w:i/>
        </w:rPr>
        <w:t>Uleam</w:t>
      </w:r>
      <w:proofErr w:type="spellEnd"/>
      <w:r w:rsidRPr="00997C74">
        <w:rPr>
          <w:rFonts w:ascii="Times New Roman" w:hAnsi="Times New Roman" w:cs="Times New Roman"/>
          <w:i/>
        </w:rPr>
        <w:t xml:space="preserve"> Bahía Magazine</w:t>
      </w:r>
      <w:r w:rsidRPr="00997C74">
        <w:rPr>
          <w:rFonts w:ascii="Times New Roman" w:hAnsi="Times New Roman" w:cs="Times New Roman"/>
        </w:rPr>
        <w:t>, 4(7), 8-15.</w:t>
      </w:r>
    </w:p>
    <w:p w14:paraId="38870452" w14:textId="6D176D16" w:rsid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Iriarte, A., Cataldi, H. C., y </w:t>
      </w:r>
      <w:proofErr w:type="spellStart"/>
      <w:r w:rsidRPr="00997C74">
        <w:rPr>
          <w:rFonts w:ascii="Times New Roman" w:hAnsi="Times New Roman" w:cs="Times New Roman"/>
        </w:rPr>
        <w:t>Rimoldi</w:t>
      </w:r>
      <w:proofErr w:type="spellEnd"/>
      <w:r w:rsidRPr="00997C74">
        <w:rPr>
          <w:rFonts w:ascii="Times New Roman" w:hAnsi="Times New Roman" w:cs="Times New Roman"/>
        </w:rPr>
        <w:t xml:space="preserve">, A. R. (13-15 de noviembre de 2024). Impacto de la virtualización en el sistema de educación superior: la incorporación de la educación a distancia en el nivel de educación superior [Ponencia]. Mesa Temática N°8: Tecnologías digitales: la enseñanza universitaria a distancia, infraestructuras abiertas y sostenibilidad del conocimiento, La Plata, Argentina. </w:t>
      </w:r>
      <w:hyperlink r:id="rId10" w:history="1">
        <w:r w:rsidRPr="00255824">
          <w:rPr>
            <w:rStyle w:val="Hipervnculo"/>
            <w:rFonts w:ascii="Times New Roman" w:hAnsi="Times New Roman" w:cs="Times New Roman"/>
          </w:rPr>
          <w:t>https://congresos.fahce.unlp.edu.ar/la-universidad-como-objeto-de-investigacion</w:t>
        </w:r>
      </w:hyperlink>
    </w:p>
    <w:p w14:paraId="2EBD8532" w14:textId="57DECB9B" w:rsidR="00997C74" w:rsidRDefault="00997C74" w:rsidP="00FD7BE3">
      <w:pPr>
        <w:spacing w:line="240" w:lineRule="auto"/>
        <w:ind w:left="709" w:hanging="709"/>
        <w:jc w:val="both"/>
        <w:rPr>
          <w:rFonts w:ascii="Times New Roman" w:hAnsi="Times New Roman" w:cs="Times New Roman"/>
        </w:rPr>
      </w:pPr>
      <w:r w:rsidRPr="00990602">
        <w:rPr>
          <w:rFonts w:ascii="Times New Roman" w:hAnsi="Times New Roman" w:cs="Times New Roman"/>
          <w:lang w:val="en-GB"/>
        </w:rPr>
        <w:t xml:space="preserve">Lam, J. T. H., Coret, M., Khalil, C., Butler, K., Giroux, R. J., &amp; </w:t>
      </w:r>
      <w:proofErr w:type="spellStart"/>
      <w:r w:rsidRPr="00990602">
        <w:rPr>
          <w:rFonts w:ascii="Times New Roman" w:hAnsi="Times New Roman" w:cs="Times New Roman"/>
          <w:lang w:val="en-GB"/>
        </w:rPr>
        <w:t>Martimianakis</w:t>
      </w:r>
      <w:proofErr w:type="spellEnd"/>
      <w:r w:rsidRPr="00990602">
        <w:rPr>
          <w:rFonts w:ascii="Times New Roman" w:hAnsi="Times New Roman" w:cs="Times New Roman"/>
          <w:lang w:val="en-GB"/>
        </w:rPr>
        <w:t xml:space="preserve">, M. A. T. (2024). The need for critical and intersectional approaches to equity efforts in postgraduate medical education: A critical narrative review. </w:t>
      </w:r>
      <w:r w:rsidRPr="00997C74">
        <w:rPr>
          <w:rFonts w:ascii="Times New Roman" w:hAnsi="Times New Roman" w:cs="Times New Roman"/>
          <w:i/>
        </w:rPr>
        <w:t xml:space="preserve">Medical </w:t>
      </w:r>
      <w:proofErr w:type="spellStart"/>
      <w:r w:rsidRPr="00997C74">
        <w:rPr>
          <w:rFonts w:ascii="Times New Roman" w:hAnsi="Times New Roman" w:cs="Times New Roman"/>
          <w:i/>
        </w:rPr>
        <w:t>education</w:t>
      </w:r>
      <w:proofErr w:type="spellEnd"/>
      <w:r w:rsidRPr="00997C74">
        <w:rPr>
          <w:rFonts w:ascii="Times New Roman" w:hAnsi="Times New Roman" w:cs="Times New Roman"/>
        </w:rPr>
        <w:t xml:space="preserve">, 58(12), 1442–1461. </w:t>
      </w:r>
      <w:hyperlink r:id="rId11" w:history="1">
        <w:r w:rsidRPr="00255824">
          <w:rPr>
            <w:rStyle w:val="Hipervnculo"/>
            <w:rFonts w:ascii="Times New Roman" w:hAnsi="Times New Roman" w:cs="Times New Roman"/>
          </w:rPr>
          <w:t>https://doi.org/10.1111/medu.15425</w:t>
        </w:r>
      </w:hyperlink>
    </w:p>
    <w:p w14:paraId="37ABACFA" w14:textId="588D999E" w:rsidR="00997C74" w:rsidRPr="00990602" w:rsidRDefault="00997C74" w:rsidP="00FD7BE3">
      <w:pPr>
        <w:spacing w:line="240" w:lineRule="auto"/>
        <w:ind w:left="709" w:hanging="709"/>
        <w:jc w:val="both"/>
        <w:rPr>
          <w:rFonts w:ascii="Times New Roman" w:hAnsi="Times New Roman" w:cs="Times New Roman"/>
          <w:lang w:val="en-GB"/>
        </w:rPr>
      </w:pPr>
      <w:proofErr w:type="spellStart"/>
      <w:r w:rsidRPr="00997C74">
        <w:rPr>
          <w:rFonts w:ascii="Times New Roman" w:hAnsi="Times New Roman" w:cs="Times New Roman"/>
        </w:rPr>
        <w:t>Laqueur</w:t>
      </w:r>
      <w:proofErr w:type="spellEnd"/>
      <w:r w:rsidRPr="00997C74">
        <w:rPr>
          <w:rFonts w:ascii="Times New Roman" w:hAnsi="Times New Roman" w:cs="Times New Roman"/>
        </w:rPr>
        <w:t xml:space="preserve">, T. (1994). La construcción del sexo: Cuerpo y género desde los griegos hasta Freud. </w:t>
      </w:r>
      <w:proofErr w:type="spellStart"/>
      <w:r w:rsidRPr="00990602">
        <w:rPr>
          <w:rFonts w:ascii="Times New Roman" w:hAnsi="Times New Roman" w:cs="Times New Roman"/>
          <w:lang w:val="en-GB"/>
        </w:rPr>
        <w:t>Crítica</w:t>
      </w:r>
      <w:proofErr w:type="spellEnd"/>
      <w:r w:rsidRPr="00990602">
        <w:rPr>
          <w:rFonts w:ascii="Times New Roman" w:hAnsi="Times New Roman" w:cs="Times New Roman"/>
          <w:lang w:val="en-GB"/>
        </w:rPr>
        <w:t>.</w:t>
      </w:r>
    </w:p>
    <w:p w14:paraId="5D1CACAE" w14:textId="77777777" w:rsidR="00990602" w:rsidRPr="00705044" w:rsidRDefault="00990602" w:rsidP="00FD7BE3">
      <w:pPr>
        <w:spacing w:line="240" w:lineRule="auto"/>
        <w:ind w:left="709" w:hanging="709"/>
        <w:jc w:val="both"/>
        <w:rPr>
          <w:rFonts w:ascii="Times New Roman" w:hAnsi="Times New Roman" w:cs="Times New Roman"/>
          <w:lang w:val="en-GB"/>
        </w:rPr>
      </w:pPr>
      <w:r w:rsidRPr="00990602">
        <w:rPr>
          <w:rFonts w:ascii="Times New Roman" w:hAnsi="Times New Roman" w:cs="Times New Roman"/>
          <w:lang w:val="en-GB"/>
        </w:rPr>
        <w:t xml:space="preserve">Light, M. A., &amp; Light, I. H. (2008). The geographic expansion of Mexican immigration in the United States and its </w:t>
      </w:r>
      <w:proofErr w:type="spellStart"/>
      <w:r w:rsidRPr="00990602">
        <w:rPr>
          <w:rFonts w:ascii="Times New Roman" w:hAnsi="Times New Roman" w:cs="Times New Roman"/>
          <w:lang w:val="en-GB"/>
        </w:rPr>
        <w:t>impications</w:t>
      </w:r>
      <w:proofErr w:type="spellEnd"/>
      <w:r w:rsidRPr="00990602">
        <w:rPr>
          <w:rFonts w:ascii="Times New Roman" w:hAnsi="Times New Roman" w:cs="Times New Roman"/>
          <w:lang w:val="en-GB"/>
        </w:rPr>
        <w:t xml:space="preserve"> for local law enforcement. </w:t>
      </w:r>
      <w:r w:rsidRPr="00705044">
        <w:rPr>
          <w:rFonts w:ascii="Times New Roman" w:hAnsi="Times New Roman" w:cs="Times New Roman"/>
          <w:i/>
          <w:iCs/>
          <w:lang w:val="en-GB"/>
        </w:rPr>
        <w:t>Law Enforcement Executive Forum Journal, 8</w:t>
      </w:r>
      <w:r w:rsidRPr="00705044">
        <w:rPr>
          <w:rFonts w:ascii="Times New Roman" w:hAnsi="Times New Roman" w:cs="Times New Roman"/>
          <w:lang w:val="en-GB"/>
        </w:rPr>
        <w:t>(1), 73-82.</w:t>
      </w:r>
    </w:p>
    <w:p w14:paraId="5017B62E" w14:textId="2AFE0500" w:rsidR="00997C74" w:rsidRPr="00997C74" w:rsidRDefault="00997C74" w:rsidP="00FD7BE3">
      <w:pPr>
        <w:spacing w:line="240" w:lineRule="auto"/>
        <w:ind w:left="709" w:hanging="709"/>
        <w:jc w:val="both"/>
        <w:rPr>
          <w:rFonts w:ascii="Times New Roman" w:hAnsi="Times New Roman" w:cs="Times New Roman"/>
        </w:rPr>
      </w:pPr>
      <w:proofErr w:type="spellStart"/>
      <w:r w:rsidRPr="00705044">
        <w:rPr>
          <w:rFonts w:ascii="Times New Roman" w:hAnsi="Times New Roman" w:cs="Times New Roman"/>
          <w:lang w:val="en-GB"/>
        </w:rPr>
        <w:t>Luzbet</w:t>
      </w:r>
      <w:proofErr w:type="spellEnd"/>
      <w:r w:rsidRPr="00705044">
        <w:rPr>
          <w:rFonts w:ascii="Times New Roman" w:hAnsi="Times New Roman" w:cs="Times New Roman"/>
          <w:lang w:val="en-GB"/>
        </w:rPr>
        <w:t xml:space="preserve"> Gómez, F. R. &amp; Leyva, A. L. (2020). </w:t>
      </w:r>
      <w:r w:rsidRPr="00990602">
        <w:rPr>
          <w:rFonts w:ascii="Times New Roman" w:hAnsi="Times New Roman" w:cs="Times New Roman"/>
          <w:lang w:val="en-GB"/>
        </w:rPr>
        <w:t xml:space="preserve">Virtualization as an Alternative for Postgraduate Education. </w:t>
      </w:r>
      <w:r w:rsidRPr="00997C74">
        <w:rPr>
          <w:rFonts w:ascii="Times New Roman" w:hAnsi="Times New Roman" w:cs="Times New Roman"/>
          <w:i/>
        </w:rPr>
        <w:t>Revista Cubana de Educación Superior, 39.</w:t>
      </w:r>
    </w:p>
    <w:p w14:paraId="2B5ACF64" w14:textId="77777777" w:rsidR="00997C74" w:rsidRDefault="00997C74" w:rsidP="00FD7BE3">
      <w:pPr>
        <w:spacing w:line="240" w:lineRule="auto"/>
        <w:ind w:left="709" w:hanging="709"/>
        <w:jc w:val="both"/>
        <w:rPr>
          <w:rFonts w:ascii="Times New Roman" w:hAnsi="Times New Roman" w:cs="Times New Roman"/>
        </w:rPr>
      </w:pPr>
      <w:proofErr w:type="spellStart"/>
      <w:r w:rsidRPr="00997C74">
        <w:rPr>
          <w:rFonts w:ascii="Times New Roman" w:hAnsi="Times New Roman" w:cs="Times New Roman"/>
        </w:rPr>
        <w:t>Luzbet</w:t>
      </w:r>
      <w:proofErr w:type="spellEnd"/>
      <w:r w:rsidRPr="00997C74">
        <w:rPr>
          <w:rFonts w:ascii="Times New Roman" w:hAnsi="Times New Roman" w:cs="Times New Roman"/>
        </w:rPr>
        <w:t xml:space="preserve"> Gómez, F. R. (2023). Sustentos tecnológicos de la virtualización del posgrado. </w:t>
      </w:r>
      <w:r w:rsidRPr="00997C74">
        <w:rPr>
          <w:rFonts w:ascii="Times New Roman" w:hAnsi="Times New Roman" w:cs="Times New Roman"/>
          <w:i/>
        </w:rPr>
        <w:t>Revista Cubana de Educación Superior</w:t>
      </w:r>
      <w:r>
        <w:rPr>
          <w:rFonts w:ascii="Times New Roman" w:hAnsi="Times New Roman" w:cs="Times New Roman"/>
        </w:rPr>
        <w:t>, 42(</w:t>
      </w:r>
      <w:proofErr w:type="spellStart"/>
      <w:r>
        <w:rPr>
          <w:rFonts w:ascii="Times New Roman" w:hAnsi="Times New Roman" w:cs="Times New Roman"/>
        </w:rPr>
        <w:t>esp</w:t>
      </w:r>
      <w:proofErr w:type="spellEnd"/>
      <w:r>
        <w:rPr>
          <w:rFonts w:ascii="Times New Roman" w:hAnsi="Times New Roman" w:cs="Times New Roman"/>
        </w:rPr>
        <w:t xml:space="preserve"> 1), 483-491.</w:t>
      </w:r>
    </w:p>
    <w:p w14:paraId="0F2FEB5F" w14:textId="2AAA36DF" w:rsidR="00997C74" w:rsidRPr="00997C74" w:rsidRDefault="00997C74" w:rsidP="00FD7BE3">
      <w:pPr>
        <w:spacing w:line="240" w:lineRule="auto"/>
        <w:ind w:left="709" w:hanging="709"/>
        <w:jc w:val="both"/>
        <w:rPr>
          <w:rFonts w:ascii="Times New Roman" w:hAnsi="Times New Roman" w:cs="Times New Roman"/>
        </w:rPr>
      </w:pPr>
      <w:proofErr w:type="spellStart"/>
      <w:r w:rsidRPr="00997C74">
        <w:rPr>
          <w:rFonts w:ascii="Times New Roman" w:hAnsi="Times New Roman" w:cs="Times New Roman"/>
        </w:rPr>
        <w:t>Maffia</w:t>
      </w:r>
      <w:proofErr w:type="spellEnd"/>
      <w:r w:rsidRPr="00997C74">
        <w:rPr>
          <w:rFonts w:ascii="Times New Roman" w:hAnsi="Times New Roman" w:cs="Times New Roman"/>
        </w:rPr>
        <w:t>, D., &amp; Cabral, M. (2003). Los sexos ¿son o se hacen? En Jornadas de Bioética de la Secretaría de Salud de la Ciudad de Buenos Aires (pp. 86-91).</w:t>
      </w:r>
    </w:p>
    <w:p w14:paraId="3C654612" w14:textId="5F07C04F" w:rsidR="00997C74" w:rsidRPr="00997C74" w:rsidRDefault="00997C74" w:rsidP="00FD7BE3">
      <w:pPr>
        <w:spacing w:line="240" w:lineRule="auto"/>
        <w:ind w:left="709" w:hanging="709"/>
        <w:jc w:val="both"/>
        <w:rPr>
          <w:rFonts w:ascii="Times New Roman" w:hAnsi="Times New Roman" w:cs="Times New Roman"/>
        </w:rPr>
      </w:pPr>
      <w:proofErr w:type="spellStart"/>
      <w:r w:rsidRPr="00997C74">
        <w:rPr>
          <w:rFonts w:ascii="Times New Roman" w:hAnsi="Times New Roman" w:cs="Times New Roman"/>
        </w:rPr>
        <w:t>Malbernat</w:t>
      </w:r>
      <w:proofErr w:type="spellEnd"/>
      <w:r w:rsidRPr="00997C74">
        <w:rPr>
          <w:rFonts w:ascii="Times New Roman" w:hAnsi="Times New Roman" w:cs="Times New Roman"/>
        </w:rPr>
        <w:t xml:space="preserve">, L. R. (2011). </w:t>
      </w:r>
      <w:proofErr w:type="spellStart"/>
      <w:r w:rsidRPr="00997C74">
        <w:rPr>
          <w:rFonts w:ascii="Times New Roman" w:hAnsi="Times New Roman" w:cs="Times New Roman"/>
        </w:rPr>
        <w:t>TICs</w:t>
      </w:r>
      <w:proofErr w:type="spellEnd"/>
      <w:r w:rsidRPr="00997C74">
        <w:rPr>
          <w:rFonts w:ascii="Times New Roman" w:hAnsi="Times New Roman" w:cs="Times New Roman"/>
        </w:rPr>
        <w:t xml:space="preserve"> en educación: Competencias docentes para la innovación en pos de un nuevo estudiante. En VI Congreso de Tecnología en Educación y Educación en Tecnología (TE&amp;ET 2011) (pp. 1-8). Universidad CAECE Mar del Plata.</w:t>
      </w:r>
    </w:p>
    <w:p w14:paraId="143E00FA" w14:textId="66D09F0E" w:rsid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Rico, Á. (2023). Algunos desafíos y perspectivas de desarrollo de las universidades públicas de América Latina. En M. Unzué &amp; D. </w:t>
      </w:r>
      <w:proofErr w:type="spellStart"/>
      <w:r w:rsidRPr="00997C74">
        <w:rPr>
          <w:rFonts w:ascii="Times New Roman" w:hAnsi="Times New Roman" w:cs="Times New Roman"/>
        </w:rPr>
        <w:t>Perrotta</w:t>
      </w:r>
      <w:proofErr w:type="spellEnd"/>
      <w:r w:rsidRPr="00997C74">
        <w:rPr>
          <w:rFonts w:ascii="Times New Roman" w:hAnsi="Times New Roman" w:cs="Times New Roman"/>
        </w:rPr>
        <w:t xml:space="preserve"> (</w:t>
      </w:r>
      <w:proofErr w:type="spellStart"/>
      <w:r w:rsidRPr="00997C74">
        <w:rPr>
          <w:rFonts w:ascii="Times New Roman" w:hAnsi="Times New Roman" w:cs="Times New Roman"/>
        </w:rPr>
        <w:t>Coords</w:t>
      </w:r>
      <w:proofErr w:type="spellEnd"/>
      <w:r w:rsidRPr="00997C74">
        <w:rPr>
          <w:rFonts w:ascii="Times New Roman" w:hAnsi="Times New Roman" w:cs="Times New Roman"/>
        </w:rPr>
        <w:t>.), Nuevos desafíos para la educación superior regional (pp. 75-81). CLACSO.</w:t>
      </w:r>
    </w:p>
    <w:p w14:paraId="2AA66392" w14:textId="77777777" w:rsidR="00990602" w:rsidRPr="00990602" w:rsidRDefault="00990602" w:rsidP="00FD7BE3">
      <w:pPr>
        <w:spacing w:line="240" w:lineRule="auto"/>
        <w:ind w:left="709" w:hanging="709"/>
        <w:jc w:val="both"/>
        <w:rPr>
          <w:rFonts w:ascii="Times New Roman" w:hAnsi="Times New Roman" w:cs="Times New Roman"/>
          <w:lang w:val="en-GB"/>
        </w:rPr>
      </w:pPr>
      <w:r w:rsidRPr="00990602">
        <w:rPr>
          <w:rFonts w:ascii="Times New Roman" w:hAnsi="Times New Roman" w:cs="Times New Roman"/>
          <w:lang w:val="en-GB"/>
        </w:rPr>
        <w:t>Schmid, H.-J. (Ed.). (2017). </w:t>
      </w:r>
      <w:r w:rsidRPr="00990602">
        <w:rPr>
          <w:rFonts w:ascii="Times New Roman" w:hAnsi="Times New Roman" w:cs="Times New Roman"/>
          <w:i/>
          <w:iCs/>
          <w:lang w:val="en-GB"/>
        </w:rPr>
        <w:t>Entrenchment and the psychology of language learning: How we reorganize and adapt linguistic knowledge. </w:t>
      </w:r>
      <w:r w:rsidRPr="00990602">
        <w:rPr>
          <w:rFonts w:ascii="Times New Roman" w:hAnsi="Times New Roman" w:cs="Times New Roman"/>
          <w:lang w:val="en-GB"/>
        </w:rPr>
        <w:t xml:space="preserve">American Psychological Association; De Gruyter Mouton. </w:t>
      </w:r>
      <w:hyperlink r:id="rId12" w:history="1">
        <w:r w:rsidRPr="00990602">
          <w:rPr>
            <w:rStyle w:val="Hipervnculo"/>
            <w:rFonts w:ascii="Times New Roman" w:hAnsi="Times New Roman" w:cs="Times New Roman"/>
            <w:lang w:val="en-GB"/>
          </w:rPr>
          <w:t>https://doi.org/10.1037/15969-000</w:t>
        </w:r>
      </w:hyperlink>
    </w:p>
    <w:p w14:paraId="387E778C" w14:textId="77777777" w:rsidR="00990602" w:rsidRPr="00990602" w:rsidRDefault="00990602" w:rsidP="00FD7BE3">
      <w:pPr>
        <w:spacing w:line="240" w:lineRule="auto"/>
        <w:ind w:left="709" w:hanging="709"/>
        <w:jc w:val="both"/>
        <w:rPr>
          <w:rFonts w:ascii="Times New Roman" w:hAnsi="Times New Roman" w:cs="Times New Roman"/>
          <w:lang w:val="en-GB"/>
        </w:rPr>
      </w:pPr>
      <w:proofErr w:type="spellStart"/>
      <w:r w:rsidRPr="00990602">
        <w:rPr>
          <w:rFonts w:ascii="Times New Roman" w:hAnsi="Times New Roman" w:cs="Times New Roman"/>
          <w:lang w:val="es-AR"/>
        </w:rPr>
        <w:t>Stapley</w:t>
      </w:r>
      <w:proofErr w:type="spellEnd"/>
      <w:r w:rsidRPr="00990602">
        <w:rPr>
          <w:rFonts w:ascii="Times New Roman" w:hAnsi="Times New Roman" w:cs="Times New Roman"/>
          <w:lang w:val="es-AR"/>
        </w:rPr>
        <w:t xml:space="preserve">, A. (2018). </w:t>
      </w:r>
      <w:r w:rsidRPr="00BA642E">
        <w:rPr>
          <w:rFonts w:ascii="Times New Roman" w:hAnsi="Times New Roman" w:cs="Times New Roman"/>
        </w:rPr>
        <w:t>Liofilización. En J. A. Evans (Ed.), </w:t>
      </w:r>
      <w:r w:rsidRPr="00BA642E">
        <w:rPr>
          <w:rFonts w:ascii="Times New Roman" w:hAnsi="Times New Roman" w:cs="Times New Roman"/>
          <w:i/>
          <w:iCs/>
        </w:rPr>
        <w:t>Ciencia y tecnología de los alimentos congelados </w:t>
      </w:r>
      <w:r w:rsidRPr="00BA642E">
        <w:rPr>
          <w:rFonts w:ascii="Times New Roman" w:hAnsi="Times New Roman" w:cs="Times New Roman"/>
        </w:rPr>
        <w:t xml:space="preserve">(pp. 305-336). </w:t>
      </w:r>
      <w:proofErr w:type="spellStart"/>
      <w:r w:rsidRPr="00990602">
        <w:rPr>
          <w:rFonts w:ascii="Times New Roman" w:hAnsi="Times New Roman" w:cs="Times New Roman"/>
          <w:lang w:val="en-GB"/>
        </w:rPr>
        <w:t>Acribia</w:t>
      </w:r>
      <w:proofErr w:type="spellEnd"/>
      <w:r w:rsidRPr="00990602">
        <w:rPr>
          <w:rFonts w:ascii="Times New Roman" w:hAnsi="Times New Roman" w:cs="Times New Roman"/>
          <w:lang w:val="en-GB"/>
        </w:rPr>
        <w:t>.</w:t>
      </w:r>
    </w:p>
    <w:p w14:paraId="29B82188" w14:textId="432CFC6B" w:rsidR="00997C74" w:rsidRPr="00997C74" w:rsidRDefault="00997C74" w:rsidP="00FD7BE3">
      <w:pPr>
        <w:spacing w:line="240" w:lineRule="auto"/>
        <w:ind w:left="709" w:hanging="709"/>
        <w:jc w:val="both"/>
        <w:rPr>
          <w:rFonts w:ascii="Times New Roman" w:hAnsi="Times New Roman" w:cs="Times New Roman"/>
        </w:rPr>
      </w:pPr>
      <w:proofErr w:type="spellStart"/>
      <w:r w:rsidRPr="00990602">
        <w:rPr>
          <w:rFonts w:ascii="Times New Roman" w:hAnsi="Times New Roman" w:cs="Times New Roman"/>
          <w:lang w:val="en-GB"/>
        </w:rPr>
        <w:t>Unzué</w:t>
      </w:r>
      <w:proofErr w:type="spellEnd"/>
      <w:r w:rsidRPr="00990602">
        <w:rPr>
          <w:rFonts w:ascii="Times New Roman" w:hAnsi="Times New Roman" w:cs="Times New Roman"/>
          <w:lang w:val="en-GB"/>
        </w:rPr>
        <w:t xml:space="preserve">, M. (2023). </w:t>
      </w:r>
      <w:r w:rsidRPr="00997C74">
        <w:rPr>
          <w:rFonts w:ascii="Times New Roman" w:hAnsi="Times New Roman" w:cs="Times New Roman"/>
        </w:rPr>
        <w:t xml:space="preserve">Un camino balizado. Impresiones preliminares sobre los nuevos desafíos para las universidades latinoamericanas de los modelos hegemónicos y la virtualización. En M. Unzué &amp; D. </w:t>
      </w:r>
      <w:proofErr w:type="spellStart"/>
      <w:r w:rsidRPr="00997C74">
        <w:rPr>
          <w:rFonts w:ascii="Times New Roman" w:hAnsi="Times New Roman" w:cs="Times New Roman"/>
        </w:rPr>
        <w:t>Perrotta</w:t>
      </w:r>
      <w:proofErr w:type="spellEnd"/>
      <w:r w:rsidRPr="00997C74">
        <w:rPr>
          <w:rFonts w:ascii="Times New Roman" w:hAnsi="Times New Roman" w:cs="Times New Roman"/>
        </w:rPr>
        <w:t xml:space="preserve"> (</w:t>
      </w:r>
      <w:proofErr w:type="spellStart"/>
      <w:r w:rsidRPr="00997C74">
        <w:rPr>
          <w:rFonts w:ascii="Times New Roman" w:hAnsi="Times New Roman" w:cs="Times New Roman"/>
        </w:rPr>
        <w:t>Coords</w:t>
      </w:r>
      <w:proofErr w:type="spellEnd"/>
      <w:r w:rsidRPr="00997C74">
        <w:rPr>
          <w:rFonts w:ascii="Times New Roman" w:hAnsi="Times New Roman" w:cs="Times New Roman"/>
        </w:rPr>
        <w:t>.), Nuevos desafíos para la educación superior regional (pp. 17-39). CLACSO.</w:t>
      </w:r>
    </w:p>
    <w:p w14:paraId="17EB266A" w14:textId="4CA221C8" w:rsidR="00997C74" w:rsidRPr="00997C74" w:rsidRDefault="00997C74" w:rsidP="00FD7BE3">
      <w:pPr>
        <w:spacing w:line="240" w:lineRule="auto"/>
        <w:ind w:left="709" w:hanging="709"/>
        <w:jc w:val="both"/>
        <w:rPr>
          <w:rFonts w:ascii="Times New Roman" w:hAnsi="Times New Roman" w:cs="Times New Roman"/>
        </w:rPr>
      </w:pPr>
      <w:proofErr w:type="spellStart"/>
      <w:r w:rsidRPr="00997C74">
        <w:rPr>
          <w:rFonts w:ascii="Times New Roman" w:hAnsi="Times New Roman" w:cs="Times New Roman"/>
        </w:rPr>
        <w:t>Wittig</w:t>
      </w:r>
      <w:proofErr w:type="spellEnd"/>
      <w:r w:rsidRPr="00997C74">
        <w:rPr>
          <w:rFonts w:ascii="Times New Roman" w:hAnsi="Times New Roman" w:cs="Times New Roman"/>
        </w:rPr>
        <w:t xml:space="preserve">, M. (2006). </w:t>
      </w:r>
      <w:r w:rsidRPr="00997C74">
        <w:rPr>
          <w:rFonts w:ascii="Times New Roman" w:hAnsi="Times New Roman" w:cs="Times New Roman"/>
          <w:i/>
        </w:rPr>
        <w:t>El pensamiento heterosexual y otros ensayos</w:t>
      </w:r>
      <w:r w:rsidRPr="00997C74">
        <w:rPr>
          <w:rFonts w:ascii="Times New Roman" w:hAnsi="Times New Roman" w:cs="Times New Roman"/>
        </w:rPr>
        <w:t xml:space="preserve">. </w:t>
      </w:r>
      <w:proofErr w:type="spellStart"/>
      <w:r w:rsidRPr="00997C74">
        <w:rPr>
          <w:rFonts w:ascii="Times New Roman" w:hAnsi="Times New Roman" w:cs="Times New Roman"/>
        </w:rPr>
        <w:t>Egales</w:t>
      </w:r>
      <w:proofErr w:type="spellEnd"/>
      <w:r w:rsidRPr="00997C74">
        <w:rPr>
          <w:rFonts w:ascii="Times New Roman" w:hAnsi="Times New Roman" w:cs="Times New Roman"/>
        </w:rPr>
        <w:t>.</w:t>
      </w:r>
    </w:p>
    <w:p w14:paraId="1936A4DB" w14:textId="065D5B10" w:rsidR="00997C74" w:rsidRDefault="00997C74" w:rsidP="00FD7BE3">
      <w:pPr>
        <w:spacing w:line="240" w:lineRule="auto"/>
        <w:ind w:left="709" w:hanging="709"/>
        <w:jc w:val="both"/>
        <w:rPr>
          <w:rFonts w:ascii="Times New Roman" w:hAnsi="Times New Roman" w:cs="Times New Roman"/>
        </w:rPr>
      </w:pPr>
      <w:r w:rsidRPr="00997C74">
        <w:rPr>
          <w:rFonts w:ascii="Times New Roman" w:hAnsi="Times New Roman" w:cs="Times New Roman"/>
        </w:rPr>
        <w:t xml:space="preserve">Zavala Baque, D. L., Morán Lozano, N. S., Intriago Terán, A. B., &amp; Guerrero Alcívar, H. A. (2024). Diseño Curricular y la Formación Integral de los Estudiantes de la Carrera de Educación. </w:t>
      </w:r>
      <w:r w:rsidRPr="00997C74">
        <w:rPr>
          <w:rFonts w:ascii="Times New Roman" w:hAnsi="Times New Roman" w:cs="Times New Roman"/>
          <w:i/>
        </w:rPr>
        <w:t>Ciencia Latina Revista Científica Multidisciplinar</w:t>
      </w:r>
      <w:r w:rsidRPr="00997C74">
        <w:rPr>
          <w:rFonts w:ascii="Times New Roman" w:hAnsi="Times New Roman" w:cs="Times New Roman"/>
        </w:rPr>
        <w:t xml:space="preserve">, 8(1), 7190–7227. </w:t>
      </w:r>
      <w:hyperlink r:id="rId13" w:history="1">
        <w:r w:rsidRPr="00255824">
          <w:rPr>
            <w:rStyle w:val="Hipervnculo"/>
            <w:rFonts w:ascii="Times New Roman" w:hAnsi="Times New Roman" w:cs="Times New Roman"/>
          </w:rPr>
          <w:t>https://doi.org/10.37811/cl_rcm.v8i1.10064</w:t>
        </w:r>
      </w:hyperlink>
    </w:p>
    <w:p w14:paraId="2BAF9060" w14:textId="77777777" w:rsidR="00997C74" w:rsidRDefault="00997C74" w:rsidP="00FD7BE3">
      <w:pPr>
        <w:spacing w:line="240" w:lineRule="auto"/>
        <w:ind w:left="709" w:hanging="709"/>
        <w:jc w:val="both"/>
        <w:rPr>
          <w:rFonts w:ascii="Times New Roman" w:hAnsi="Times New Roman" w:cs="Times New Roman"/>
        </w:rPr>
      </w:pPr>
    </w:p>
    <w:p w14:paraId="3F3B72CF" w14:textId="77777777" w:rsidR="00997C74" w:rsidRDefault="00997C74" w:rsidP="007B5B5F">
      <w:pPr>
        <w:spacing w:line="240" w:lineRule="auto"/>
        <w:jc w:val="both"/>
        <w:rPr>
          <w:rFonts w:ascii="Times New Roman" w:hAnsi="Times New Roman" w:cs="Times New Roman"/>
        </w:rPr>
      </w:pPr>
    </w:p>
    <w:p w14:paraId="110C178B" w14:textId="77777777" w:rsidR="00997C74" w:rsidRDefault="00997C74" w:rsidP="007B5B5F">
      <w:pPr>
        <w:spacing w:line="240" w:lineRule="auto"/>
        <w:jc w:val="both"/>
        <w:rPr>
          <w:rFonts w:ascii="Times New Roman" w:hAnsi="Times New Roman" w:cs="Times New Roman"/>
        </w:rPr>
      </w:pPr>
    </w:p>
    <w:p w14:paraId="6C4FF4AF" w14:textId="77777777" w:rsidR="00997C74" w:rsidRDefault="00997C74" w:rsidP="007B5B5F">
      <w:pPr>
        <w:spacing w:line="240" w:lineRule="auto"/>
        <w:jc w:val="both"/>
        <w:rPr>
          <w:rFonts w:ascii="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539327BD"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4"/>
      <w:footerReference w:type="default" r:id="rId1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9A207" w14:textId="77777777" w:rsidR="008177D5" w:rsidRPr="00BA642E" w:rsidRDefault="008177D5" w:rsidP="00C802F5">
      <w:pPr>
        <w:spacing w:after="0" w:line="240" w:lineRule="auto"/>
      </w:pPr>
      <w:r w:rsidRPr="00BA642E">
        <w:separator/>
      </w:r>
    </w:p>
  </w:endnote>
  <w:endnote w:type="continuationSeparator" w:id="0">
    <w:p w14:paraId="3AD1C0C2" w14:textId="77777777" w:rsidR="008177D5" w:rsidRPr="00BA642E" w:rsidRDefault="008177D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E408D" w14:textId="77777777" w:rsidR="008177D5" w:rsidRPr="00BA642E" w:rsidRDefault="008177D5" w:rsidP="00C802F5">
      <w:pPr>
        <w:spacing w:after="0" w:line="240" w:lineRule="auto"/>
      </w:pPr>
      <w:r w:rsidRPr="00BA642E">
        <w:separator/>
      </w:r>
    </w:p>
  </w:footnote>
  <w:footnote w:type="continuationSeparator" w:id="0">
    <w:p w14:paraId="47B1CFDE" w14:textId="77777777" w:rsidR="008177D5" w:rsidRPr="00BA642E" w:rsidRDefault="008177D5"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F6E9D"/>
    <w:rsid w:val="00130FEC"/>
    <w:rsid w:val="0013442F"/>
    <w:rsid w:val="001816D6"/>
    <w:rsid w:val="00185F5E"/>
    <w:rsid w:val="001923DC"/>
    <w:rsid w:val="002327C3"/>
    <w:rsid w:val="00312392"/>
    <w:rsid w:val="00330B96"/>
    <w:rsid w:val="003963C2"/>
    <w:rsid w:val="004040C0"/>
    <w:rsid w:val="00406B64"/>
    <w:rsid w:val="00431312"/>
    <w:rsid w:val="00437E9C"/>
    <w:rsid w:val="004B3A9F"/>
    <w:rsid w:val="00550766"/>
    <w:rsid w:val="0055098E"/>
    <w:rsid w:val="005F3B2E"/>
    <w:rsid w:val="00614F1F"/>
    <w:rsid w:val="00701F64"/>
    <w:rsid w:val="00705044"/>
    <w:rsid w:val="007B5B5F"/>
    <w:rsid w:val="007D233B"/>
    <w:rsid w:val="008177D5"/>
    <w:rsid w:val="0085070B"/>
    <w:rsid w:val="00990602"/>
    <w:rsid w:val="00997C74"/>
    <w:rsid w:val="00A17247"/>
    <w:rsid w:val="00BA642E"/>
    <w:rsid w:val="00BC236F"/>
    <w:rsid w:val="00C57568"/>
    <w:rsid w:val="00C802F5"/>
    <w:rsid w:val="00C96B2C"/>
    <w:rsid w:val="00CA54F2"/>
    <w:rsid w:val="00CA7920"/>
    <w:rsid w:val="00CC04C1"/>
    <w:rsid w:val="00D843EC"/>
    <w:rsid w:val="00E9538A"/>
    <w:rsid w:val="00F11088"/>
    <w:rsid w:val="00F75959"/>
    <w:rsid w:val="00FD7B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ela.trape@gmail.com" TargetMode="External"/><Relationship Id="rId13" Type="http://schemas.openxmlformats.org/officeDocument/2006/relationships/hyperlink" Target="https://doi.org/10.37811/cl_rcm.v8i1.10064" TargetMode="External"/><Relationship Id="rId3" Type="http://schemas.openxmlformats.org/officeDocument/2006/relationships/webSettings" Target="webSettings.xml"/><Relationship Id="rId7" Type="http://schemas.openxmlformats.org/officeDocument/2006/relationships/hyperlink" Target="mailto:alcholeg@gmail.com" TargetMode="External"/><Relationship Id="rId12" Type="http://schemas.openxmlformats.org/officeDocument/2006/relationships/hyperlink" Target="https://doi.org/10.1037/15969-00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fdrogo@gmail.com" TargetMode="External"/><Relationship Id="rId11" Type="http://schemas.openxmlformats.org/officeDocument/2006/relationships/hyperlink" Target="https://doi.org/10.1111/medu.15425"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congresos.fahce.unlp.edu.ar/la-universidad-como-objeto-de-investigacion" TargetMode="External"/><Relationship Id="rId4" Type="http://schemas.openxmlformats.org/officeDocument/2006/relationships/footnotes" Target="footnotes.xml"/><Relationship Id="rId9" Type="http://schemas.openxmlformats.org/officeDocument/2006/relationships/hyperlink" Target="https://doi.org/10.5944/ried.24.1.2808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6519</Words>
  <Characters>35858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claudia drogo</cp:lastModifiedBy>
  <cp:revision>2</cp:revision>
  <dcterms:created xsi:type="dcterms:W3CDTF">2026-06-30T23:25:00Z</dcterms:created>
  <dcterms:modified xsi:type="dcterms:W3CDTF">2026-06-30T23:25:00Z</dcterms:modified>
</cp:coreProperties>
</file>