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FCBFC" w14:textId="77777777" w:rsidR="00C231F1" w:rsidRPr="00C231F1" w:rsidRDefault="00C231F1" w:rsidP="00C231F1">
      <w:pPr>
        <w:jc w:val="center"/>
        <w:rPr>
          <w:rFonts w:ascii="Times New Roman" w:hAnsi="Times New Roman" w:cs="Times New Roman"/>
          <w:lang w:val="es-AR"/>
        </w:rPr>
      </w:pPr>
      <w:r w:rsidRPr="00C231F1">
        <w:rPr>
          <w:rFonts w:ascii="Times New Roman" w:hAnsi="Times New Roman" w:cs="Times New Roman"/>
          <w:b/>
          <w:bCs/>
          <w:lang w:val="es-AR"/>
        </w:rPr>
        <w:t>¿El nivel superior como horizonte?: Un estudio cuantitativo acerca de las percepciones de estudiantes del último año de la secundaria bonaerense (2024)</w:t>
      </w:r>
    </w:p>
    <w:p w14:paraId="31C15040" w14:textId="77777777" w:rsidR="00C231F1" w:rsidRPr="00C231F1" w:rsidRDefault="00C231F1" w:rsidP="00C231F1">
      <w:pPr>
        <w:jc w:val="center"/>
        <w:rPr>
          <w:rFonts w:ascii="Times New Roman" w:hAnsi="Times New Roman" w:cs="Times New Roman"/>
          <w:lang w:val="es-AR"/>
        </w:rPr>
      </w:pPr>
    </w:p>
    <w:p w14:paraId="60306896" w14:textId="77777777" w:rsidR="00C231F1" w:rsidRPr="00C231F1" w:rsidRDefault="00C231F1" w:rsidP="00C231F1">
      <w:pPr>
        <w:spacing w:after="0" w:line="240" w:lineRule="auto"/>
        <w:contextualSpacing/>
        <w:jc w:val="right"/>
        <w:rPr>
          <w:rFonts w:ascii="Times New Roman" w:hAnsi="Times New Roman" w:cs="Times New Roman"/>
          <w:lang w:val="es-AR"/>
        </w:rPr>
      </w:pPr>
      <w:r w:rsidRPr="00C231F1">
        <w:rPr>
          <w:rFonts w:ascii="Times New Roman" w:hAnsi="Times New Roman" w:cs="Times New Roman"/>
          <w:lang w:val="es-AR"/>
        </w:rPr>
        <w:t>Di Piero, Emilia </w:t>
      </w:r>
    </w:p>
    <w:p w14:paraId="3C292B51" w14:textId="77777777" w:rsidR="00C231F1" w:rsidRPr="00C231F1" w:rsidRDefault="00C231F1" w:rsidP="00C231F1">
      <w:pPr>
        <w:spacing w:after="0" w:line="240" w:lineRule="auto"/>
        <w:contextualSpacing/>
        <w:jc w:val="right"/>
        <w:rPr>
          <w:rFonts w:ascii="Times New Roman" w:hAnsi="Times New Roman" w:cs="Times New Roman"/>
          <w:lang w:val="es-AR"/>
        </w:rPr>
      </w:pPr>
      <w:proofErr w:type="spellStart"/>
      <w:r w:rsidRPr="00C231F1">
        <w:rPr>
          <w:rFonts w:ascii="Times New Roman" w:hAnsi="Times New Roman" w:cs="Times New Roman"/>
          <w:lang w:val="es-AR"/>
        </w:rPr>
        <w:t>IdIHCS</w:t>
      </w:r>
      <w:proofErr w:type="spellEnd"/>
      <w:r w:rsidRPr="00C231F1">
        <w:rPr>
          <w:rFonts w:ascii="Times New Roman" w:hAnsi="Times New Roman" w:cs="Times New Roman"/>
          <w:lang w:val="es-AR"/>
        </w:rPr>
        <w:t>/CONICET-UNLP-GESDES </w:t>
      </w:r>
    </w:p>
    <w:p w14:paraId="126FA0B0" w14:textId="77777777" w:rsidR="00C231F1" w:rsidRPr="005E66CC" w:rsidRDefault="00C231F1" w:rsidP="00C231F1">
      <w:pPr>
        <w:spacing w:after="0" w:line="240" w:lineRule="auto"/>
        <w:contextualSpacing/>
        <w:jc w:val="right"/>
        <w:rPr>
          <w:rFonts w:ascii="Times New Roman" w:hAnsi="Times New Roman" w:cs="Times New Roman"/>
          <w:lang w:val="en-US"/>
        </w:rPr>
      </w:pPr>
      <w:hyperlink r:id="rId6" w:history="1">
        <w:r w:rsidRPr="005E66CC">
          <w:rPr>
            <w:rStyle w:val="Hipervnculo"/>
            <w:rFonts w:ascii="Times New Roman" w:hAnsi="Times New Roman" w:cs="Times New Roman"/>
            <w:lang w:val="en-US"/>
          </w:rPr>
          <w:t>medipiero@gmail.com</w:t>
        </w:r>
      </w:hyperlink>
      <w:r w:rsidRPr="005E66CC">
        <w:rPr>
          <w:rFonts w:ascii="Times New Roman" w:hAnsi="Times New Roman" w:cs="Times New Roman"/>
          <w:lang w:val="en-US"/>
        </w:rPr>
        <w:t> </w:t>
      </w:r>
    </w:p>
    <w:p w14:paraId="5F7446BE" w14:textId="77777777" w:rsidR="00C231F1" w:rsidRPr="00C231F1" w:rsidRDefault="00C231F1" w:rsidP="00C231F1">
      <w:pPr>
        <w:spacing w:after="0" w:line="240" w:lineRule="auto"/>
        <w:contextualSpacing/>
        <w:jc w:val="right"/>
        <w:rPr>
          <w:rFonts w:ascii="Times New Roman" w:hAnsi="Times New Roman" w:cs="Times New Roman"/>
          <w:lang w:val="en-US"/>
        </w:rPr>
      </w:pPr>
      <w:r w:rsidRPr="00C231F1">
        <w:rPr>
          <w:rFonts w:ascii="Times New Roman" w:hAnsi="Times New Roman" w:cs="Times New Roman"/>
          <w:lang w:val="en-US"/>
        </w:rPr>
        <w:t> </w:t>
      </w:r>
    </w:p>
    <w:p w14:paraId="0ACAD9D1" w14:textId="77777777" w:rsidR="00C231F1" w:rsidRPr="00C231F1" w:rsidRDefault="00C231F1" w:rsidP="00C231F1">
      <w:pPr>
        <w:spacing w:after="0" w:line="240" w:lineRule="auto"/>
        <w:contextualSpacing/>
        <w:jc w:val="right"/>
        <w:rPr>
          <w:rFonts w:ascii="Times New Roman" w:hAnsi="Times New Roman" w:cs="Times New Roman"/>
          <w:lang w:val="en-US"/>
        </w:rPr>
      </w:pPr>
      <w:r w:rsidRPr="00C231F1">
        <w:rPr>
          <w:rFonts w:ascii="Times New Roman" w:hAnsi="Times New Roman" w:cs="Times New Roman"/>
          <w:lang w:val="en-US"/>
        </w:rPr>
        <w:t>Garriga Olmo Santiago </w:t>
      </w:r>
    </w:p>
    <w:p w14:paraId="2312E4E5" w14:textId="77777777" w:rsidR="00C231F1" w:rsidRPr="00C231F1" w:rsidRDefault="00C231F1" w:rsidP="00C231F1">
      <w:pPr>
        <w:spacing w:after="0" w:line="240" w:lineRule="auto"/>
        <w:contextualSpacing/>
        <w:jc w:val="right"/>
        <w:rPr>
          <w:rFonts w:ascii="Times New Roman" w:hAnsi="Times New Roman" w:cs="Times New Roman"/>
          <w:lang w:val="en-US"/>
        </w:rPr>
      </w:pPr>
      <w:proofErr w:type="spellStart"/>
      <w:r w:rsidRPr="00C231F1">
        <w:rPr>
          <w:rFonts w:ascii="Times New Roman" w:hAnsi="Times New Roman" w:cs="Times New Roman"/>
          <w:lang w:val="en-US"/>
        </w:rPr>
        <w:t>IdIHCS</w:t>
      </w:r>
      <w:proofErr w:type="spellEnd"/>
      <w:r w:rsidRPr="00C231F1">
        <w:rPr>
          <w:rFonts w:ascii="Times New Roman" w:hAnsi="Times New Roman" w:cs="Times New Roman"/>
          <w:lang w:val="en-US"/>
        </w:rPr>
        <w:t>/CONICET-UNLP-GESDES</w:t>
      </w:r>
    </w:p>
    <w:p w14:paraId="26E3E0FC" w14:textId="77777777" w:rsidR="00C231F1" w:rsidRPr="005E66CC" w:rsidRDefault="00C231F1" w:rsidP="00C231F1">
      <w:pPr>
        <w:spacing w:after="0" w:line="240" w:lineRule="auto"/>
        <w:contextualSpacing/>
        <w:jc w:val="right"/>
        <w:rPr>
          <w:rFonts w:ascii="Times New Roman" w:hAnsi="Times New Roman" w:cs="Times New Roman"/>
          <w:lang w:val="es-AR"/>
        </w:rPr>
      </w:pPr>
      <w:hyperlink r:id="rId7" w:history="1">
        <w:r w:rsidRPr="005E66CC">
          <w:rPr>
            <w:rStyle w:val="Hipervnculo"/>
            <w:rFonts w:ascii="Times New Roman" w:hAnsi="Times New Roman" w:cs="Times New Roman"/>
            <w:lang w:val="es-AR"/>
          </w:rPr>
          <w:t>sgarrigaolmo@gmail.com</w:t>
        </w:r>
      </w:hyperlink>
      <w:r w:rsidRPr="005E66CC">
        <w:rPr>
          <w:rFonts w:ascii="Times New Roman" w:hAnsi="Times New Roman" w:cs="Times New Roman"/>
          <w:lang w:val="es-AR"/>
        </w:rPr>
        <w:t xml:space="preserve">  </w:t>
      </w:r>
    </w:p>
    <w:p w14:paraId="0F3AFB71" w14:textId="77777777" w:rsidR="00C231F1" w:rsidRPr="00C231F1" w:rsidRDefault="00C231F1" w:rsidP="00C231F1">
      <w:pPr>
        <w:spacing w:after="0" w:line="240" w:lineRule="auto"/>
        <w:contextualSpacing/>
        <w:jc w:val="right"/>
        <w:rPr>
          <w:rFonts w:ascii="Times New Roman" w:hAnsi="Times New Roman" w:cs="Times New Roman"/>
          <w:lang w:val="es-AR"/>
        </w:rPr>
      </w:pPr>
    </w:p>
    <w:p w14:paraId="64CCD3FF" w14:textId="77777777" w:rsidR="00C231F1" w:rsidRPr="00C231F1" w:rsidRDefault="00C231F1" w:rsidP="00C231F1">
      <w:pPr>
        <w:spacing w:after="0" w:line="240" w:lineRule="auto"/>
        <w:contextualSpacing/>
        <w:jc w:val="right"/>
        <w:rPr>
          <w:rFonts w:ascii="Times New Roman" w:hAnsi="Times New Roman" w:cs="Times New Roman"/>
          <w:lang w:val="es-AR"/>
        </w:rPr>
      </w:pPr>
      <w:r w:rsidRPr="00C231F1">
        <w:rPr>
          <w:rFonts w:ascii="Times New Roman" w:hAnsi="Times New Roman" w:cs="Times New Roman"/>
          <w:lang w:val="es-AR"/>
        </w:rPr>
        <w:tab/>
      </w:r>
      <w:r w:rsidRPr="00C231F1">
        <w:rPr>
          <w:rFonts w:ascii="Times New Roman" w:hAnsi="Times New Roman" w:cs="Times New Roman"/>
          <w:lang w:val="es-AR"/>
        </w:rPr>
        <w:tab/>
        <w:t xml:space="preserve">                                                                               Marchel, Ana Laura</w:t>
      </w:r>
    </w:p>
    <w:p w14:paraId="20EDD573" w14:textId="77777777" w:rsidR="00C231F1" w:rsidRPr="00C231F1" w:rsidRDefault="00C231F1" w:rsidP="00C231F1">
      <w:pPr>
        <w:spacing w:after="0" w:line="240" w:lineRule="auto"/>
        <w:contextualSpacing/>
        <w:jc w:val="right"/>
        <w:rPr>
          <w:rFonts w:ascii="Times New Roman" w:hAnsi="Times New Roman" w:cs="Times New Roman"/>
          <w:lang w:val="es-AR"/>
        </w:rPr>
      </w:pPr>
      <w:proofErr w:type="spellStart"/>
      <w:r w:rsidRPr="00C231F1">
        <w:rPr>
          <w:rFonts w:ascii="Times New Roman" w:hAnsi="Times New Roman" w:cs="Times New Roman"/>
          <w:lang w:val="es-AR"/>
        </w:rPr>
        <w:t>IdIHCS</w:t>
      </w:r>
      <w:proofErr w:type="spellEnd"/>
      <w:r w:rsidRPr="00C231F1">
        <w:rPr>
          <w:rFonts w:ascii="Times New Roman" w:hAnsi="Times New Roman" w:cs="Times New Roman"/>
          <w:lang w:val="es-AR"/>
        </w:rPr>
        <w:t>/UNLP-GESDES </w:t>
      </w:r>
    </w:p>
    <w:p w14:paraId="5F226143" w14:textId="77777777" w:rsidR="00C231F1" w:rsidRPr="005E66CC" w:rsidRDefault="00C231F1" w:rsidP="00C231F1">
      <w:pPr>
        <w:spacing w:after="0" w:line="240" w:lineRule="auto"/>
        <w:contextualSpacing/>
        <w:jc w:val="right"/>
        <w:rPr>
          <w:rFonts w:ascii="Times New Roman" w:hAnsi="Times New Roman" w:cs="Times New Roman"/>
          <w:lang w:val="es-AR"/>
        </w:rPr>
      </w:pPr>
      <w:hyperlink r:id="rId8" w:history="1">
        <w:r w:rsidRPr="005E66CC">
          <w:rPr>
            <w:rStyle w:val="Hipervnculo"/>
            <w:rFonts w:ascii="Times New Roman" w:hAnsi="Times New Roman" w:cs="Times New Roman"/>
            <w:lang w:val="es-AR"/>
          </w:rPr>
          <w:t>analauramarchel@gmail.com</w:t>
        </w:r>
      </w:hyperlink>
    </w:p>
    <w:p w14:paraId="44FA21EE" w14:textId="77777777" w:rsidR="00C231F1" w:rsidRPr="00C231F1" w:rsidRDefault="00C231F1" w:rsidP="00C231F1">
      <w:pPr>
        <w:spacing w:after="0" w:line="240" w:lineRule="auto"/>
        <w:contextualSpacing/>
        <w:jc w:val="right"/>
        <w:rPr>
          <w:rFonts w:ascii="Times New Roman" w:hAnsi="Times New Roman" w:cs="Times New Roman"/>
          <w:lang w:val="es-AR"/>
        </w:rPr>
      </w:pPr>
    </w:p>
    <w:p w14:paraId="4AF47217" w14:textId="77777777" w:rsidR="00C231F1" w:rsidRPr="00C231F1" w:rsidRDefault="00C231F1" w:rsidP="00C231F1">
      <w:pPr>
        <w:spacing w:after="0" w:line="240" w:lineRule="auto"/>
        <w:contextualSpacing/>
        <w:jc w:val="right"/>
        <w:rPr>
          <w:rFonts w:ascii="Times New Roman" w:hAnsi="Times New Roman" w:cs="Times New Roman"/>
          <w:lang w:val="en-US"/>
        </w:rPr>
      </w:pPr>
      <w:proofErr w:type="spellStart"/>
      <w:r w:rsidRPr="00C231F1">
        <w:rPr>
          <w:rFonts w:ascii="Times New Roman" w:hAnsi="Times New Roman" w:cs="Times New Roman"/>
          <w:lang w:val="en-US"/>
        </w:rPr>
        <w:t>Massigoge</w:t>
      </w:r>
      <w:proofErr w:type="spellEnd"/>
      <w:r w:rsidRPr="00C231F1">
        <w:rPr>
          <w:rFonts w:ascii="Times New Roman" w:hAnsi="Times New Roman" w:cs="Times New Roman"/>
          <w:lang w:val="en-US"/>
        </w:rPr>
        <w:t>, Josefina</w:t>
      </w:r>
    </w:p>
    <w:p w14:paraId="1EC9B2E6" w14:textId="77777777" w:rsidR="00C231F1" w:rsidRPr="00C231F1" w:rsidRDefault="00C231F1" w:rsidP="00C231F1">
      <w:pPr>
        <w:spacing w:after="0" w:line="240" w:lineRule="auto"/>
        <w:contextualSpacing/>
        <w:jc w:val="right"/>
        <w:rPr>
          <w:rFonts w:ascii="Times New Roman" w:hAnsi="Times New Roman" w:cs="Times New Roman"/>
          <w:lang w:val="en-US"/>
        </w:rPr>
      </w:pPr>
      <w:proofErr w:type="spellStart"/>
      <w:r w:rsidRPr="00C231F1">
        <w:rPr>
          <w:rFonts w:ascii="Times New Roman" w:hAnsi="Times New Roman" w:cs="Times New Roman"/>
          <w:lang w:val="en-US"/>
        </w:rPr>
        <w:t>IdIHCS</w:t>
      </w:r>
      <w:proofErr w:type="spellEnd"/>
      <w:r w:rsidRPr="00C231F1">
        <w:rPr>
          <w:rFonts w:ascii="Times New Roman" w:hAnsi="Times New Roman" w:cs="Times New Roman"/>
          <w:lang w:val="en-US"/>
        </w:rPr>
        <w:t>/CONICET-UNLP-GESDES</w:t>
      </w:r>
    </w:p>
    <w:p w14:paraId="3AE0F387" w14:textId="77777777" w:rsidR="00C231F1" w:rsidRPr="005E66CC" w:rsidRDefault="00C231F1" w:rsidP="00C231F1">
      <w:pPr>
        <w:spacing w:after="0" w:line="240" w:lineRule="auto"/>
        <w:contextualSpacing/>
        <w:jc w:val="right"/>
        <w:rPr>
          <w:rFonts w:ascii="Times New Roman" w:hAnsi="Times New Roman" w:cs="Times New Roman"/>
          <w:lang w:val="es-AR"/>
        </w:rPr>
      </w:pPr>
      <w:hyperlink r:id="rId9" w:history="1">
        <w:r w:rsidRPr="005E66CC">
          <w:rPr>
            <w:rStyle w:val="Hipervnculo"/>
            <w:rFonts w:ascii="Times New Roman" w:hAnsi="Times New Roman" w:cs="Times New Roman"/>
            <w:lang w:val="es-AR"/>
          </w:rPr>
          <w:t>josefinamassigoge@gmail.com</w:t>
        </w:r>
      </w:hyperlink>
      <w:r w:rsidRPr="005E66CC">
        <w:rPr>
          <w:rFonts w:ascii="Times New Roman" w:hAnsi="Times New Roman" w:cs="Times New Roman"/>
          <w:lang w:val="es-AR"/>
        </w:rPr>
        <w:t xml:space="preserve">  </w:t>
      </w:r>
    </w:p>
    <w:p w14:paraId="62EB50F1" w14:textId="77777777" w:rsidR="00C231F1" w:rsidRPr="00C231F1" w:rsidRDefault="00C231F1" w:rsidP="00C231F1">
      <w:pPr>
        <w:jc w:val="both"/>
        <w:rPr>
          <w:rFonts w:ascii="Times New Roman" w:hAnsi="Times New Roman" w:cs="Times New Roman"/>
          <w:lang w:val="es-AR"/>
        </w:rPr>
      </w:pPr>
    </w:p>
    <w:p w14:paraId="788D11A7" w14:textId="4A07DDB3" w:rsidR="00C231F1" w:rsidRPr="005E66CC" w:rsidRDefault="00C231F1" w:rsidP="00C231F1">
      <w:pPr>
        <w:jc w:val="both"/>
        <w:rPr>
          <w:rFonts w:ascii="Times New Roman" w:hAnsi="Times New Roman" w:cs="Times New Roman"/>
          <w:b/>
          <w:bCs/>
          <w:lang w:val="es-AR"/>
        </w:rPr>
      </w:pPr>
      <w:r w:rsidRPr="00C231F1">
        <w:rPr>
          <w:rFonts w:ascii="Times New Roman" w:hAnsi="Times New Roman" w:cs="Times New Roman"/>
          <w:b/>
          <w:bCs/>
          <w:lang w:val="es-AR"/>
        </w:rPr>
        <w:t>Resumen</w:t>
      </w:r>
      <w:r w:rsidR="005E66CC">
        <w:rPr>
          <w:rFonts w:ascii="Times New Roman" w:hAnsi="Times New Roman" w:cs="Times New Roman"/>
          <w:b/>
          <w:bCs/>
          <w:lang w:val="es-AR"/>
        </w:rPr>
        <w:t>:</w:t>
      </w:r>
      <w:r w:rsidRPr="00C231F1">
        <w:rPr>
          <w:rFonts w:ascii="Times New Roman" w:hAnsi="Times New Roman" w:cs="Times New Roman"/>
          <w:b/>
          <w:bCs/>
          <w:lang w:val="es-AR"/>
        </w:rPr>
        <w:t xml:space="preserve"> </w:t>
      </w:r>
      <w:r w:rsidRPr="00C231F1">
        <w:rPr>
          <w:rFonts w:ascii="Times New Roman" w:hAnsi="Times New Roman" w:cs="Times New Roman"/>
          <w:lang w:val="es-AR"/>
        </w:rPr>
        <w:t xml:space="preserve">El presente trabajo se enmarca en una investigación más amplia dentro del Proyecto de Investigación Científica y Tecnológica denominado “Escuela secundaria y nivel superior en clave institucional. Estudio longitudinal de las trayectorias estudiantiles y de las políticas de articulación </w:t>
      </w:r>
      <w:proofErr w:type="spellStart"/>
      <w:r w:rsidRPr="00C231F1">
        <w:rPr>
          <w:rFonts w:ascii="Times New Roman" w:hAnsi="Times New Roman" w:cs="Times New Roman"/>
          <w:lang w:val="es-AR"/>
        </w:rPr>
        <w:t>internivel</w:t>
      </w:r>
      <w:proofErr w:type="spellEnd"/>
      <w:r w:rsidRPr="00C231F1">
        <w:rPr>
          <w:rFonts w:ascii="Times New Roman" w:hAnsi="Times New Roman" w:cs="Times New Roman"/>
          <w:lang w:val="es-AR"/>
        </w:rPr>
        <w:t xml:space="preserve"> en provincia de Buenos Aires en la </w:t>
      </w:r>
      <w:proofErr w:type="spellStart"/>
      <w:r w:rsidRPr="00C231F1">
        <w:rPr>
          <w:rFonts w:ascii="Times New Roman" w:hAnsi="Times New Roman" w:cs="Times New Roman"/>
          <w:lang w:val="es-AR"/>
        </w:rPr>
        <w:t>pospandemia</w:t>
      </w:r>
      <w:proofErr w:type="spellEnd"/>
      <w:r w:rsidRPr="00C231F1">
        <w:rPr>
          <w:rFonts w:ascii="Times New Roman" w:hAnsi="Times New Roman" w:cs="Times New Roman"/>
          <w:lang w:val="es-AR"/>
        </w:rPr>
        <w:t xml:space="preserve"> (PICT 2022-04-00044) desarrollado por el Grupo de Estudios sobre Desigualdades Educativas y Sociales (GESDES), radicado en el Centro de Investigaciones en Educación del Instituto de Investigaciones en Humanidades y Ciencias Sociales (</w:t>
      </w:r>
      <w:proofErr w:type="spellStart"/>
      <w:r w:rsidRPr="00C231F1">
        <w:rPr>
          <w:rFonts w:ascii="Times New Roman" w:hAnsi="Times New Roman" w:cs="Times New Roman"/>
          <w:lang w:val="es-AR"/>
        </w:rPr>
        <w:t>IdIHCS</w:t>
      </w:r>
      <w:proofErr w:type="spellEnd"/>
      <w:r w:rsidRPr="00C231F1">
        <w:rPr>
          <w:rFonts w:ascii="Times New Roman" w:hAnsi="Times New Roman" w:cs="Times New Roman"/>
          <w:lang w:val="es-AR"/>
        </w:rPr>
        <w:t xml:space="preserve">/UNLP). En particular, </w:t>
      </w:r>
      <w:proofErr w:type="gramStart"/>
      <w:r w:rsidRPr="00C231F1">
        <w:rPr>
          <w:rFonts w:ascii="Times New Roman" w:hAnsi="Times New Roman" w:cs="Times New Roman"/>
          <w:lang w:val="es-AR"/>
        </w:rPr>
        <w:t>analizamos</w:t>
      </w:r>
      <w:proofErr w:type="gramEnd"/>
      <w:r w:rsidRPr="00C231F1">
        <w:rPr>
          <w:rFonts w:ascii="Times New Roman" w:hAnsi="Times New Roman" w:cs="Times New Roman"/>
          <w:lang w:val="es-AR"/>
        </w:rPr>
        <w:t xml:space="preserve"> por un lado, las expectativas que tenían 6507 estudiantes bonaerenses que cursaron su último año del nivel secundario en el año 2024 y, por otro, la influencia que tuvo la escuela en el momento de esa decisión, considerando factores socioeducativos. La investigación mostró que el 85,5% de las y los estudiantes tenían expectativas de continuar sus estudios en el nivel superior. Sin embargo, estas expectativas no se distribuyen de manera homogénea, sino que están atravesadas e influenciadas por un entramado de desigualdades. En este sentido, en relación al clima educativo del hogar, observamos que cuando la madre o el padre cuenta con título universitario, las y los estudiantes se inclinan por la continuidad de trayectorias vinculadas únicamente al estudio, en cambio, a menor nivel educativo, crece la combinación entre estudio y trabajo. En cuanto al género, podemos afirmar que adquiere matices al considerar el nivel educativo del hogar: las expectativas de continuar estudiando entre las mujeres son mayores cuando el hogar posee mayor capital educativo mientras que crece fuertemente la expectativa de trabajar en los varones cuando el clima </w:t>
      </w:r>
      <w:r w:rsidRPr="00C231F1">
        <w:rPr>
          <w:rFonts w:ascii="Times New Roman" w:hAnsi="Times New Roman" w:cs="Times New Roman"/>
          <w:lang w:val="es-AR"/>
        </w:rPr>
        <w:lastRenderedPageBreak/>
        <w:t>educativo es más bajo. El tipo de gestión de la escuela fue otro factor a considerar:  entre quienes asisten a escuelas de gestión privada, las expectativas se vuelcan casi en su totalidad hacia las opciones “estudiar” y “estudiar y trabajar”, mientras que las respuestas de incertidumbre y de inserción laboral directa entre estudiantes que asisten a escuelas de gestión estatal eran las que predominaban en la encuesta. Por último, observamos que, en líneas generales, el peso que las y los estudiantes le otorgan a la escuela en sus elecciones es una idea transversal a los distintos sectores: no es percibida como un factor central en sus elecciones sobre la continuidad de sus estudios, lo cual sugiere que, desde la mirada estudiantil, las decisiones sobre su futuro educativo se construyen principalmente fuera del ámbito escolar.</w:t>
      </w:r>
    </w:p>
    <w:p w14:paraId="164ED97D" w14:textId="77777777" w:rsidR="00C231F1" w:rsidRPr="00C231F1" w:rsidRDefault="00C231F1" w:rsidP="00C231F1">
      <w:pPr>
        <w:jc w:val="both"/>
        <w:rPr>
          <w:rFonts w:ascii="Times New Roman" w:hAnsi="Times New Roman" w:cs="Times New Roman"/>
          <w:lang w:val="es-AR"/>
        </w:rPr>
      </w:pPr>
      <w:r w:rsidRPr="005E66CC">
        <w:rPr>
          <w:rFonts w:ascii="Times New Roman" w:hAnsi="Times New Roman" w:cs="Times New Roman"/>
          <w:b/>
          <w:bCs/>
          <w:lang w:val="es-AR"/>
        </w:rPr>
        <w:t>Palabras clave</w:t>
      </w:r>
      <w:r w:rsidRPr="00C231F1">
        <w:rPr>
          <w:rFonts w:ascii="Times New Roman" w:hAnsi="Times New Roman" w:cs="Times New Roman"/>
          <w:lang w:val="es-AR"/>
        </w:rPr>
        <w:t>: Percepciones, Estudiantes, Nivel Secundario, Nivel Superior, Expectativas</w:t>
      </w:r>
    </w:p>
    <w:p w14:paraId="05E6F2C4" w14:textId="77777777" w:rsidR="00C231F1" w:rsidRDefault="00C231F1" w:rsidP="00C231F1">
      <w:pPr>
        <w:jc w:val="both"/>
        <w:rPr>
          <w:rFonts w:ascii="Times New Roman" w:hAnsi="Times New Roman" w:cs="Times New Roman"/>
          <w:b/>
          <w:bCs/>
          <w:lang w:val="es-AR"/>
        </w:rPr>
      </w:pPr>
    </w:p>
    <w:p w14:paraId="69FA4C33" w14:textId="3099588D"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b/>
          <w:bCs/>
          <w:lang w:val="es-AR"/>
        </w:rPr>
        <w:t>Introducción</w:t>
      </w:r>
    </w:p>
    <w:p w14:paraId="424A3EC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Las transformaciones económicas, sociales y políticas de la sociedad contemporánea influyen de manera significativa en las trayectorias educativas y en vida de las juventudes, afectando sus expectativas de futuro y los procesos de transición entre niveles educativos, en un escenario donde se ha ampliado el acceso tanto a la educación secundaria como superior. Sin embargo, esta expansión ha venido acompañada de nuevas formas de desigualdad en ambos niveles. Retomando los aportes de Dubet (2020), este análisis se basa en la noción de regímenes de desigualdad múltiples que inciden en las expectativas estudiantiles, entendiendo dichas desigualdades como fenómenos multidimensionales y relacionales.</w:t>
      </w:r>
    </w:p>
    <w:p w14:paraId="35575AF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Esta ponencia presenta un análisis de las expectativas sobre las trayectorias luego de la finalización del nivel secundario de estudiantes del último año de la escuela de la provincia de Buenos Aires. Asimismo, consideramos cómo influye la escuela secundaria en la conformación de esas expectativas. Para poder dar cuenta de las desigualdades que atraviesan presentes en las expectativas de las y los estudiantes, tendremos en cuenta el clima educativo del hogar, el género y el sector de gestión de la escuela como factores que inciden en las mismas.</w:t>
      </w:r>
    </w:p>
    <w:p w14:paraId="7349AD8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Este trabajo se enmarca en una investigación más amplia dentro del Proyecto de Investigación Científica y Tecnológica “Escuela secundaria y nivel superior en clave institucional. Estudio longitudinal de las trayectorias estudiantiles y de las políticas de articulación </w:t>
      </w:r>
      <w:proofErr w:type="spellStart"/>
      <w:r w:rsidRPr="00C231F1">
        <w:rPr>
          <w:rFonts w:ascii="Times New Roman" w:hAnsi="Times New Roman" w:cs="Times New Roman"/>
          <w:lang w:val="es-AR"/>
        </w:rPr>
        <w:t>internivel</w:t>
      </w:r>
      <w:proofErr w:type="spellEnd"/>
      <w:r w:rsidRPr="00C231F1">
        <w:rPr>
          <w:rFonts w:ascii="Times New Roman" w:hAnsi="Times New Roman" w:cs="Times New Roman"/>
          <w:lang w:val="es-AR"/>
        </w:rPr>
        <w:t xml:space="preserve"> en provincia de Buenos Aires en la </w:t>
      </w:r>
      <w:proofErr w:type="spellStart"/>
      <w:r w:rsidRPr="00C231F1">
        <w:rPr>
          <w:rFonts w:ascii="Times New Roman" w:hAnsi="Times New Roman" w:cs="Times New Roman"/>
          <w:lang w:val="es-AR"/>
        </w:rPr>
        <w:t>pospandemia</w:t>
      </w:r>
      <w:proofErr w:type="spellEnd"/>
      <w:r w:rsidRPr="00C231F1">
        <w:rPr>
          <w:rFonts w:ascii="Times New Roman" w:hAnsi="Times New Roman" w:cs="Times New Roman"/>
          <w:lang w:val="es-AR"/>
        </w:rPr>
        <w:t xml:space="preserve">”. Se trató de una investigación de metodología cuantitativa a partir de una encuesta autoadministrada, a través de Google Form, a estudiantes de escuelas estatales y privadas de 57 distritos </w:t>
      </w:r>
      <w:r w:rsidRPr="00C231F1">
        <w:rPr>
          <w:rFonts w:ascii="Times New Roman" w:hAnsi="Times New Roman" w:cs="Times New Roman"/>
          <w:lang w:val="es-AR"/>
        </w:rPr>
        <w:lastRenderedPageBreak/>
        <w:t>pertenecientes a 12 regiones educativas de la provincia de Buenos Aires que en 2024 cursaron su último año del nivel secundario. El cuestionario se implementó entre los meses de septiembre y noviembre de 2024 y llegó a un total de 6507 respuestas. </w:t>
      </w:r>
    </w:p>
    <w:p w14:paraId="6C9371F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Tal como Belloso </w:t>
      </w:r>
      <w:proofErr w:type="spellStart"/>
      <w:r w:rsidRPr="00C231F1">
        <w:rPr>
          <w:rFonts w:ascii="Times New Roman" w:hAnsi="Times New Roman" w:cs="Times New Roman"/>
          <w:lang w:val="es-AR"/>
        </w:rPr>
        <w:t>Gonzalez</w:t>
      </w:r>
      <w:proofErr w:type="spellEnd"/>
      <w:r w:rsidRPr="00C231F1">
        <w:rPr>
          <w:rFonts w:ascii="Times New Roman" w:hAnsi="Times New Roman" w:cs="Times New Roman"/>
          <w:lang w:val="es-AR"/>
        </w:rPr>
        <w:t xml:space="preserve"> (en prensa) detalla en el primer capítulo del libro Perspectivas estudiantiles. Una exploración cuantitativa sobre cómo piensan el futuro, la educación y las transiciones en tiempos de extrema derecha (Di Piero y Causa, en prensa), el muestreo de la encuesta fue </w:t>
      </w:r>
      <w:proofErr w:type="spellStart"/>
      <w:r w:rsidRPr="00C231F1">
        <w:rPr>
          <w:rFonts w:ascii="Times New Roman" w:hAnsi="Times New Roman" w:cs="Times New Roman"/>
          <w:lang w:val="es-AR"/>
        </w:rPr>
        <w:t>multietápico</w:t>
      </w:r>
      <w:proofErr w:type="spellEnd"/>
      <w:r w:rsidRPr="00C231F1">
        <w:rPr>
          <w:rFonts w:ascii="Times New Roman" w:hAnsi="Times New Roman" w:cs="Times New Roman"/>
          <w:lang w:val="es-AR"/>
        </w:rPr>
        <w:t xml:space="preserve">. En un primer momento, de manera intencional se seleccionaron 12 regiones educativas considerando distintos criterios, como que contaran y no contaran con universidades correspondientes a diferentes oleadas de creación o bien que no contaran con universidad alguna, que se tratara de regiones con distritos pequeños, medianos y grandes en cuanto a cantidad de población o bien ubicadas en islas (se trató de las regiones </w:t>
      </w:r>
      <w:proofErr w:type="spellStart"/>
      <w:r w:rsidRPr="00C231F1">
        <w:rPr>
          <w:rFonts w:ascii="Times New Roman" w:hAnsi="Times New Roman" w:cs="Times New Roman"/>
          <w:lang w:val="es-AR"/>
        </w:rPr>
        <w:t>n°</w:t>
      </w:r>
      <w:proofErr w:type="spellEnd"/>
      <w:r w:rsidRPr="00C231F1">
        <w:rPr>
          <w:rFonts w:ascii="Times New Roman" w:hAnsi="Times New Roman" w:cs="Times New Roman"/>
          <w:lang w:val="es-AR"/>
        </w:rPr>
        <w:t xml:space="preserve"> 1, 4, 6, 7, 12, 16, 17, 18, 19, 20, 22, 24). Luego, en una segunda etapa se llevó adelante un muestreo aleatorio sobre las escuelas secundarias de cada una de las regiones. </w:t>
      </w:r>
    </w:p>
    <w:p w14:paraId="6F8884EB" w14:textId="77777777" w:rsidR="00C231F1" w:rsidRPr="00C231F1" w:rsidRDefault="00C231F1" w:rsidP="00C231F1">
      <w:pPr>
        <w:jc w:val="both"/>
        <w:rPr>
          <w:rFonts w:ascii="Times New Roman" w:hAnsi="Times New Roman" w:cs="Times New Roman"/>
          <w:lang w:val="es-AR"/>
        </w:rPr>
      </w:pPr>
    </w:p>
    <w:p w14:paraId="63602A5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b/>
          <w:bCs/>
          <w:lang w:val="es-AR"/>
        </w:rPr>
        <w:t>Territorio teórico y antecedentes</w:t>
      </w:r>
    </w:p>
    <w:p w14:paraId="7B467A3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 vasto el cúmulo de publicaciones y comentarios en la opinión pública sobre aquello que se cree que las juventudes actualmente esperan o buscan. Se dice que no esperan nada, que no tienen deseos a largo plazo, que viven en la inmediatez y el facilismo, que buscan trabajos que no impliquen demasiada preparación y que los ubiquen en el mundo del trabajo raudamente, que no les interesa el esfuerzo prolongado ni tampoco las carreras universitarias que impliquen varios años de estudio. Muchas veces estos supuestos dan sustento, incluso, a políticas públicas y reformas educativas o laborales. Parece escasear, así, la adjetivación que valore positivamente alguna dimensión de este grupo etario. </w:t>
      </w:r>
    </w:p>
    <w:p w14:paraId="59CB8BE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Los cambios económicos, sociales y políticos atravesados por la sociedad contemporánea tienen un impacto significativo en las trayectorias vitales y educativas de las juventudes, refractando en sus perspectivas de futuro y, por ende, en las transiciones </w:t>
      </w:r>
      <w:proofErr w:type="spellStart"/>
      <w:r w:rsidRPr="00C231F1">
        <w:rPr>
          <w:rFonts w:ascii="Times New Roman" w:hAnsi="Times New Roman" w:cs="Times New Roman"/>
          <w:lang w:val="es-AR"/>
        </w:rPr>
        <w:t>interniveles</w:t>
      </w:r>
      <w:proofErr w:type="spellEnd"/>
      <w:r w:rsidRPr="00C231F1">
        <w:rPr>
          <w:rFonts w:ascii="Times New Roman" w:hAnsi="Times New Roman" w:cs="Times New Roman"/>
          <w:lang w:val="es-AR"/>
        </w:rPr>
        <w:t xml:space="preserve"> en un contexto en el que se ha ampliado la escolarización en el nivel secundario y también superior. Esta ampliación se ha acompañado por la reconfiguración de las desigualdades en ambos niveles, tanto para el secundario, en donde se ha hecho referencia a procesos de segmentación, segregación o fragmentación (Braslavsky, 1985; Acosta, 2011; </w:t>
      </w:r>
      <w:proofErr w:type="spellStart"/>
      <w:r w:rsidRPr="00C231F1">
        <w:rPr>
          <w:rFonts w:ascii="Times New Roman" w:hAnsi="Times New Roman" w:cs="Times New Roman"/>
          <w:lang w:val="es-AR"/>
        </w:rPr>
        <w:t>Tiramonti</w:t>
      </w:r>
      <w:proofErr w:type="spellEnd"/>
      <w:r w:rsidRPr="00C231F1">
        <w:rPr>
          <w:rFonts w:ascii="Times New Roman" w:hAnsi="Times New Roman" w:cs="Times New Roman"/>
          <w:lang w:val="es-AR"/>
        </w:rPr>
        <w:t xml:space="preserve">, 2004), como, según señalan algunos autores (García de Fanelli y Jacinto, 2010; </w:t>
      </w:r>
      <w:proofErr w:type="spellStart"/>
      <w:r w:rsidRPr="00C231F1">
        <w:rPr>
          <w:rFonts w:ascii="Times New Roman" w:hAnsi="Times New Roman" w:cs="Times New Roman"/>
          <w:lang w:val="es-AR"/>
        </w:rPr>
        <w:t>Suasnábar</w:t>
      </w:r>
      <w:proofErr w:type="spellEnd"/>
      <w:r w:rsidRPr="00C231F1">
        <w:rPr>
          <w:rFonts w:ascii="Times New Roman" w:hAnsi="Times New Roman" w:cs="Times New Roman"/>
          <w:lang w:val="es-AR"/>
        </w:rPr>
        <w:t xml:space="preserve"> y Rovelli, 2016), respecto de los accesos diferenciados </w:t>
      </w:r>
      <w:proofErr w:type="spellStart"/>
      <w:r w:rsidRPr="00C231F1">
        <w:rPr>
          <w:rFonts w:ascii="Times New Roman" w:hAnsi="Times New Roman" w:cs="Times New Roman"/>
          <w:lang w:val="es-AR"/>
        </w:rPr>
        <w:t>intranivel</w:t>
      </w:r>
      <w:proofErr w:type="spellEnd"/>
      <w:r w:rsidRPr="00C231F1">
        <w:rPr>
          <w:rFonts w:ascii="Times New Roman" w:hAnsi="Times New Roman" w:cs="Times New Roman"/>
          <w:lang w:val="es-AR"/>
        </w:rPr>
        <w:t xml:space="preserve"> al sistema de educación superior. En este sentido, Sotelo (2025), en un trabajo de revisión y sistematización del campo –en construcción– de los inicios a la vida universitaria, identifica las diversas dimensiones y núcleos analíticos que atraviesan al momento del ingreso y los primeros años que ponen en relieve la complejidad del proceso condicionado por desigualdades </w:t>
      </w:r>
      <w:r w:rsidRPr="00C231F1">
        <w:rPr>
          <w:rFonts w:ascii="Times New Roman" w:hAnsi="Times New Roman" w:cs="Times New Roman"/>
          <w:lang w:val="es-AR"/>
        </w:rPr>
        <w:lastRenderedPageBreak/>
        <w:t>(véase también Arroyo et al., 2025). En esa línea, la masificación del ingreso no ha redundado automáticamente en igualdad de condiciones para la permanencia y la graduación, configurando una tensión entre la apertura formal del acceso –que contempla el ingreso irrestricto, la masificación del nivel y los dispositivos de ingreso y acompañamiento– y las desigualdades persistentes una vez que los estudiantes ingresan al nivel (García, 2023).</w:t>
      </w:r>
    </w:p>
    <w:p w14:paraId="70C3544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Retomando los aportes de Dubet (2020) sobre las desigualdades, este texto parte de considerar regímenes de desigualdades múltiples que inciden sobre las expectativas estudiantiles. El autor se refiere, así, a una sociedad donde las brechas sociales ya no se definen solo por la clase social (ricos vs. pobres), sino por la acumulación de múltiples desventajas individuales (género, edad, territorio, migración). Este enfoque conceptual ligado al carácter multidimensional y relacional de las desigualdades permea el presente trabajo y, en términos amplios, la investigación realizada por el equipo.</w:t>
      </w:r>
    </w:p>
    <w:p w14:paraId="1084A0C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Siguiendo el esquema de tipificación para las transiciones juveniles propuesto por Casal, García, Merino y Quesada (2006, p. 29), estos pasajes pueden ser: desde la familia de origen a la familia conformada </w:t>
      </w:r>
      <w:proofErr w:type="spellStart"/>
      <w:r w:rsidRPr="00C231F1">
        <w:rPr>
          <w:rFonts w:ascii="Times New Roman" w:hAnsi="Times New Roman" w:cs="Times New Roman"/>
          <w:lang w:val="es-AR"/>
        </w:rPr>
        <w:t>post-emancipación</w:t>
      </w:r>
      <w:proofErr w:type="spellEnd"/>
      <w:r w:rsidRPr="00C231F1">
        <w:rPr>
          <w:rFonts w:ascii="Times New Roman" w:hAnsi="Times New Roman" w:cs="Times New Roman"/>
          <w:lang w:val="es-AR"/>
        </w:rPr>
        <w:t xml:space="preserve">, desde la escolaridad obligatoria a </w:t>
      </w:r>
      <w:proofErr w:type="gramStart"/>
      <w:r w:rsidRPr="00C231F1">
        <w:rPr>
          <w:rFonts w:ascii="Times New Roman" w:hAnsi="Times New Roman" w:cs="Times New Roman"/>
          <w:lang w:val="es-AR"/>
        </w:rPr>
        <w:t>la estudios superiores</w:t>
      </w:r>
      <w:proofErr w:type="gramEnd"/>
      <w:r w:rsidRPr="00C231F1">
        <w:rPr>
          <w:rFonts w:ascii="Times New Roman" w:hAnsi="Times New Roman" w:cs="Times New Roman"/>
          <w:lang w:val="es-AR"/>
        </w:rPr>
        <w:t>, desde la escuela al trabajo y desde el trabajo al trabajo. En esta ponencia nos centramos sobre todo en el análisis de las expectativas sobre las trayectorias escolares desde la escolaridad obligatoria hacia los estudios superiores.</w:t>
      </w:r>
    </w:p>
    <w:p w14:paraId="4B17BCE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 Tal como señala </w:t>
      </w:r>
      <w:proofErr w:type="spellStart"/>
      <w:r w:rsidRPr="00C231F1">
        <w:rPr>
          <w:rFonts w:ascii="Times New Roman" w:hAnsi="Times New Roman" w:cs="Times New Roman"/>
          <w:lang w:val="es-AR"/>
        </w:rPr>
        <w:t>Saraví</w:t>
      </w:r>
      <w:proofErr w:type="spellEnd"/>
      <w:r w:rsidRPr="00C231F1">
        <w:rPr>
          <w:rFonts w:ascii="Times New Roman" w:hAnsi="Times New Roman" w:cs="Times New Roman"/>
          <w:lang w:val="es-AR"/>
        </w:rPr>
        <w:t xml:space="preserve"> (2009), las transiciones «constituyen períodos críticos en la vida de los individuos, no solo por las angustias, incertidumbres y expectativas depositadas en ellas, sino por el carácter condicionante que pueden tener sobre el futuro de las trayectorias vitales en las que se enmarcan y en otras con las que se asocian» (</w:t>
      </w:r>
      <w:proofErr w:type="spellStart"/>
      <w:r w:rsidRPr="00C231F1">
        <w:rPr>
          <w:rFonts w:ascii="Times New Roman" w:hAnsi="Times New Roman" w:cs="Times New Roman"/>
          <w:lang w:val="es-AR"/>
        </w:rPr>
        <w:t>Saraví</w:t>
      </w:r>
      <w:proofErr w:type="spellEnd"/>
      <w:r w:rsidRPr="00C231F1">
        <w:rPr>
          <w:rFonts w:ascii="Times New Roman" w:hAnsi="Times New Roman" w:cs="Times New Roman"/>
          <w:lang w:val="es-AR"/>
        </w:rPr>
        <w:t xml:space="preserve">, 2009: 28). Siguiendo con </w:t>
      </w:r>
      <w:proofErr w:type="spellStart"/>
      <w:r w:rsidRPr="00C231F1">
        <w:rPr>
          <w:rFonts w:ascii="Times New Roman" w:hAnsi="Times New Roman" w:cs="Times New Roman"/>
          <w:lang w:val="es-AR"/>
        </w:rPr>
        <w:t>Saraví</w:t>
      </w:r>
      <w:proofErr w:type="spellEnd"/>
      <w:r w:rsidRPr="00C231F1">
        <w:rPr>
          <w:rFonts w:ascii="Times New Roman" w:hAnsi="Times New Roman" w:cs="Times New Roman"/>
          <w:lang w:val="es-AR"/>
        </w:rPr>
        <w:t>, «las transiciones del curso de vida son modeladas en su desarrollo a partir de la interacción entre agencia y estructura, e incluso por la irrupción, en este encuentro, del acontecimiento, el azar o la suerte» (</w:t>
      </w:r>
      <w:proofErr w:type="spellStart"/>
      <w:r w:rsidRPr="00C231F1">
        <w:rPr>
          <w:rFonts w:ascii="Times New Roman" w:hAnsi="Times New Roman" w:cs="Times New Roman"/>
          <w:lang w:val="es-AR"/>
        </w:rPr>
        <w:t>Saraví</w:t>
      </w:r>
      <w:proofErr w:type="spellEnd"/>
      <w:r w:rsidRPr="00C231F1">
        <w:rPr>
          <w:rFonts w:ascii="Times New Roman" w:hAnsi="Times New Roman" w:cs="Times New Roman"/>
          <w:lang w:val="es-AR"/>
        </w:rPr>
        <w:t xml:space="preserve">, 2009: 28). De ese modo, este proceso transicional es considerado por </w:t>
      </w:r>
      <w:proofErr w:type="spellStart"/>
      <w:r w:rsidRPr="00C231F1">
        <w:rPr>
          <w:rFonts w:ascii="Times New Roman" w:hAnsi="Times New Roman" w:cs="Times New Roman"/>
          <w:lang w:val="es-AR"/>
        </w:rPr>
        <w:t>Saraví</w:t>
      </w:r>
      <w:proofErr w:type="spellEnd"/>
      <w:r w:rsidRPr="00C231F1">
        <w:rPr>
          <w:rFonts w:ascii="Times New Roman" w:hAnsi="Times New Roman" w:cs="Times New Roman"/>
          <w:lang w:val="es-AR"/>
        </w:rPr>
        <w:t xml:space="preserve"> (2015) como un evento significativo en toda la trayectoria educativa.</w:t>
      </w:r>
    </w:p>
    <w:p w14:paraId="68B65A2E"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 En la medida en que las expectativas condicionan las decisiones del alumnado, su continuidad en el sistema educativo y, en última instancia, sus posibilidades de futuro laboral, podemos considerarlas un componente subjetivo clave en el engranaje entre desigualdad social de origen y desigualdad social de destino (Bianchi Calero, en prensa). Tal como afirman Bendit y Miranda (2013, p. 107), “durante el último año de la educación secundaria, las expectativas a futuro se funden en un conjunto de procesos en donde se conjugan estructuras de opciones y deseos personales. La ansiedad por el egreso se mezcla con la incertidumbre sobre las actividades que podrían encararse en el marco de un nuevo estilo de vida de menor regulación estatal y familiar”. En este sentido, siguiendo </w:t>
      </w:r>
      <w:r w:rsidRPr="00C231F1">
        <w:rPr>
          <w:rFonts w:ascii="Times New Roman" w:hAnsi="Times New Roman" w:cs="Times New Roman"/>
          <w:lang w:val="es-AR"/>
        </w:rPr>
        <w:lastRenderedPageBreak/>
        <w:t xml:space="preserve">a Dávila León y </w:t>
      </w:r>
      <w:proofErr w:type="spellStart"/>
      <w:r w:rsidRPr="00C231F1">
        <w:rPr>
          <w:rFonts w:ascii="Times New Roman" w:hAnsi="Times New Roman" w:cs="Times New Roman"/>
          <w:lang w:val="es-AR"/>
        </w:rPr>
        <w:t>Ghiardo</w:t>
      </w:r>
      <w:proofErr w:type="spellEnd"/>
      <w:r w:rsidRPr="00C231F1">
        <w:rPr>
          <w:rFonts w:ascii="Times New Roman" w:hAnsi="Times New Roman" w:cs="Times New Roman"/>
          <w:lang w:val="es-AR"/>
        </w:rPr>
        <w:t xml:space="preserve"> Soto (2005), “las aspiraciones nacen de condiciones sociales, de los ´mundos de vida´ que configuran esas condiciones; se nutren de cuentos que se han escuchado, de historias familiares, conocidas, de lo que le pasó al amigo, lo que llegó a ser el conocido, lo que tuvo que hacer el familiar para ´ser lo que es´ o ´tener lo que tiene´” (Dávila León y </w:t>
      </w:r>
      <w:proofErr w:type="spellStart"/>
      <w:r w:rsidRPr="00C231F1">
        <w:rPr>
          <w:rFonts w:ascii="Times New Roman" w:hAnsi="Times New Roman" w:cs="Times New Roman"/>
          <w:lang w:val="es-AR"/>
        </w:rPr>
        <w:t>Ghiardo</w:t>
      </w:r>
      <w:proofErr w:type="spellEnd"/>
      <w:r w:rsidRPr="00C231F1">
        <w:rPr>
          <w:rFonts w:ascii="Times New Roman" w:hAnsi="Times New Roman" w:cs="Times New Roman"/>
          <w:lang w:val="es-AR"/>
        </w:rPr>
        <w:t xml:space="preserve"> Soto 2005, pp. 117-118). Ahí está la fuente y a la vez el filtro de esos sueños, el fondo de experiencia que contrasta lo ideal con lo posible, que convierte la aspiración en expectativa. También Ramírez García (2013) recupera la distinción entre aspiraciones y expectativas, considerando que las primeras “superan a las segundas, expresan deseos, constituyen la ´esperanza subjetiva´” (Bourdieu y Passeron 2009, pp. 43-44) que mueve a las y los jóvenes. Tienen su origen en el </w:t>
      </w:r>
      <w:proofErr w:type="spellStart"/>
      <w:r w:rsidRPr="00C231F1">
        <w:rPr>
          <w:rFonts w:ascii="Times New Roman" w:hAnsi="Times New Roman" w:cs="Times New Roman"/>
          <w:lang w:val="es-AR"/>
        </w:rPr>
        <w:t>habitus</w:t>
      </w:r>
      <w:proofErr w:type="spellEnd"/>
      <w:r w:rsidRPr="00C231F1">
        <w:rPr>
          <w:rFonts w:ascii="Times New Roman" w:hAnsi="Times New Roman" w:cs="Times New Roman"/>
          <w:lang w:val="es-AR"/>
        </w:rPr>
        <w:t xml:space="preserve"> y en los condicionamientos idiosincrásicos producidos en la interacción en contextos socioculturales diferentes (Levinson, 2002). Las expectativas, por su parte, implican un balance del ´horizonte significativo de oportunidad´ (Schütz, 2003), de aquello que las y los estudiantes perfilan como posible tomando en cuenta las opciones y constreñimientos que vislumbran en la elección de un camino (Schütz 2003, p. 49). </w:t>
      </w:r>
    </w:p>
    <w:p w14:paraId="620BAA3F" w14:textId="06A55A08"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Ya en 2004, Filmus, Miranda y Otero mostraban que, cuando fueron </w:t>
      </w:r>
      <w:r w:rsidRPr="00C231F1">
        <w:rPr>
          <w:rFonts w:ascii="Times New Roman" w:hAnsi="Times New Roman" w:cs="Times New Roman"/>
          <w:lang w:val="es-AR"/>
        </w:rPr>
        <w:t>consultados al</w:t>
      </w:r>
      <w:r w:rsidRPr="00C231F1">
        <w:rPr>
          <w:rFonts w:ascii="Times New Roman" w:hAnsi="Times New Roman" w:cs="Times New Roman"/>
          <w:lang w:val="es-AR"/>
        </w:rPr>
        <w:t xml:space="preserve"> finalizar el último </w:t>
      </w:r>
      <w:r w:rsidRPr="00C231F1">
        <w:rPr>
          <w:rFonts w:ascii="Times New Roman" w:hAnsi="Times New Roman" w:cs="Times New Roman"/>
          <w:lang w:val="es-AR"/>
        </w:rPr>
        <w:t>año del</w:t>
      </w:r>
      <w:r w:rsidRPr="00C231F1">
        <w:rPr>
          <w:rFonts w:ascii="Times New Roman" w:hAnsi="Times New Roman" w:cs="Times New Roman"/>
          <w:lang w:val="es-AR"/>
        </w:rPr>
        <w:t xml:space="preserve"> colegio secundario, prácticamente todos los estudiantes -el 96%- </w:t>
      </w:r>
      <w:r w:rsidRPr="00C231F1">
        <w:rPr>
          <w:rFonts w:ascii="Times New Roman" w:hAnsi="Times New Roman" w:cs="Times New Roman"/>
          <w:lang w:val="es-AR"/>
        </w:rPr>
        <w:t>manifestaron su</w:t>
      </w:r>
      <w:r w:rsidRPr="00C231F1">
        <w:rPr>
          <w:rFonts w:ascii="Times New Roman" w:hAnsi="Times New Roman" w:cs="Times New Roman"/>
          <w:lang w:val="es-AR"/>
        </w:rPr>
        <w:t xml:space="preserve"> voluntad de continuar en estudios superiores (2004: 204). Varios años después, en ese mismo sentido, Corica (2012) y Di Piero, Garriga y Marchel (2024) afirman que las expectativas de los jóvenes de continuar con los estudios en el nivel superior al finalizar el nivel secundario existen y son generales. Por su parte, Corica señala que, si bien la esperanza de continuar con los estudios luego del nivel secundario existe, las proyecciones son diferentes según el sector social de la escuela. Con matices respecto del futuro laboral, las y los jóvenes de sectores altos y medios se proyectan finalizando los estudios universitarios, mientras que las y los jóvenes de clase baja “con mayor frecuencia no se imaginan estudiando o ponen más en duda la posibilidad de terminar estudios superiores” (Corica 2012, p. 212). En esa misma dirección, Santos Sharpe y </w:t>
      </w:r>
      <w:proofErr w:type="spellStart"/>
      <w:r w:rsidRPr="00C231F1">
        <w:rPr>
          <w:rFonts w:ascii="Times New Roman" w:hAnsi="Times New Roman" w:cs="Times New Roman"/>
          <w:lang w:val="es-AR"/>
        </w:rPr>
        <w:t>Nuñez</w:t>
      </w:r>
      <w:proofErr w:type="spellEnd"/>
      <w:r w:rsidRPr="00C231F1">
        <w:rPr>
          <w:rFonts w:ascii="Times New Roman" w:hAnsi="Times New Roman" w:cs="Times New Roman"/>
          <w:lang w:val="es-AR"/>
        </w:rPr>
        <w:t xml:space="preserve"> (2022) mostraron que el tipo de institución escolar incide en los imaginarios futuros de los y las jóvenes, configurando expectativas diferenciales, debido al carácter segmentado del sistema educativo (Braslavsky, 1985): la segmentación de la oferta escolar contribuye a “la conformación de diferentes imaginarios alrededor de su experiencia educativa, las implicancias de estudiar en determinado tipo de institución y las expectativas sobre su formación” (2022: 28). Aquí nos preguntamos, en esa línea, por las expectativas, aquello que “perfilan como posible” en el cruce con dimensiones de análisis.</w:t>
      </w:r>
    </w:p>
    <w:p w14:paraId="748F30B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b/>
          <w:bCs/>
          <w:lang w:val="es-AR"/>
        </w:rPr>
        <w:t>Expectativas estudiantiles luego de la secundaria</w:t>
      </w:r>
    </w:p>
    <w:p w14:paraId="344BCF2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En términos generales, la continuidad de algún tipo de formación educativa presenta suma centralidad en las expectativas de las y los estudiantes encuestados, como puede verse en </w:t>
      </w:r>
      <w:r w:rsidRPr="00C231F1">
        <w:rPr>
          <w:rFonts w:ascii="Times New Roman" w:hAnsi="Times New Roman" w:cs="Times New Roman"/>
          <w:lang w:val="es-AR"/>
        </w:rPr>
        <w:lastRenderedPageBreak/>
        <w:t>la Tabla 1. Por un lado, el 48,1% de la muestra respondió que, al finalizar la escuela, tiene expectativas de “estudiar y trabajar”, opción de respuesta seguida por “estudiar”, con un 34,7%. En síntesis, el 82,8% tiene expectativas de continuar estudiando, tanto quienes proyectan combinar estudio con trabajo o quienes esperan dedicarse al estudio exclusivamente. Por debajo, y con notable diferencia porcentual, 7,8% indicó que tiene expectativas de insertarse en el mercado laboral y un 5,8% indicó no saber. </w:t>
      </w:r>
    </w:p>
    <w:p w14:paraId="5B576894" w14:textId="77777777" w:rsidR="00C231F1" w:rsidRPr="00C231F1" w:rsidRDefault="00C231F1" w:rsidP="00C231F1">
      <w:pPr>
        <w:jc w:val="both"/>
        <w:rPr>
          <w:rFonts w:ascii="Times New Roman" w:hAnsi="Times New Roman" w:cs="Times New Roman"/>
          <w:lang w:val="es-AR"/>
        </w:rPr>
      </w:pPr>
    </w:p>
    <w:p w14:paraId="4353EC4D" w14:textId="77777777" w:rsidR="00C231F1" w:rsidRPr="005E66CC" w:rsidRDefault="00C231F1" w:rsidP="00C231F1">
      <w:pPr>
        <w:jc w:val="both"/>
        <w:rPr>
          <w:rFonts w:ascii="Times New Roman" w:hAnsi="Times New Roman" w:cs="Times New Roman"/>
          <w:lang w:val="es-AR"/>
        </w:rPr>
      </w:pPr>
      <w:r w:rsidRPr="005E66CC">
        <w:rPr>
          <w:rFonts w:ascii="Times New Roman" w:hAnsi="Times New Roman" w:cs="Times New Roman"/>
          <w:lang w:val="es-AR"/>
        </w:rPr>
        <w:t>Tabla 1. Expectativas sobre el futuro</w:t>
      </w:r>
    </w:p>
    <w:tbl>
      <w:tblPr>
        <w:tblW w:w="0" w:type="auto"/>
        <w:tblCellMar>
          <w:top w:w="15" w:type="dxa"/>
          <w:left w:w="15" w:type="dxa"/>
          <w:bottom w:w="15" w:type="dxa"/>
          <w:right w:w="15" w:type="dxa"/>
        </w:tblCellMar>
        <w:tblLook w:val="04A0" w:firstRow="1" w:lastRow="0" w:firstColumn="1" w:lastColumn="0" w:noHBand="0" w:noVBand="1"/>
      </w:tblPr>
      <w:tblGrid>
        <w:gridCol w:w="3327"/>
        <w:gridCol w:w="734"/>
      </w:tblGrid>
      <w:tr w:rsidR="00C231F1" w:rsidRPr="00C231F1" w14:paraId="70EE5F49" w14:textId="77777777">
        <w:trPr>
          <w:trHeight w:val="240"/>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59D2D7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Expectativas para el año próximo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9E568B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Total</w:t>
            </w:r>
          </w:p>
        </w:tc>
      </w:tr>
      <w:tr w:rsidR="00C231F1" w:rsidRPr="00C231F1" w14:paraId="498C034D"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A5FA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Estudiar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5C3F49E"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34,7%</w:t>
            </w:r>
          </w:p>
        </w:tc>
      </w:tr>
      <w:tr w:rsidR="00C231F1" w:rsidRPr="00C231F1" w14:paraId="6915BFB7"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B6779C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Estudiar y 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BB7110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48,1%</w:t>
            </w:r>
          </w:p>
        </w:tc>
      </w:tr>
      <w:tr w:rsidR="00C231F1" w:rsidRPr="00C231F1" w14:paraId="7C6828C4"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268BEE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7705B3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7,8%</w:t>
            </w:r>
          </w:p>
        </w:tc>
      </w:tr>
      <w:tr w:rsidR="00C231F1" w:rsidRPr="00C231F1" w14:paraId="000A2E18"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2F0EB9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Ni estudiar ni 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F8AEF4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0,3%</w:t>
            </w:r>
          </w:p>
        </w:tc>
      </w:tr>
      <w:tr w:rsidR="00C231F1" w:rsidRPr="00C231F1" w14:paraId="0278FEEE"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197042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Todavía no lo sé</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986C67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5,8%</w:t>
            </w:r>
          </w:p>
        </w:tc>
      </w:tr>
      <w:tr w:rsidR="00C231F1" w:rsidRPr="00C231F1" w14:paraId="3E659CC5"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6D8A44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Sin respuesta</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0245F3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3,1%</w:t>
            </w:r>
          </w:p>
        </w:tc>
      </w:tr>
      <w:tr w:rsidR="00C231F1" w:rsidRPr="00C231F1" w14:paraId="2639E0DE"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B3BF8A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6BFC6C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r>
    </w:tbl>
    <w:p w14:paraId="157461F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Fuente: Elaboración propia sobre la base de Encuesta Bonaerense a Estudiantes Secundarios (EBES- GESDES)</w:t>
      </w:r>
    </w:p>
    <w:p w14:paraId="2CDE245B" w14:textId="77777777" w:rsidR="00C231F1" w:rsidRPr="00C231F1" w:rsidRDefault="00C231F1" w:rsidP="00C231F1">
      <w:pPr>
        <w:jc w:val="both"/>
        <w:rPr>
          <w:rFonts w:ascii="Times New Roman" w:hAnsi="Times New Roman" w:cs="Times New Roman"/>
          <w:lang w:val="es-AR"/>
        </w:rPr>
      </w:pPr>
    </w:p>
    <w:p w14:paraId="61258DA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Más allá de este panorama alentador de expansión de las expectativas estudiantiles respecto de sus trayectorias postsecundarias, esta descripción general sobre la población no da cuenta de la trama de desigualdades que atraviesan las expectativas de las y los estudiantes. Tal como señalan investigaciones previas sobre el tema (Corica, 2012; </w:t>
      </w:r>
      <w:proofErr w:type="spellStart"/>
      <w:r w:rsidRPr="00C231F1">
        <w:rPr>
          <w:rFonts w:ascii="Times New Roman" w:hAnsi="Times New Roman" w:cs="Times New Roman"/>
          <w:lang w:val="es-AR"/>
        </w:rPr>
        <w:t>Ramirez</w:t>
      </w:r>
      <w:proofErr w:type="spellEnd"/>
      <w:r w:rsidRPr="00C231F1">
        <w:rPr>
          <w:rFonts w:ascii="Times New Roman" w:hAnsi="Times New Roman" w:cs="Times New Roman"/>
          <w:lang w:val="es-AR"/>
        </w:rPr>
        <w:t xml:space="preserve"> García, 2013; Di Piero Garriga Olmo y Marchel, 2024), las expectativas se encuentran desigualmente distribuidas entre las y los jóvenes. Por lo tanto, a </w:t>
      </w:r>
      <w:proofErr w:type="gramStart"/>
      <w:r w:rsidRPr="00C231F1">
        <w:rPr>
          <w:rFonts w:ascii="Times New Roman" w:hAnsi="Times New Roman" w:cs="Times New Roman"/>
          <w:lang w:val="es-AR"/>
        </w:rPr>
        <w:t>continuación</w:t>
      </w:r>
      <w:proofErr w:type="gramEnd"/>
      <w:r w:rsidRPr="00C231F1">
        <w:rPr>
          <w:rFonts w:ascii="Times New Roman" w:hAnsi="Times New Roman" w:cs="Times New Roman"/>
          <w:lang w:val="es-AR"/>
        </w:rPr>
        <w:t xml:space="preserve"> analizaremos las expectativas contemplando cinco variables independientes: clima educativo del hogar, género y el tipo de gestión de la escuela a la que asisten.</w:t>
      </w:r>
    </w:p>
    <w:p w14:paraId="6C13562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i/>
          <w:iCs/>
          <w:lang w:val="es-AR"/>
        </w:rPr>
        <w:t>Las expectativas de acuerdo al clima educativo del hogar: estudiar y trabajar como expectativa transversal</w:t>
      </w:r>
    </w:p>
    <w:p w14:paraId="3CDD478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lastRenderedPageBreak/>
        <w:t>El clima educativo del hogar de cada estudiante cobra relevancia a la hora de analizar las expectativas, que puede observarse en la Tabla 2. Cuando el clima educativo del hogar es alto, las y los estudiantes se vuelcan principalmente por la continuidad de trayectorias vinculadas únicamente al estudio (49,3%). Al mismo tiempo, son quienes depositan menos expectativas en la opción de únicamente insertarse en el mundo del trabajo (3,3%) y muestran menos incertidumbre (4% de respuestas de “todavía no lo sé").</w:t>
      </w:r>
    </w:p>
    <w:p w14:paraId="7942789B" w14:textId="2AD10561"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En contraste, para los casos de estudiantes de hogares de clima educativo bajo crecen las expectativas vinculadas a combinar estudio y trabajo (54,2%) y a dedicarse exclusivamente al trabajo (12,5%), además de </w:t>
      </w:r>
      <w:proofErr w:type="gramStart"/>
      <w:r w:rsidRPr="00C231F1">
        <w:rPr>
          <w:rFonts w:ascii="Times New Roman" w:hAnsi="Times New Roman" w:cs="Times New Roman"/>
          <w:lang w:val="es-AR"/>
        </w:rPr>
        <w:t>las indefinición</w:t>
      </w:r>
      <w:proofErr w:type="gramEnd"/>
      <w:r w:rsidRPr="00C231F1">
        <w:rPr>
          <w:rFonts w:ascii="Times New Roman" w:hAnsi="Times New Roman" w:cs="Times New Roman"/>
          <w:lang w:val="es-AR"/>
        </w:rPr>
        <w:t xml:space="preserve"> de las expectativas (7,0%). A su vez, disminuye la proyección de únicamente estudiar (20,6%).</w:t>
      </w:r>
    </w:p>
    <w:p w14:paraId="2AFC1D8C" w14:textId="77777777" w:rsidR="005E66CC" w:rsidRDefault="005E66CC" w:rsidP="00C231F1">
      <w:pPr>
        <w:jc w:val="both"/>
        <w:rPr>
          <w:rFonts w:ascii="Times New Roman" w:hAnsi="Times New Roman" w:cs="Times New Roman"/>
          <w:lang w:val="es-AR"/>
        </w:rPr>
      </w:pPr>
    </w:p>
    <w:p w14:paraId="0619D25D" w14:textId="2FC81C8D" w:rsidR="00C231F1" w:rsidRPr="005E66CC" w:rsidRDefault="00C231F1" w:rsidP="00C231F1">
      <w:pPr>
        <w:jc w:val="both"/>
        <w:rPr>
          <w:rFonts w:ascii="Times New Roman" w:hAnsi="Times New Roman" w:cs="Times New Roman"/>
          <w:lang w:val="es-AR"/>
        </w:rPr>
      </w:pPr>
      <w:r w:rsidRPr="005E66CC">
        <w:rPr>
          <w:rFonts w:ascii="Times New Roman" w:hAnsi="Times New Roman" w:cs="Times New Roman"/>
          <w:lang w:val="es-AR"/>
        </w:rPr>
        <w:t>Tabla 2. Expectativas sobre el futuro según clima educativo del hogar</w:t>
      </w:r>
    </w:p>
    <w:tbl>
      <w:tblPr>
        <w:tblW w:w="0" w:type="auto"/>
        <w:tblCellMar>
          <w:top w:w="15" w:type="dxa"/>
          <w:left w:w="15" w:type="dxa"/>
          <w:bottom w:w="15" w:type="dxa"/>
          <w:right w:w="15" w:type="dxa"/>
        </w:tblCellMar>
        <w:tblLook w:val="04A0" w:firstRow="1" w:lastRow="0" w:firstColumn="1" w:lastColumn="0" w:noHBand="0" w:noVBand="1"/>
      </w:tblPr>
      <w:tblGrid>
        <w:gridCol w:w="2792"/>
        <w:gridCol w:w="1865"/>
        <w:gridCol w:w="2001"/>
        <w:gridCol w:w="1826"/>
      </w:tblGrid>
      <w:tr w:rsidR="00C231F1" w:rsidRPr="00C231F1" w14:paraId="47BD3DB5" w14:textId="77777777">
        <w:trPr>
          <w:trHeight w:val="240"/>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7A7FD9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Expectativas para el año próximo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2B898D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Clima educativo bajo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ECB79A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Clima educativo medio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F06823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Clima educativo alto</w:t>
            </w:r>
          </w:p>
        </w:tc>
      </w:tr>
      <w:tr w:rsidR="00C231F1" w:rsidRPr="00C231F1" w14:paraId="5361B60E"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1F5338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Estudiar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6C695A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20,6%</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B68698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31,3%</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FA4767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49,3%</w:t>
            </w:r>
          </w:p>
        </w:tc>
      </w:tr>
      <w:tr w:rsidR="00C231F1" w:rsidRPr="00C231F1" w14:paraId="5901BC7E"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692167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Estudiar y 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D74DC3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54,2%</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7306BD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51,1%</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7A6E73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41,6%</w:t>
            </w:r>
          </w:p>
        </w:tc>
      </w:tr>
      <w:tr w:rsidR="00C231F1" w:rsidRPr="00C231F1" w14:paraId="129642F3"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2A9039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8FAAAB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12,5%</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3731A0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8,0%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1BB1EB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3,3%</w:t>
            </w:r>
          </w:p>
        </w:tc>
      </w:tr>
      <w:tr w:rsidR="00C231F1" w:rsidRPr="00C231F1" w14:paraId="354E22AA"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993306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Ni estudiar ni 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EB4CE3E"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0,2%</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958C67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0,3%</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DC18D1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0,3%</w:t>
            </w:r>
          </w:p>
        </w:tc>
      </w:tr>
      <w:tr w:rsidR="00C231F1" w:rsidRPr="00C231F1" w14:paraId="35904E53"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194AAE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Todavía no lo sé</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F6D1CE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7,0%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7FAEAF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6,2%</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013E04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4,0%</w:t>
            </w:r>
          </w:p>
        </w:tc>
      </w:tr>
      <w:tr w:rsidR="00C231F1" w:rsidRPr="00C231F1" w14:paraId="277D791B"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C199F0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Sin respuesta</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DF646A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5,6%</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C0050C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32898DE"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1,5%</w:t>
            </w:r>
          </w:p>
        </w:tc>
      </w:tr>
      <w:tr w:rsidR="00C231F1" w:rsidRPr="00C231F1" w14:paraId="266B9181"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39BCF5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B6DD78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FF151B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7D8E23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r>
    </w:tbl>
    <w:p w14:paraId="07B9D1D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Fuente: Elaboración propia sobre la base de Encuesta Bonaerense a Estudiantes Secundarios (EBES- GESDES)</w:t>
      </w:r>
    </w:p>
    <w:p w14:paraId="7EB2EB21" w14:textId="77777777" w:rsidR="00C231F1" w:rsidRPr="00C231F1" w:rsidRDefault="00C231F1" w:rsidP="00C231F1">
      <w:pPr>
        <w:jc w:val="both"/>
        <w:rPr>
          <w:rFonts w:ascii="Times New Roman" w:hAnsi="Times New Roman" w:cs="Times New Roman"/>
          <w:lang w:val="es-AR"/>
        </w:rPr>
      </w:pPr>
    </w:p>
    <w:p w14:paraId="30F357A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En definitiva, los datos presentados dan cuenta de la correlación que adquieren las expectativas de las y los estudiantes según el clima educativo del hogar. Esto se evidencia al ver que entre quienes respondieron “trabajar”, el porcentaje es más alto cuanto más bajo es el clima educativo del hogar, y se observa lo contrario para la opción de respuesta “estudiar”. La proyección de combinar estudio y trabajo es mayoritaria en todos los </w:t>
      </w:r>
      <w:r w:rsidRPr="00C231F1">
        <w:rPr>
          <w:rFonts w:ascii="Times New Roman" w:hAnsi="Times New Roman" w:cs="Times New Roman"/>
          <w:lang w:val="es-AR"/>
        </w:rPr>
        <w:lastRenderedPageBreak/>
        <w:t>grupos, pero adquiere más presencia a medida que disminuye el clima educativo. A su vez, resulta relevante señalar los bajos niveles de respuesta de la opción “Ni estudiar ni trabajar” en todos los casos, contrariamente a algunas visiones que, como dijimos, señalan que las y los jóvenes son apáticos o no cuentan con ningún tipo de expectativas con respecto a trabajar o estudiar.</w:t>
      </w:r>
    </w:p>
    <w:p w14:paraId="7C09EBD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i/>
          <w:iCs/>
          <w:lang w:val="es-AR"/>
        </w:rPr>
        <w:t>Las expectativas de acuerdo al género: mayor expectativa de estudiar entre las mujeres</w:t>
      </w:r>
    </w:p>
    <w:p w14:paraId="23A874E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Al analizar las expectativas según el género, plasmadas en la Tabla 3, encontramos que entre las estudiantes mujeres existen más expectativas vinculadas al estudio. Al combinar las opciones de respuesta “estudiar” y “estudiar y trabajar” el porcentaje es de 88,3%.</w:t>
      </w:r>
    </w:p>
    <w:p w14:paraId="10990FA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Por el contrario, si bien entre los hombres las respuestas mayoritarias también se vuelven hacia expectativas de “estudiar y trabajar” (44,3%) y “estudiar” (31,5%), poco más del 20% proyecta trabajar de forma exclusiva o aún no ha decidido. El porcentaje acumulado de hombres que responden “todavía no lo sé” y “trabajar” (21,0%) casi triplica al de las mujeres (8,2%). Es decir, entre los hombres encontramos más expectativas vinculadas al trabajo como así también más incertidumbres sobre el futuro que entre las mujeres. </w:t>
      </w:r>
    </w:p>
    <w:p w14:paraId="5AF9E4FD" w14:textId="77777777" w:rsidR="00C231F1" w:rsidRPr="00C231F1" w:rsidRDefault="00C231F1" w:rsidP="00C231F1">
      <w:pPr>
        <w:jc w:val="both"/>
        <w:rPr>
          <w:rFonts w:ascii="Times New Roman" w:hAnsi="Times New Roman" w:cs="Times New Roman"/>
          <w:lang w:val="es-AR"/>
        </w:rPr>
      </w:pPr>
    </w:p>
    <w:p w14:paraId="3FD292A8" w14:textId="77777777" w:rsidR="00C231F1" w:rsidRPr="005E66CC" w:rsidRDefault="00C231F1" w:rsidP="00C231F1">
      <w:pPr>
        <w:jc w:val="both"/>
        <w:rPr>
          <w:rFonts w:ascii="Times New Roman" w:hAnsi="Times New Roman" w:cs="Times New Roman"/>
          <w:lang w:val="es-AR"/>
        </w:rPr>
      </w:pPr>
      <w:r w:rsidRPr="005E66CC">
        <w:rPr>
          <w:rFonts w:ascii="Times New Roman" w:hAnsi="Times New Roman" w:cs="Times New Roman"/>
          <w:lang w:val="es-AR"/>
        </w:rPr>
        <w:t>Tabla 3. Expectativas sobre el futuro según género</w:t>
      </w:r>
    </w:p>
    <w:tbl>
      <w:tblPr>
        <w:tblW w:w="0" w:type="auto"/>
        <w:tblCellMar>
          <w:top w:w="15" w:type="dxa"/>
          <w:left w:w="15" w:type="dxa"/>
          <w:bottom w:w="15" w:type="dxa"/>
          <w:right w:w="15" w:type="dxa"/>
        </w:tblCellMar>
        <w:tblLook w:val="04A0" w:firstRow="1" w:lastRow="0" w:firstColumn="1" w:lastColumn="0" w:noHBand="0" w:noVBand="1"/>
      </w:tblPr>
      <w:tblGrid>
        <w:gridCol w:w="3327"/>
        <w:gridCol w:w="734"/>
        <w:gridCol w:w="734"/>
        <w:gridCol w:w="734"/>
      </w:tblGrid>
      <w:tr w:rsidR="00C231F1" w:rsidRPr="00C231F1" w14:paraId="4419AC1E" w14:textId="77777777">
        <w:trPr>
          <w:trHeight w:val="240"/>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C50FB3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Expectativas para el año próximo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9C2521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Varón</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ED2E49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Mujer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B973D5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Otros</w:t>
            </w:r>
          </w:p>
        </w:tc>
      </w:tr>
      <w:tr w:rsidR="00C231F1" w:rsidRPr="00C231F1" w14:paraId="606B242B"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7ECCF7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Estudiar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2E0F16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31,5%</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A9929E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37,6%</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0EA1D1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24,4%</w:t>
            </w:r>
          </w:p>
        </w:tc>
      </w:tr>
      <w:tr w:rsidR="00C231F1" w:rsidRPr="00C231F1" w14:paraId="4A7B3AEC"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957689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Estudiar y 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954B3C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44,3%</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181152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50,7%</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01681B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52,8%</w:t>
            </w:r>
          </w:p>
        </w:tc>
      </w:tr>
      <w:tr w:rsidR="00C231F1" w:rsidRPr="00C231F1" w14:paraId="28DC3373"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49049B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E691DD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13,3%</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1A9AC1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3,8%</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53B23E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4,4%</w:t>
            </w:r>
          </w:p>
        </w:tc>
      </w:tr>
      <w:tr w:rsidR="00C231F1" w:rsidRPr="00C231F1" w14:paraId="14AAD9DD"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2AE976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Ni estudiar ni 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EF1F42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0,6%</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32F369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54DCC7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6,7%</w:t>
            </w:r>
          </w:p>
        </w:tc>
      </w:tr>
      <w:tr w:rsidR="00C231F1" w:rsidRPr="00C231F1" w14:paraId="49D51E70"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974AFD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Todavía no lo sé</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C8A28DE"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7,7%</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B4E7FD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4,4%</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D8A9DD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9,4%</w:t>
            </w:r>
          </w:p>
        </w:tc>
      </w:tr>
      <w:tr w:rsidR="00C231F1" w:rsidRPr="00C231F1" w14:paraId="2B4CB3B6"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FFD7B7E"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Sin respuesta</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A774B3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2,7%</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D8D70E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3,5%</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630DAF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2,2%</w:t>
            </w:r>
          </w:p>
        </w:tc>
      </w:tr>
      <w:tr w:rsidR="00C231F1" w:rsidRPr="00C231F1" w14:paraId="78A22BDF"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897044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48B728E"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4B680D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87A588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r>
    </w:tbl>
    <w:p w14:paraId="0079F02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Fuente: Elaboración propia sobre la base de Encuesta Bonaerense a Estudiantes Secundarios (EBES- GESDES)</w:t>
      </w:r>
    </w:p>
    <w:p w14:paraId="60FE5EBB" w14:textId="77777777" w:rsidR="00C231F1" w:rsidRPr="00C231F1" w:rsidRDefault="00C231F1" w:rsidP="00C231F1">
      <w:pPr>
        <w:jc w:val="both"/>
        <w:rPr>
          <w:rFonts w:ascii="Times New Roman" w:hAnsi="Times New Roman" w:cs="Times New Roman"/>
          <w:lang w:val="es-AR"/>
        </w:rPr>
      </w:pPr>
    </w:p>
    <w:p w14:paraId="19851AF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lastRenderedPageBreak/>
        <w:t>Sin embargo, percibimos que la variable género adquiere nuevas interpretaciones en el cruce con el nivel educativo del hogar. Por ejemplo, entre hombres cuyo máximo nivel educativo del padre o la madre es primario completo, el porcentaje de quienes respondieron “trabajar” alcanza al 20,7% y 6,2% si es universitario completo. Entre las mujeres, cuando el máximo nivel educativo es universitario completo, la expectativa de estudiar es del 53,4% y la de trabajar 0,7%, pero del 22,7% y 7,5% respectivamente si el máximo nivel del padre o la madre es primario completo. </w:t>
      </w:r>
    </w:p>
    <w:p w14:paraId="2AD21E9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i/>
          <w:iCs/>
          <w:lang w:val="es-AR"/>
        </w:rPr>
        <w:t>Las expectativas de acuerdo al tipo de gestión de la escuela: mayor expectativa de estudiar entre estudiantes de escuelas de gestión privada</w:t>
      </w:r>
    </w:p>
    <w:p w14:paraId="6E755196" w14:textId="250652E9" w:rsid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A partir del tipo de gestión de la escuela también se observan expectativas diferentes entre las y los estudiantes, como se muestra en la Tabla 4. Entre quienes asisten a escuelas de gestión privada, las expectativas se vuelcan casi en su totalidad hacia las opciones “estudiar” y “estudiar y trabajar”, y alcanzan un porcentaje acumulado de 93,2%. En la comparación, sus pares de escuelas de gestión estatal expresan porcentajes más altos en las opciones de respuesta “todavía no lo sé” (7,2%), “trabajar” (11,1%) y no respuesta (4,9%). De todas formas, casi la mitad de este grupo opta por “estudiar y trabajar” (49,8%) y, al sumarle la opción de “estudiar” (26,6%), se acumula un porcentaje 75,8%. Es decir, tres tercios de las y los estudiantes de escuelas de gestión estatal proyectan continuar estudiando.</w:t>
      </w:r>
    </w:p>
    <w:p w14:paraId="5F806349" w14:textId="107B8A4C" w:rsidR="00C231F1" w:rsidRPr="005E66CC" w:rsidRDefault="00C231F1" w:rsidP="00C231F1">
      <w:pPr>
        <w:jc w:val="both"/>
        <w:rPr>
          <w:rFonts w:ascii="Times New Roman" w:hAnsi="Times New Roman" w:cs="Times New Roman"/>
          <w:lang w:val="es-AR"/>
        </w:rPr>
      </w:pPr>
      <w:r w:rsidRPr="005E66CC">
        <w:rPr>
          <w:rFonts w:ascii="Times New Roman" w:hAnsi="Times New Roman" w:cs="Times New Roman"/>
          <w:lang w:val="es-AR"/>
        </w:rPr>
        <w:t>Tabla 4. Expectativas sobre el futuro según tipo de gestión de la escuela</w:t>
      </w:r>
    </w:p>
    <w:tbl>
      <w:tblPr>
        <w:tblW w:w="0" w:type="auto"/>
        <w:tblCellMar>
          <w:top w:w="15" w:type="dxa"/>
          <w:left w:w="15" w:type="dxa"/>
          <w:bottom w:w="15" w:type="dxa"/>
          <w:right w:w="15" w:type="dxa"/>
        </w:tblCellMar>
        <w:tblLook w:val="04A0" w:firstRow="1" w:lastRow="0" w:firstColumn="1" w:lastColumn="0" w:noHBand="0" w:noVBand="1"/>
      </w:tblPr>
      <w:tblGrid>
        <w:gridCol w:w="3327"/>
        <w:gridCol w:w="768"/>
        <w:gridCol w:w="861"/>
      </w:tblGrid>
      <w:tr w:rsidR="00C231F1" w:rsidRPr="00C231F1" w14:paraId="039AB860" w14:textId="77777777">
        <w:trPr>
          <w:trHeight w:val="240"/>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B6DE12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Expectativas para el año próximo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162814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Estatal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B05ABC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Privado</w:t>
            </w:r>
          </w:p>
        </w:tc>
      </w:tr>
      <w:tr w:rsidR="00C231F1" w:rsidRPr="00C231F1" w14:paraId="7492D558"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9FE34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Estudiar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DDE578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26,6%</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5CFEBB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47,4%</w:t>
            </w:r>
          </w:p>
        </w:tc>
      </w:tr>
      <w:tr w:rsidR="00C231F1" w:rsidRPr="00C231F1" w14:paraId="56D2F20F"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00F999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Estudiar y 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183083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49,8%</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AE0380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45,5%</w:t>
            </w:r>
          </w:p>
        </w:tc>
      </w:tr>
      <w:tr w:rsidR="00C231F1" w:rsidRPr="00C231F1" w14:paraId="5CF6F16D"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59D112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5A7C7A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11,1%</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0A249D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2,7%</w:t>
            </w:r>
          </w:p>
        </w:tc>
      </w:tr>
      <w:tr w:rsidR="00C231F1" w:rsidRPr="00C231F1" w14:paraId="798F8227"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898D14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Ni estudiar ni trabajar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9A1026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0,4%</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0E62E6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0,3%</w:t>
            </w:r>
          </w:p>
        </w:tc>
      </w:tr>
      <w:tr w:rsidR="00C231F1" w:rsidRPr="00C231F1" w14:paraId="49EA651B"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18116B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Todavía no lo sé</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05150C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7,2%</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A93F9FE"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3,7%</w:t>
            </w:r>
          </w:p>
        </w:tc>
      </w:tr>
      <w:tr w:rsidR="00C231F1" w:rsidRPr="00C231F1" w14:paraId="0153EDE6"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035A2D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Sin respuesta</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4B5BAE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4,9%</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ACFCF6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0,4%</w:t>
            </w:r>
          </w:p>
        </w:tc>
      </w:tr>
      <w:tr w:rsidR="00C231F1" w:rsidRPr="00C231F1" w14:paraId="5D871999"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BDA375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D8AEE6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5EA032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r>
    </w:tbl>
    <w:p w14:paraId="22EDF22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Fuente: Elaboración propia sobre la base de Encuesta Bonaerense a Estudiantes Secundarios (EBES- GESDES)</w:t>
      </w:r>
    </w:p>
    <w:p w14:paraId="1D6F8767" w14:textId="77777777" w:rsidR="00C231F1" w:rsidRPr="00C231F1" w:rsidRDefault="00C231F1" w:rsidP="00C231F1">
      <w:pPr>
        <w:jc w:val="both"/>
        <w:rPr>
          <w:rFonts w:ascii="Times New Roman" w:hAnsi="Times New Roman" w:cs="Times New Roman"/>
          <w:lang w:val="es-AR"/>
        </w:rPr>
      </w:pPr>
    </w:p>
    <w:p w14:paraId="5AAA4DF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Sin embargo, publicaciones emergentes a partir de la investigación realizada en un PICT anterior por este mismo equipo (Di Piero, Garriga Olmo, Marchel, 2024) nos permite sostener que no es el tipo de gestión, presentado muchas veces a partir de la dicotomía escuela estatal/privada, lo que habilita distintas expectativas sino el accionar institucional –con sus directivos y docentes– en relación con ampliar los horizontes de origen y en la construcción de expectativas vinculadas al estudio. Allí encontramos que, en la comparación interinstitucional entre escuelas, “cada establecimiento otorga un sentido diferente a la problemática, y, en consecuencia, desarrolla prácticas y estrategias disímiles. Desde la mirada estudiantil, la implementación de políticas e iniciativas de articulación es valorada positivamente, pero muchas veces recae sobre la voluntad de un/a docente o directivo/a que los/as acompaña (o no) a exposiciones, muestras o difunde distintas iniciativas” (Di Piero, Garriga Olmo, Marchel, 2024, p. 44). Por lo tanto, consideramos que no es posible establecer una relación causal entre el tipo de gestión de la escuela y las expectativas de las y los estudiantes. </w:t>
      </w:r>
    </w:p>
    <w:p w14:paraId="527DC483" w14:textId="77777777" w:rsidR="00C231F1" w:rsidRPr="00C231F1" w:rsidRDefault="00C231F1" w:rsidP="00C231F1">
      <w:pPr>
        <w:jc w:val="both"/>
        <w:rPr>
          <w:rFonts w:ascii="Times New Roman" w:hAnsi="Times New Roman" w:cs="Times New Roman"/>
          <w:lang w:val="es-AR"/>
        </w:rPr>
      </w:pPr>
    </w:p>
    <w:p w14:paraId="3DE8AFE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b/>
          <w:bCs/>
          <w:lang w:val="es-AR"/>
        </w:rPr>
        <w:t>Influencia de la escuela en la conformación de expectativas sobre el año siguiente: factores sociales y educativos</w:t>
      </w:r>
    </w:p>
    <w:p w14:paraId="22B01FD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En la encuesta incorporamos algunas preguntas dirigidas a las y los estudiantes que respondieron que tenían expectativas de continuar estudiando (ya sea a nivel universitario o superior no universitario). Consultamos acerca de la disciplina y también sobre la institución en la que pensaban continuar sus trayectorias postescolares. En relación con esto, una de las preguntas indaga sobre la influencia que pudo tener o no la escuela: “¿</w:t>
      </w:r>
      <w:proofErr w:type="spellStart"/>
      <w:r w:rsidRPr="00C231F1">
        <w:rPr>
          <w:rFonts w:ascii="Times New Roman" w:hAnsi="Times New Roman" w:cs="Times New Roman"/>
          <w:lang w:val="es-AR"/>
        </w:rPr>
        <w:t>considerás</w:t>
      </w:r>
      <w:proofErr w:type="spellEnd"/>
      <w:r w:rsidRPr="00C231F1">
        <w:rPr>
          <w:rFonts w:ascii="Times New Roman" w:hAnsi="Times New Roman" w:cs="Times New Roman"/>
          <w:lang w:val="es-AR"/>
        </w:rPr>
        <w:t xml:space="preserve"> que la escuela secundaria aportó a estas elecciones?”. De esta manera, buscamos conocer si la escuela contribuyó, según las y los estudiantes, en sus elecciones y en la configuración de expectativas. Nuevamente, más allá de los datos generales, recuperamos el cruce con variables independientes: el clima educativo del hogar, el género y el tipo de gestión de la escuela.</w:t>
      </w:r>
    </w:p>
    <w:p w14:paraId="59C2FB9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En la Tabla 5 se despliegan los porcentajes de respuesta para el total de la muestra. En líneas generales, podemos afirmar que el peso que los/as estudiantes le otorgan a la escuela en sus elecciones es una idea transversal a los distintos sectores: no es percibida como un factor central en sus elecciones, lo cual sugiere que, desde su mirada, las decisiones sobre su futuro educativo se construyen principalmente fuera del ámbito escolar. Solamente para poco más de 1 de cada 4 (27,3%) estudiantes la escuela tuvo alguna influencia en su elección.</w:t>
      </w:r>
    </w:p>
    <w:p w14:paraId="7C5EDF77" w14:textId="77777777" w:rsidR="00C231F1" w:rsidRDefault="00C231F1" w:rsidP="00C231F1">
      <w:pPr>
        <w:jc w:val="both"/>
        <w:rPr>
          <w:rFonts w:ascii="Times New Roman" w:hAnsi="Times New Roman" w:cs="Times New Roman"/>
          <w:lang w:val="es-AR"/>
        </w:rPr>
      </w:pPr>
    </w:p>
    <w:p w14:paraId="6665D5B7" w14:textId="25C7C860" w:rsidR="00C231F1" w:rsidRPr="005E66CC" w:rsidRDefault="00C231F1" w:rsidP="00C231F1">
      <w:pPr>
        <w:jc w:val="both"/>
        <w:rPr>
          <w:rFonts w:ascii="Times New Roman" w:hAnsi="Times New Roman" w:cs="Times New Roman"/>
          <w:lang w:val="es-AR"/>
        </w:rPr>
      </w:pPr>
      <w:r w:rsidRPr="005E66CC">
        <w:rPr>
          <w:rFonts w:ascii="Times New Roman" w:hAnsi="Times New Roman" w:cs="Times New Roman"/>
          <w:lang w:val="es-AR"/>
        </w:rPr>
        <w:lastRenderedPageBreak/>
        <w:t>Tabla 5. Influencia de la escuela en las elecciones</w:t>
      </w:r>
    </w:p>
    <w:tbl>
      <w:tblPr>
        <w:tblW w:w="0" w:type="auto"/>
        <w:tblCellMar>
          <w:top w:w="15" w:type="dxa"/>
          <w:left w:w="15" w:type="dxa"/>
          <w:bottom w:w="15" w:type="dxa"/>
          <w:right w:w="15" w:type="dxa"/>
        </w:tblCellMar>
        <w:tblLook w:val="04A0" w:firstRow="1" w:lastRow="0" w:firstColumn="1" w:lastColumn="0" w:noHBand="0" w:noVBand="1"/>
      </w:tblPr>
      <w:tblGrid>
        <w:gridCol w:w="3752"/>
        <w:gridCol w:w="734"/>
      </w:tblGrid>
      <w:tr w:rsidR="00C231F1" w:rsidRPr="00C231F1" w14:paraId="5387910B" w14:textId="77777777">
        <w:trPr>
          <w:trHeight w:val="240"/>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BC4B74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Influencia de la escuela en la elección</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4B80AE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Total</w:t>
            </w:r>
          </w:p>
        </w:tc>
      </w:tr>
      <w:tr w:rsidR="00C231F1" w:rsidRPr="00C231F1" w14:paraId="47AF7915"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2D42B5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08F61F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27,3%</w:t>
            </w:r>
          </w:p>
        </w:tc>
      </w:tr>
      <w:tr w:rsidR="00C231F1" w:rsidRPr="00C231F1" w14:paraId="3273CEE3"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1C507C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Tal vez</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EC90FE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34,2%</w:t>
            </w:r>
          </w:p>
        </w:tc>
      </w:tr>
      <w:tr w:rsidR="00C231F1" w:rsidRPr="00C231F1" w14:paraId="1B203FDA"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FD4965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No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99819B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27,9%</w:t>
            </w:r>
          </w:p>
        </w:tc>
      </w:tr>
      <w:tr w:rsidR="00C231F1" w:rsidRPr="00C231F1" w14:paraId="44EB9EA4"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F3E600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Sin respuesta</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6F660C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0,6%</w:t>
            </w:r>
          </w:p>
        </w:tc>
      </w:tr>
      <w:tr w:rsidR="00C231F1" w:rsidRPr="00C231F1" w14:paraId="7AE8EA58"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E31C61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688D88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r>
    </w:tbl>
    <w:p w14:paraId="547330A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Fuente: Elaboración propia sobre la base de Encuesta Bonaerense a Estudiantes Secundarios (EBES- GESDES)</w:t>
      </w:r>
    </w:p>
    <w:p w14:paraId="621F1651" w14:textId="77777777" w:rsidR="00C231F1" w:rsidRPr="00C231F1" w:rsidRDefault="00C231F1" w:rsidP="00C231F1">
      <w:pPr>
        <w:jc w:val="both"/>
        <w:rPr>
          <w:rFonts w:ascii="Times New Roman" w:hAnsi="Times New Roman" w:cs="Times New Roman"/>
          <w:lang w:val="es-AR"/>
        </w:rPr>
      </w:pPr>
    </w:p>
    <w:p w14:paraId="1233BC4C" w14:textId="7EA78052"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Por otro lado, el porcentaje es mayor entre estudiantes de hogares de clima educativo bajo (31,1%), como se refleja en la Tabla 6. Atendiendo a esta misma variable, un fenómeno similar encontramos entre quienes respondieron que la escuela “tal vez” brindó algún aporte en su elección. Mientras que los porcentajes más altos de las respuestas negativas son de estudiantes con madre o padre con título universitario completo (41,8%). </w:t>
      </w:r>
    </w:p>
    <w:p w14:paraId="65CB7571" w14:textId="77777777" w:rsidR="00C231F1" w:rsidRPr="005E66CC" w:rsidRDefault="00C231F1" w:rsidP="00C231F1">
      <w:pPr>
        <w:jc w:val="both"/>
        <w:rPr>
          <w:rFonts w:ascii="Times New Roman" w:hAnsi="Times New Roman" w:cs="Times New Roman"/>
          <w:lang w:val="es-AR"/>
        </w:rPr>
      </w:pPr>
      <w:r w:rsidRPr="005E66CC">
        <w:rPr>
          <w:rFonts w:ascii="Times New Roman" w:hAnsi="Times New Roman" w:cs="Times New Roman"/>
          <w:lang w:val="es-AR"/>
        </w:rPr>
        <w:t>Tabla 6. Influencia de la escuela en las elecciones según clima educativo del hogar</w:t>
      </w:r>
    </w:p>
    <w:tbl>
      <w:tblPr>
        <w:tblW w:w="0" w:type="auto"/>
        <w:tblCellMar>
          <w:top w:w="15" w:type="dxa"/>
          <w:left w:w="15" w:type="dxa"/>
          <w:bottom w:w="15" w:type="dxa"/>
          <w:right w:w="15" w:type="dxa"/>
        </w:tblCellMar>
        <w:tblLook w:val="04A0" w:firstRow="1" w:lastRow="0" w:firstColumn="1" w:lastColumn="0" w:noHBand="0" w:noVBand="1"/>
      </w:tblPr>
      <w:tblGrid>
        <w:gridCol w:w="2929"/>
        <w:gridCol w:w="1821"/>
        <w:gridCol w:w="1950"/>
        <w:gridCol w:w="1784"/>
      </w:tblGrid>
      <w:tr w:rsidR="00C231F1" w:rsidRPr="00C231F1" w14:paraId="303CE073" w14:textId="77777777">
        <w:trPr>
          <w:trHeight w:val="240"/>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96554F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Influencia de la escuela en la elección</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F79EE5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Clima educativo bajo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3BA1CB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Clima educativo medio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5EC2B1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Clima educativo alto</w:t>
            </w:r>
          </w:p>
        </w:tc>
      </w:tr>
      <w:tr w:rsidR="00C231F1" w:rsidRPr="00C231F1" w14:paraId="3F50FF71"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A7B7B3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E33965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31,1%</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C1C91B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26,8%</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F0F76E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26,3%</w:t>
            </w:r>
          </w:p>
        </w:tc>
      </w:tr>
      <w:tr w:rsidR="00C231F1" w:rsidRPr="00C231F1" w14:paraId="7CF294C1"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1645A3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Tal vez</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1E57A0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37,7%</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B86F8B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35,2%</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FF873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31,3%</w:t>
            </w:r>
          </w:p>
        </w:tc>
      </w:tr>
      <w:tr w:rsidR="00C231F1" w:rsidRPr="00C231F1" w14:paraId="67B24F6C"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141992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No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C9DAD3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31,0%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80AB8F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37,3%</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E6805C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41,8%</w:t>
            </w:r>
          </w:p>
        </w:tc>
      </w:tr>
      <w:tr w:rsidR="00C231F1" w:rsidRPr="00C231F1" w14:paraId="1CEF588E"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E9DE1E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Sin respuesta</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9F0954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0,2%</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D9B219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0,6%</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363F65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0,6%</w:t>
            </w:r>
          </w:p>
        </w:tc>
      </w:tr>
      <w:tr w:rsidR="00C231F1" w:rsidRPr="00C231F1" w14:paraId="0375CE0A"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525025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7D7E41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056962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4CA644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r>
    </w:tbl>
    <w:p w14:paraId="596E0BB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Fuente: Elaboración propia sobre la base de Encuesta Bonaerense a Estudiantes Secundarios (EBES- GESDES)</w:t>
      </w:r>
    </w:p>
    <w:p w14:paraId="3577DA0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lastRenderedPageBreak/>
        <w:t>En otras palabras, a menor clima educativo familiar, mayor reconocimiento de influencia escolar. y a mayor clima educativo, menor tendencia a reconocer que la escuela influyó. Este resultado no implica sostener que la escuela carezca de influencia en las elecciones y expectativas de las y los estudiantes de mayor clima educativo. Por el contrario, la institución escolar continúa operando como un espacio que otorga y amplía ventajas, tal como describimos en el trabajo de investigación que realizamos anteriormente (Di Piero, 2024). Sin embargo, en las percepciones estudiantiles, sobre de los sectores de clima educativo más alto, dicha influencia tiende a desdibujarse frente a otros factores.</w:t>
      </w:r>
    </w:p>
    <w:p w14:paraId="51F4403E"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Al observar cómo se vincula esta percepción con el género, tal como muestra la Tabla 7, no se observan diferencias sustantivas. No obstante, resulta llamativo el alto porcentaje de no respuesta de los varones (24, 4%), el cual duplica al registrado entre mujeres.</w:t>
      </w:r>
    </w:p>
    <w:p w14:paraId="22517479" w14:textId="77777777" w:rsidR="00C231F1" w:rsidRPr="00C231F1" w:rsidRDefault="00C231F1" w:rsidP="00C231F1">
      <w:pPr>
        <w:jc w:val="both"/>
        <w:rPr>
          <w:rFonts w:ascii="Times New Roman" w:hAnsi="Times New Roman" w:cs="Times New Roman"/>
          <w:lang w:val="es-AR"/>
        </w:rPr>
      </w:pPr>
    </w:p>
    <w:p w14:paraId="29EE19A7" w14:textId="77777777" w:rsidR="00C231F1" w:rsidRPr="005E66CC" w:rsidRDefault="00C231F1" w:rsidP="00C231F1">
      <w:pPr>
        <w:jc w:val="both"/>
        <w:rPr>
          <w:rFonts w:ascii="Times New Roman" w:hAnsi="Times New Roman" w:cs="Times New Roman"/>
          <w:lang w:val="es-AR"/>
        </w:rPr>
      </w:pPr>
      <w:r w:rsidRPr="005E66CC">
        <w:rPr>
          <w:rFonts w:ascii="Times New Roman" w:hAnsi="Times New Roman" w:cs="Times New Roman"/>
          <w:lang w:val="es-AR"/>
        </w:rPr>
        <w:t>Tabla 7. Influencia de la escuela en las elecciones según género</w:t>
      </w:r>
    </w:p>
    <w:tbl>
      <w:tblPr>
        <w:tblW w:w="0" w:type="auto"/>
        <w:tblCellMar>
          <w:top w:w="15" w:type="dxa"/>
          <w:left w:w="15" w:type="dxa"/>
          <w:bottom w:w="15" w:type="dxa"/>
          <w:right w:w="15" w:type="dxa"/>
        </w:tblCellMar>
        <w:tblLook w:val="04A0" w:firstRow="1" w:lastRow="0" w:firstColumn="1" w:lastColumn="0" w:noHBand="0" w:noVBand="1"/>
      </w:tblPr>
      <w:tblGrid>
        <w:gridCol w:w="3752"/>
        <w:gridCol w:w="734"/>
        <w:gridCol w:w="734"/>
        <w:gridCol w:w="734"/>
      </w:tblGrid>
      <w:tr w:rsidR="00C231F1" w:rsidRPr="00C231F1" w14:paraId="46158647" w14:textId="77777777">
        <w:trPr>
          <w:trHeight w:val="240"/>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E5AF16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Influencia de la escuela en la elección</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1EB350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Varón</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75D89F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Mujer</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A825C2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Otros</w:t>
            </w:r>
          </w:p>
        </w:tc>
      </w:tr>
      <w:tr w:rsidR="00C231F1" w:rsidRPr="00C231F1" w14:paraId="3453F751"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2CD2A4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3DBF9D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20,4%</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90CF70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24,2%</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16E021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18,9%</w:t>
            </w:r>
          </w:p>
        </w:tc>
      </w:tr>
      <w:tr w:rsidR="00C231F1" w:rsidRPr="00C231F1" w14:paraId="44367DB9"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4439DA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Tal vez</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104684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25,9%</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121971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30,9%</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0ADBCF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24,4%</w:t>
            </w:r>
          </w:p>
        </w:tc>
      </w:tr>
      <w:tr w:rsidR="00C231F1" w:rsidRPr="00C231F1" w14:paraId="7BAE6758"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981F05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No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8ED4E5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29,3%</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2E2025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32,7%</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80B50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33,3%</w:t>
            </w:r>
          </w:p>
        </w:tc>
      </w:tr>
      <w:tr w:rsidR="00C231F1" w:rsidRPr="00C231F1" w14:paraId="0857E314"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CBFA0F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Sin respuesta</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E8E0EB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24,4%</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AD6B81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12,1%</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A60A2F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22,3%</w:t>
            </w:r>
          </w:p>
        </w:tc>
      </w:tr>
      <w:tr w:rsidR="00C231F1" w:rsidRPr="00C231F1" w14:paraId="08ABEC95"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EAF1C7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EE4669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B40626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00C086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r>
    </w:tbl>
    <w:p w14:paraId="469FBF5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Fuente: Elaboración propia sobre la base de Encuesta Bonaerense a Estudiantes Secundarios (EBES- GESDES)</w:t>
      </w:r>
    </w:p>
    <w:p w14:paraId="797C0A59" w14:textId="77777777" w:rsidR="00C231F1" w:rsidRPr="00C231F1" w:rsidRDefault="00C231F1" w:rsidP="00C231F1">
      <w:pPr>
        <w:jc w:val="both"/>
        <w:rPr>
          <w:rFonts w:ascii="Times New Roman" w:hAnsi="Times New Roman" w:cs="Times New Roman"/>
          <w:lang w:val="es-AR"/>
        </w:rPr>
      </w:pPr>
    </w:p>
    <w:p w14:paraId="26A5FCC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Para la diferenciación según tipo de gestión, disponible en la Tabla 8, los datos obtenidos permiten mostrar que las y los estudiantes de sector privado, al igual que sucede con estudiantes de clima educativo del hogar alto, afirman casi con el 40% que la escuela no influyó en sus elecciones, lo cual permite deducir que las mismas son menos dependientes de mediaciones escolares. Por otro lado, en las y los estudiantes pertenecientes al sector estatal encontramos que si bien el porcentaje de “no” es menor (26,5%) –lo cual es consistente con el patrón por clima educativo del hogar–, llama la atención el alto número de estudiantes que no respondieron a esta pregunta (23,9%).</w:t>
      </w:r>
    </w:p>
    <w:p w14:paraId="48E04A12" w14:textId="77777777" w:rsidR="00C231F1" w:rsidRPr="00C231F1" w:rsidRDefault="00C231F1" w:rsidP="00C231F1">
      <w:pPr>
        <w:jc w:val="both"/>
        <w:rPr>
          <w:rFonts w:ascii="Times New Roman" w:hAnsi="Times New Roman" w:cs="Times New Roman"/>
          <w:lang w:val="es-AR"/>
        </w:rPr>
      </w:pPr>
    </w:p>
    <w:p w14:paraId="5F866935" w14:textId="77777777" w:rsidR="00C231F1" w:rsidRPr="005E66CC" w:rsidRDefault="00C231F1" w:rsidP="00C231F1">
      <w:pPr>
        <w:jc w:val="both"/>
        <w:rPr>
          <w:rFonts w:ascii="Times New Roman" w:hAnsi="Times New Roman" w:cs="Times New Roman"/>
          <w:lang w:val="es-AR"/>
        </w:rPr>
      </w:pPr>
      <w:r w:rsidRPr="005E66CC">
        <w:rPr>
          <w:rFonts w:ascii="Times New Roman" w:hAnsi="Times New Roman" w:cs="Times New Roman"/>
          <w:lang w:val="es-AR"/>
        </w:rPr>
        <w:t>Tabla 8. Influencia de la escuela en las elecciones según tipo de gestión de la escuela</w:t>
      </w:r>
    </w:p>
    <w:tbl>
      <w:tblPr>
        <w:tblW w:w="0" w:type="auto"/>
        <w:tblCellMar>
          <w:top w:w="15" w:type="dxa"/>
          <w:left w:w="15" w:type="dxa"/>
          <w:bottom w:w="15" w:type="dxa"/>
          <w:right w:w="15" w:type="dxa"/>
        </w:tblCellMar>
        <w:tblLook w:val="04A0" w:firstRow="1" w:lastRow="0" w:firstColumn="1" w:lastColumn="0" w:noHBand="0" w:noVBand="1"/>
      </w:tblPr>
      <w:tblGrid>
        <w:gridCol w:w="3752"/>
        <w:gridCol w:w="768"/>
        <w:gridCol w:w="848"/>
      </w:tblGrid>
      <w:tr w:rsidR="00C231F1" w:rsidRPr="00C231F1" w14:paraId="7EC3666D" w14:textId="77777777">
        <w:trPr>
          <w:trHeight w:val="240"/>
        </w:trPr>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27EF9D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Influencia de la escuela en la elección</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C43499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Estatal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C6A8D8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Privada</w:t>
            </w:r>
          </w:p>
        </w:tc>
      </w:tr>
      <w:tr w:rsidR="00C231F1" w:rsidRPr="00C231F1" w14:paraId="6AAD8144"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93D584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16FD52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22,0%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2A506E8B"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23,3%</w:t>
            </w:r>
          </w:p>
        </w:tc>
      </w:tr>
      <w:tr w:rsidR="00C231F1" w:rsidRPr="00C231F1" w14:paraId="3CEC5A38"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D45057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Tal vez</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BEE7D9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27,6%</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7540264"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30,4%</w:t>
            </w:r>
          </w:p>
        </w:tc>
      </w:tr>
      <w:tr w:rsidR="00C231F1" w:rsidRPr="00C231F1" w14:paraId="09F99521"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24DF06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No</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30CAC5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26,5%</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83D127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38,9%</w:t>
            </w:r>
          </w:p>
        </w:tc>
      </w:tr>
      <w:tr w:rsidR="00C231F1" w:rsidRPr="00C231F1" w14:paraId="27226908"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6DAD42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Sin respuesta</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540A9D3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23,9%</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363EED4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7,4%</w:t>
            </w:r>
          </w:p>
        </w:tc>
      </w:tr>
      <w:tr w:rsidR="00C231F1" w:rsidRPr="00C231F1" w14:paraId="1FD8AB0B" w14:textId="77777777">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E242B6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Total</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7CA0E90C"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c>
          <w:tcPr>
            <w:tcW w:w="0" w:type="auto"/>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4419763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100%</w:t>
            </w:r>
          </w:p>
        </w:tc>
      </w:tr>
    </w:tbl>
    <w:p w14:paraId="56268C0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Fuente: Elaboración propia sobre la base de Encuesta Bonaerense a Estudiantes Secundarios (EBES- GESDES)</w:t>
      </w:r>
    </w:p>
    <w:p w14:paraId="1FD6C9E1" w14:textId="77777777" w:rsidR="00C231F1" w:rsidRPr="00C231F1" w:rsidRDefault="00C231F1" w:rsidP="00C231F1">
      <w:pPr>
        <w:jc w:val="both"/>
        <w:rPr>
          <w:rFonts w:ascii="Times New Roman" w:hAnsi="Times New Roman" w:cs="Times New Roman"/>
          <w:lang w:val="es-AR"/>
        </w:rPr>
      </w:pPr>
    </w:p>
    <w:p w14:paraId="0E0B6E5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En síntesis, los resultados muestran que la escuela secundaria no es percibida por la mayoría de las y los estudiantes como un factor decisivo en la configuración de sus expectativas futuras y la toma de decisiones sobre sus trayectorias, sin </w:t>
      </w:r>
      <w:proofErr w:type="gramStart"/>
      <w:r w:rsidRPr="00C231F1">
        <w:rPr>
          <w:rFonts w:ascii="Times New Roman" w:hAnsi="Times New Roman" w:cs="Times New Roman"/>
          <w:lang w:val="es-AR"/>
        </w:rPr>
        <w:t>embargo</w:t>
      </w:r>
      <w:proofErr w:type="gramEnd"/>
      <w:r w:rsidRPr="00C231F1">
        <w:rPr>
          <w:rFonts w:ascii="Times New Roman" w:hAnsi="Times New Roman" w:cs="Times New Roman"/>
          <w:lang w:val="es-AR"/>
        </w:rPr>
        <w:t xml:space="preserve"> esta afirmación presenta matices. Mientras las y los jóvenes provenientes de hogares con menor clima educativo presentan los porcentajes más altos de reconocimiento de la influencia escolar en sus decisiones, entre sus pares de hogares de clima educativo alto se registran las proporciones más elevadas de respuesta que señalan que la escuela no incidió en sus elecciones. Esto sugiere que la relevancia atribuida a la institución escolar varía en función de los recursos familiares disponibles para orientar las trayectorias educativas. En cuanto al tipo de gestión de la escuela, se observan diferencias que refuerzan las tendencias identificadas según el clima educativo del hogar, las y los estudiantes del sector privado tienden a percibir que sus decisiones están menos vinculadas con la intervención escolar, en comparación con quienes asisten a escuelas de gestión estatal.</w:t>
      </w:r>
    </w:p>
    <w:p w14:paraId="6794E2E2" w14:textId="77777777" w:rsidR="00C231F1" w:rsidRPr="00C231F1" w:rsidRDefault="00C231F1" w:rsidP="00C231F1">
      <w:pPr>
        <w:jc w:val="both"/>
        <w:rPr>
          <w:rFonts w:ascii="Times New Roman" w:hAnsi="Times New Roman" w:cs="Times New Roman"/>
          <w:lang w:val="es-AR"/>
        </w:rPr>
      </w:pPr>
    </w:p>
    <w:p w14:paraId="55D0EBC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b/>
          <w:bCs/>
          <w:lang w:val="es-AR"/>
        </w:rPr>
        <w:t>Reflexiones finales</w:t>
      </w:r>
    </w:p>
    <w:p w14:paraId="4AF28F9B" w14:textId="5EAFDB34"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En conclusión, a partir de las respuestas</w:t>
      </w:r>
      <w:r>
        <w:rPr>
          <w:rFonts w:ascii="Times New Roman" w:hAnsi="Times New Roman" w:cs="Times New Roman"/>
          <w:lang w:val="es-AR"/>
        </w:rPr>
        <w:t>,</w:t>
      </w:r>
      <w:r w:rsidRPr="00C231F1">
        <w:rPr>
          <w:rFonts w:ascii="Times New Roman" w:hAnsi="Times New Roman" w:cs="Times New Roman"/>
          <w:lang w:val="es-AR"/>
        </w:rPr>
        <w:t xml:space="preserve"> encontramos que las expectativas de continuidad educativa son amplias: la continuidad de algún tipo de educación formal es elegida por el 85,5% de las personas encuestadas. Más allá de este panorama alentador en lo que respecta a las expectativas estudiantiles sobre sus trayectorias postsecundarias, esta </w:t>
      </w:r>
      <w:r w:rsidRPr="00C231F1">
        <w:rPr>
          <w:rFonts w:ascii="Times New Roman" w:hAnsi="Times New Roman" w:cs="Times New Roman"/>
          <w:lang w:val="es-AR"/>
        </w:rPr>
        <w:lastRenderedPageBreak/>
        <w:t>descripción general sobre la población no nos deja ver la trama de desigualdades que incide en esas expectativas.</w:t>
      </w:r>
    </w:p>
    <w:p w14:paraId="567C046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En relación con el clima educativo familiar, se observa que quienes provienen de hogares con mayores niveles educativos tienden a proyectar trayectorias centradas exclusivamente en el estudio, mientras que en los hogares con menor capital educativo aumenta la expectativa de incorporarse al trabajo. Asimismo, resulta relevante que la opción de no estudiar ni trabajar presenta una incidencia muy baja en todos los grupos analizados, lo que cuestiona los discursos que caracterizan a las juventudes como desinteresadas o carentes de proyectos educativos y laborales. </w:t>
      </w:r>
    </w:p>
    <w:p w14:paraId="6EC0B34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Las diferencias de género también inciden en las expectativas futuras. Las mujeres manifiestan una mayor orientación hacia la continuidad de los estudios, mientras que los varones expresan una mayor predisposición al trabajo y mayores niveles de incertidumbre respecto de su futuro. Sin embargo, en ambos casos predominan las expectativas vinculadas a la formación educativa, ya sea de manera exclusiva o en combinación con una actividad laboral. </w:t>
      </w:r>
    </w:p>
    <w:p w14:paraId="71A9E9C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Respecto del tipo de gestión de la escuela, entre quienes asisten a escuelas de gestión privada, las expectativas se vuelcan casi en su totalidad hacia las opciones que contemplan el estudio, de forma exclusiva o junto con el trabajo. Mientras que, en la comparación, la incertidumbre y las expectativas de dedicarse únicamente al trabajo son más altas entre estudiantes que asisten a escuelas de gestión estatal. </w:t>
      </w:r>
    </w:p>
    <w:p w14:paraId="1E7977D8"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En síntesis, más allá de la ampliación de las expectativas, persisten dinámicas vinculadas al peso relativo de la institución educativa y a las desigualdades en todas las dimensiones abordadas que atraviesan las expectativas proyectadas por los estudiantes para el periodo posterior al egreso de la escuela secundaria. </w:t>
      </w:r>
    </w:p>
    <w:p w14:paraId="34F74E2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Con respecto al peso que las y los estudiantes otorgan a la escuela secundaria en sus elecciones sobre la continuidad de sus estudios, se trata de una idea transversal a los distintos sectores: la misma no es percibida como un factor central en las elecciones de las y los estudiantes, lo cual sugiere que, desde su mirada, las decisiones sobre su futuro educativo se construyen principalmente fuera del ámbito escolar. </w:t>
      </w:r>
    </w:p>
    <w:p w14:paraId="0E7DAF85"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En el análisis por variables encontramos que, a menor clima educativo familiar, mayor reconocimiento de influencia escolar, y a mayor clima educativo, menor tendencia a reconocer que la escuela influyó. Este resultado no implica sostener que la escuela carezca de influencia en las y los estudiantes de mayor clima educativo. Por el contrario, la institución escolar continúa operando como un espacio que otorga y amplía ventajas, tal como describimos en el trabajo de investigación cualitativo que realizamos anteriormente </w:t>
      </w:r>
      <w:r w:rsidRPr="00C231F1">
        <w:rPr>
          <w:rFonts w:ascii="Times New Roman" w:hAnsi="Times New Roman" w:cs="Times New Roman"/>
          <w:lang w:val="es-AR"/>
        </w:rPr>
        <w:lastRenderedPageBreak/>
        <w:t>(Di Piero, Garriga Olmo y Marchel, 2024). Sin embargo, en las perspectivas estudiantiles dicha influencia tiende a desdibujarse frente a otros factores.</w:t>
      </w:r>
    </w:p>
    <w:p w14:paraId="06C33F2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En cuanto al género no se observan diferencias sustantivas, empero resulta llamativo el alto porcentaje de no respuesta de los varones, el cual duplica al registrado entre mujeres. Para la diferenciación según tipo de gestión, los datos obtenidos permiten ver que las y los estudiantes de sector privado, al igual que sucede con estudiantes de clima educativo familiar alto, afirman casi con el que la escuela no influyó en sus elecciones, es decir que las mismas son, en sus miradas, menos dependientes de mediaciones escolares. </w:t>
      </w:r>
    </w:p>
    <w:p w14:paraId="0B59CF9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En torno a esta misma preocupación acerca de los factores escolares y los factores sociales, en una publicación anterior de este equipo (Di Piero, Garriga Olmo, Marchel, 2024), a partir de una indagación cualitativa observábamos que el trabajo diferencial de las instituciones para moldear las expectativas a futuro y, en particular, respecto de los estudios superiores, incidía: la mayor precisión en las decisiones se encontraba entre estudiantes de sectores medios-altos que habían atravesado, a su vez, propuestas institucionales de trabajo sobre esas expectativas, en una dinámica de acumulación de ventajas (</w:t>
      </w:r>
      <w:proofErr w:type="spellStart"/>
      <w:r w:rsidRPr="00C231F1">
        <w:rPr>
          <w:rFonts w:ascii="Times New Roman" w:hAnsi="Times New Roman" w:cs="Times New Roman"/>
          <w:lang w:val="es-AR"/>
        </w:rPr>
        <w:t>Saraví</w:t>
      </w:r>
      <w:proofErr w:type="spellEnd"/>
      <w:r w:rsidRPr="00C231F1">
        <w:rPr>
          <w:rFonts w:ascii="Times New Roman" w:hAnsi="Times New Roman" w:cs="Times New Roman"/>
          <w:lang w:val="es-AR"/>
        </w:rPr>
        <w:t xml:space="preserve">, 2020) en comparación con estudiantes de sectores populares. En esta investigación cuantitativa encontramos que el peso otorgado al accionar institucional varía según el sector social de origen, pero lo hace en sentido inverso al antes visto: estudiantes de sectores desfavorecidos valoran en mayor medida la influencia de la escuela. Sin embargo, importa destacar aquí que se trata del peso percibido por las y los estudiantes, aspecto que consideramos de suma relevancia pero que no configura necesariamente sus trayectorias postescolares. De ese modo, si bien podría parecer contradictorio, no lo es indefectiblemente, dado que se trata de las perspectivas estudiantiles y, en esas perspectivas, quienes provienen de sectores favorecidos no reconocen en las instituciones educativas el espacio que más ha incidido sobre sus decisiones a futuro: las expectativas que tienen sobre la escuela </w:t>
      </w:r>
      <w:proofErr w:type="gramStart"/>
      <w:r w:rsidRPr="00C231F1">
        <w:rPr>
          <w:rFonts w:ascii="Times New Roman" w:hAnsi="Times New Roman" w:cs="Times New Roman"/>
          <w:lang w:val="es-AR"/>
        </w:rPr>
        <w:t>es</w:t>
      </w:r>
      <w:proofErr w:type="gramEnd"/>
      <w:r w:rsidRPr="00C231F1">
        <w:rPr>
          <w:rFonts w:ascii="Times New Roman" w:hAnsi="Times New Roman" w:cs="Times New Roman"/>
          <w:lang w:val="es-AR"/>
        </w:rPr>
        <w:t xml:space="preserve"> distinta según sector social.</w:t>
      </w:r>
    </w:p>
    <w:p w14:paraId="0F7CF42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En suma, las expectativas sobre los estudios universitarios se consolidan como una tendencia entre estudiantes del último año de la secundaria bonaerense, contrariamente a las miradas que sostienen que las juventudes no valoran el estudio o que las universidades no son de su interés. Del mismo modo, la valoración del peso del accionar escolar es diferencial en relación con el sector social de origen: entre los sectores populares, la valoración del accionar escolar es mayor, mientras que entre los sectores favorecidos esa valoración aparece devaluada. Esta dimensión deja planteada la importancia de fortalecer las acciones de la institución escolar en la búsqueda de una mayor democratización.</w:t>
      </w:r>
    </w:p>
    <w:p w14:paraId="47B0178C" w14:textId="77777777" w:rsidR="00C231F1" w:rsidRPr="00C231F1" w:rsidRDefault="00C231F1" w:rsidP="00C231F1">
      <w:pPr>
        <w:jc w:val="both"/>
        <w:rPr>
          <w:rFonts w:ascii="Times New Roman" w:hAnsi="Times New Roman" w:cs="Times New Roman"/>
          <w:lang w:val="es-AR"/>
        </w:rPr>
      </w:pPr>
    </w:p>
    <w:p w14:paraId="4C1CCAF9" w14:textId="77777777" w:rsidR="005E66CC" w:rsidRDefault="005E66CC" w:rsidP="00C231F1">
      <w:pPr>
        <w:jc w:val="both"/>
        <w:rPr>
          <w:rFonts w:ascii="Times New Roman" w:hAnsi="Times New Roman" w:cs="Times New Roman"/>
          <w:b/>
          <w:bCs/>
          <w:lang w:val="es-AR"/>
        </w:rPr>
      </w:pPr>
    </w:p>
    <w:p w14:paraId="49842E59" w14:textId="7AF2B528"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b/>
          <w:bCs/>
          <w:lang w:val="es-AR"/>
        </w:rPr>
        <w:lastRenderedPageBreak/>
        <w:t>Referencias bibliográficas</w:t>
      </w:r>
    </w:p>
    <w:p w14:paraId="6EF2FA0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Acosta, F. (2011). Escuela secundaria y sistemas educativos modernos: análisis histórico comparado de la dinámica de configuración y expansión en países centrales y en la Argentina. </w:t>
      </w:r>
      <w:r w:rsidRPr="00C231F1">
        <w:rPr>
          <w:rFonts w:ascii="Times New Roman" w:hAnsi="Times New Roman" w:cs="Times New Roman"/>
          <w:i/>
          <w:iCs/>
          <w:lang w:val="es-AR"/>
        </w:rPr>
        <w:t>Revista HISTEDBR On-line 11</w:t>
      </w:r>
      <w:r w:rsidRPr="00C231F1">
        <w:rPr>
          <w:rFonts w:ascii="Times New Roman" w:hAnsi="Times New Roman" w:cs="Times New Roman"/>
          <w:lang w:val="es-AR"/>
        </w:rPr>
        <w:t>(42), 4-22. </w:t>
      </w:r>
    </w:p>
    <w:p w14:paraId="7A6EB56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Arroyo, M. del V., et al. (2025). </w:t>
      </w:r>
      <w:r w:rsidRPr="00C231F1">
        <w:rPr>
          <w:rFonts w:ascii="Times New Roman" w:hAnsi="Times New Roman" w:cs="Times New Roman"/>
          <w:i/>
          <w:iCs/>
          <w:lang w:val="es-AR"/>
        </w:rPr>
        <w:t>Tejiendo puentes y saberes: la Red de Estudios sobre los Inicios a la Vida Universitaria.</w:t>
      </w:r>
      <w:r w:rsidRPr="00C231F1">
        <w:rPr>
          <w:rFonts w:ascii="Times New Roman" w:hAnsi="Times New Roman" w:cs="Times New Roman"/>
          <w:lang w:val="es-AR"/>
        </w:rPr>
        <w:t xml:space="preserve"> Universidad Nacional de Quilmes. </w:t>
      </w:r>
      <w:hyperlink r:id="rId10" w:history="1">
        <w:r w:rsidRPr="00C231F1">
          <w:rPr>
            <w:rStyle w:val="Hipervnculo"/>
            <w:rFonts w:ascii="Times New Roman" w:hAnsi="Times New Roman" w:cs="Times New Roman"/>
            <w:lang w:val="es-AR"/>
          </w:rPr>
          <w:t>https://doi.org/http://ridaa.unq.edu.ar/handle/20.500.11807/5715</w:t>
        </w:r>
      </w:hyperlink>
      <w:r w:rsidRPr="00C231F1">
        <w:rPr>
          <w:rFonts w:ascii="Times New Roman" w:hAnsi="Times New Roman" w:cs="Times New Roman"/>
          <w:lang w:val="es-AR"/>
        </w:rPr>
        <w:t> </w:t>
      </w:r>
    </w:p>
    <w:p w14:paraId="04315E86"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Belloso González, J. (En prensa). Algunas notas sobre la Encuesta Bonaerense a Estudiantes Secundarios (EBES-GESDES). En Di Piero, E. y Causa, M. (</w:t>
      </w:r>
      <w:proofErr w:type="spellStart"/>
      <w:r w:rsidRPr="00C231F1">
        <w:rPr>
          <w:rFonts w:ascii="Times New Roman" w:hAnsi="Times New Roman" w:cs="Times New Roman"/>
          <w:lang w:val="es-AR"/>
        </w:rPr>
        <w:t>comp.</w:t>
      </w:r>
      <w:proofErr w:type="spellEnd"/>
      <w:r w:rsidRPr="00C231F1">
        <w:rPr>
          <w:rFonts w:ascii="Times New Roman" w:hAnsi="Times New Roman" w:cs="Times New Roman"/>
          <w:lang w:val="es-AR"/>
        </w:rPr>
        <w:t>). Perspectivas estudiantiles. Una exploración cuantitativa sobre cómo piensan el futuro, la educación y las transiciones en tiempos de extrema derecha. Imago Mundi.</w:t>
      </w:r>
    </w:p>
    <w:p w14:paraId="75040023"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Bendit, R. y Miranda, A. (2013). Trayectorias y expectativas de los egresados de la secundaria en Argentina, en </w:t>
      </w:r>
      <w:r w:rsidRPr="00C231F1">
        <w:rPr>
          <w:rFonts w:ascii="Times New Roman" w:hAnsi="Times New Roman" w:cs="Times New Roman"/>
          <w:i/>
          <w:iCs/>
          <w:lang w:val="es-AR"/>
        </w:rPr>
        <w:t>Documentos y aportes en administración pública y gestión estatal</w:t>
      </w:r>
      <w:r w:rsidRPr="00C231F1">
        <w:rPr>
          <w:rFonts w:ascii="Times New Roman" w:hAnsi="Times New Roman" w:cs="Times New Roman"/>
          <w:lang w:val="es-AR"/>
        </w:rPr>
        <w:t xml:space="preserve">, </w:t>
      </w:r>
      <w:proofErr w:type="spellStart"/>
      <w:r w:rsidRPr="00C231F1">
        <w:rPr>
          <w:rFonts w:ascii="Times New Roman" w:hAnsi="Times New Roman" w:cs="Times New Roman"/>
          <w:lang w:val="es-AR"/>
        </w:rPr>
        <w:t>n.o</w:t>
      </w:r>
      <w:proofErr w:type="spellEnd"/>
      <w:r w:rsidRPr="00C231F1">
        <w:rPr>
          <w:rFonts w:ascii="Times New Roman" w:hAnsi="Times New Roman" w:cs="Times New Roman"/>
          <w:lang w:val="es-AR"/>
        </w:rPr>
        <w:t xml:space="preserve"> 21.</w:t>
      </w:r>
    </w:p>
    <w:p w14:paraId="3586272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Bourdieu, P y Passeron, J. C. (2009) </w:t>
      </w:r>
      <w:r w:rsidRPr="00C231F1">
        <w:rPr>
          <w:rFonts w:ascii="Times New Roman" w:hAnsi="Times New Roman" w:cs="Times New Roman"/>
          <w:i/>
          <w:iCs/>
          <w:lang w:val="es-AR"/>
        </w:rPr>
        <w:t>Los herederos, los estudiantes y la cultura</w:t>
      </w:r>
      <w:r w:rsidRPr="00C231F1">
        <w:rPr>
          <w:rFonts w:ascii="Times New Roman" w:hAnsi="Times New Roman" w:cs="Times New Roman"/>
          <w:lang w:val="es-AR"/>
        </w:rPr>
        <w:t>, Madrid: Siglo XXI.</w:t>
      </w:r>
    </w:p>
    <w:p w14:paraId="7699583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Braslavsky, C. (1985). </w:t>
      </w:r>
      <w:r w:rsidRPr="00C231F1">
        <w:rPr>
          <w:rFonts w:ascii="Times New Roman" w:hAnsi="Times New Roman" w:cs="Times New Roman"/>
          <w:i/>
          <w:iCs/>
          <w:lang w:val="es-AR"/>
        </w:rPr>
        <w:t>La discriminación educativa</w:t>
      </w:r>
      <w:r w:rsidRPr="00C231F1">
        <w:rPr>
          <w:rFonts w:ascii="Times New Roman" w:hAnsi="Times New Roman" w:cs="Times New Roman"/>
          <w:lang w:val="es-AR"/>
        </w:rPr>
        <w:t xml:space="preserve">. </w:t>
      </w:r>
      <w:proofErr w:type="gramStart"/>
      <w:r w:rsidRPr="00C231F1">
        <w:rPr>
          <w:rFonts w:ascii="Times New Roman" w:hAnsi="Times New Roman" w:cs="Times New Roman"/>
          <w:lang w:val="es-AR"/>
        </w:rPr>
        <w:t>FLACSO .</w:t>
      </w:r>
      <w:proofErr w:type="gramEnd"/>
      <w:r w:rsidRPr="00C231F1">
        <w:rPr>
          <w:rFonts w:ascii="Times New Roman" w:hAnsi="Times New Roman" w:cs="Times New Roman"/>
          <w:lang w:val="es-AR"/>
        </w:rPr>
        <w:t xml:space="preserve"> Miño y Dávila.</w:t>
      </w:r>
    </w:p>
    <w:p w14:paraId="73D912C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Casal, J., </w:t>
      </w:r>
      <w:proofErr w:type="spellStart"/>
      <w:r w:rsidRPr="00C231F1">
        <w:rPr>
          <w:rFonts w:ascii="Times New Roman" w:hAnsi="Times New Roman" w:cs="Times New Roman"/>
          <w:lang w:val="es-AR"/>
        </w:rPr>
        <w:t>Garcia</w:t>
      </w:r>
      <w:proofErr w:type="spellEnd"/>
      <w:r w:rsidRPr="00C231F1">
        <w:rPr>
          <w:rFonts w:ascii="Times New Roman" w:hAnsi="Times New Roman" w:cs="Times New Roman"/>
          <w:lang w:val="es-AR"/>
        </w:rPr>
        <w:t xml:space="preserve">, M., Merino, R., y Quesada, M. (2006). Aportaciones teóricas y metodológicas a la sociología de la juventud desde la perspectiva de la transición. </w:t>
      </w:r>
      <w:proofErr w:type="spellStart"/>
      <w:r w:rsidRPr="00C231F1">
        <w:rPr>
          <w:rFonts w:ascii="Times New Roman" w:hAnsi="Times New Roman" w:cs="Times New Roman"/>
          <w:i/>
          <w:iCs/>
          <w:lang w:val="es-AR"/>
        </w:rPr>
        <w:t>Papers</w:t>
      </w:r>
      <w:proofErr w:type="spellEnd"/>
      <w:r w:rsidRPr="00C231F1">
        <w:rPr>
          <w:rFonts w:ascii="Times New Roman" w:hAnsi="Times New Roman" w:cs="Times New Roman"/>
          <w:i/>
          <w:iCs/>
          <w:lang w:val="es-AR"/>
        </w:rPr>
        <w:t>. Revista de Sociología, 79</w:t>
      </w:r>
      <w:r w:rsidRPr="00C231F1">
        <w:rPr>
          <w:rFonts w:ascii="Times New Roman" w:hAnsi="Times New Roman" w:cs="Times New Roman"/>
          <w:lang w:val="es-AR"/>
        </w:rPr>
        <w:t>, 21-48.</w:t>
      </w:r>
    </w:p>
    <w:p w14:paraId="69B291D8" w14:textId="77777777" w:rsidR="00C231F1" w:rsidRPr="00C231F1" w:rsidRDefault="00C231F1" w:rsidP="00C231F1">
      <w:pPr>
        <w:jc w:val="both"/>
        <w:rPr>
          <w:rFonts w:ascii="Times New Roman" w:hAnsi="Times New Roman" w:cs="Times New Roman"/>
          <w:lang w:val="es-AR"/>
        </w:rPr>
      </w:pPr>
      <w:proofErr w:type="spellStart"/>
      <w:r w:rsidRPr="00C231F1">
        <w:rPr>
          <w:rFonts w:ascii="Times New Roman" w:hAnsi="Times New Roman" w:cs="Times New Roman"/>
          <w:lang w:val="es-AR"/>
        </w:rPr>
        <w:t>Córica</w:t>
      </w:r>
      <w:proofErr w:type="spellEnd"/>
      <w:r w:rsidRPr="00C231F1">
        <w:rPr>
          <w:rFonts w:ascii="Times New Roman" w:hAnsi="Times New Roman" w:cs="Times New Roman"/>
          <w:lang w:val="es-AR"/>
        </w:rPr>
        <w:t>, A. (2012) Juventud y futuro: educación, trabajo y grupos familiares. Tesis de Doctorado, Universidad de Buenos Aires.</w:t>
      </w:r>
    </w:p>
    <w:p w14:paraId="0291E9CF"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Dávila León, O. y </w:t>
      </w:r>
      <w:proofErr w:type="spellStart"/>
      <w:r w:rsidRPr="00C231F1">
        <w:rPr>
          <w:rFonts w:ascii="Times New Roman" w:hAnsi="Times New Roman" w:cs="Times New Roman"/>
          <w:lang w:val="es-AR"/>
        </w:rPr>
        <w:t>Ghiardo</w:t>
      </w:r>
      <w:proofErr w:type="spellEnd"/>
      <w:r w:rsidRPr="00C231F1">
        <w:rPr>
          <w:rFonts w:ascii="Times New Roman" w:hAnsi="Times New Roman" w:cs="Times New Roman"/>
          <w:lang w:val="es-AR"/>
        </w:rPr>
        <w:t xml:space="preserve"> Soto, F. (2005) “Trayectorias, transiciones y condiciones juveniles en Chile”, en </w:t>
      </w:r>
      <w:r w:rsidRPr="00C231F1">
        <w:rPr>
          <w:rFonts w:ascii="Times New Roman" w:hAnsi="Times New Roman" w:cs="Times New Roman"/>
          <w:i/>
          <w:iCs/>
          <w:lang w:val="es-AR"/>
        </w:rPr>
        <w:t>Nueva Sociedad</w:t>
      </w:r>
      <w:r w:rsidRPr="00C231F1">
        <w:rPr>
          <w:rFonts w:ascii="Times New Roman" w:hAnsi="Times New Roman" w:cs="Times New Roman"/>
          <w:lang w:val="es-AR"/>
        </w:rPr>
        <w:t xml:space="preserve">, </w:t>
      </w:r>
      <w:proofErr w:type="spellStart"/>
      <w:r w:rsidRPr="00C231F1">
        <w:rPr>
          <w:rFonts w:ascii="Times New Roman" w:hAnsi="Times New Roman" w:cs="Times New Roman"/>
          <w:lang w:val="es-AR"/>
        </w:rPr>
        <w:t>n.o</w:t>
      </w:r>
      <w:proofErr w:type="spellEnd"/>
      <w:r w:rsidRPr="00C231F1">
        <w:rPr>
          <w:rFonts w:ascii="Times New Roman" w:hAnsi="Times New Roman" w:cs="Times New Roman"/>
          <w:lang w:val="es-AR"/>
        </w:rPr>
        <w:t xml:space="preserve"> 200, recuperado de </w:t>
      </w:r>
      <w:hyperlink r:id="rId11" w:history="1">
        <w:r w:rsidRPr="00C231F1">
          <w:rPr>
            <w:rStyle w:val="Hipervnculo"/>
            <w:rFonts w:ascii="Times New Roman" w:hAnsi="Times New Roman" w:cs="Times New Roman"/>
            <w:lang w:val="es-AR"/>
          </w:rPr>
          <w:t>https://www.ar</w:t>
        </w:r>
      </w:hyperlink>
      <w:hyperlink r:id="rId12" w:history="1">
        <w:r w:rsidRPr="00C231F1">
          <w:rPr>
            <w:rStyle w:val="Hipervnculo"/>
            <w:rFonts w:ascii="Times New Roman" w:hAnsi="Times New Roman" w:cs="Times New Roman"/>
            <w:lang w:val="es-AR"/>
          </w:rPr>
          <w:t xml:space="preserve"> chivochile.com/</w:t>
        </w:r>
        <w:proofErr w:type="spellStart"/>
        <w:r w:rsidRPr="00C231F1">
          <w:rPr>
            <w:rStyle w:val="Hipervnculo"/>
            <w:rFonts w:ascii="Times New Roman" w:hAnsi="Times New Roman" w:cs="Times New Roman"/>
            <w:lang w:val="es-AR"/>
          </w:rPr>
          <w:t>Ideas_Autores</w:t>
        </w:r>
        <w:proofErr w:type="spellEnd"/>
        <w:r w:rsidRPr="00C231F1">
          <w:rPr>
            <w:rStyle w:val="Hipervnculo"/>
            <w:rFonts w:ascii="Times New Roman" w:hAnsi="Times New Roman" w:cs="Times New Roman"/>
            <w:lang w:val="es-AR"/>
          </w:rPr>
          <w:t>/</w:t>
        </w:r>
        <w:proofErr w:type="spellStart"/>
        <w:r w:rsidRPr="00C231F1">
          <w:rPr>
            <w:rStyle w:val="Hipervnculo"/>
            <w:rFonts w:ascii="Times New Roman" w:hAnsi="Times New Roman" w:cs="Times New Roman"/>
            <w:lang w:val="es-AR"/>
          </w:rPr>
          <w:t>davilal_o</w:t>
        </w:r>
        <w:proofErr w:type="spellEnd"/>
        <w:r w:rsidRPr="00C231F1">
          <w:rPr>
            <w:rStyle w:val="Hipervnculo"/>
            <w:rFonts w:ascii="Times New Roman" w:hAnsi="Times New Roman" w:cs="Times New Roman"/>
            <w:lang w:val="es-AR"/>
          </w:rPr>
          <w:t>/davila_o0001.pdf</w:t>
        </w:r>
      </w:hyperlink>
    </w:p>
    <w:p w14:paraId="32C3519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Di Piero, E. (2024).</w:t>
      </w:r>
      <w:r w:rsidRPr="00C231F1">
        <w:rPr>
          <w:rFonts w:ascii="Times New Roman" w:hAnsi="Times New Roman" w:cs="Times New Roman"/>
          <w:i/>
          <w:iCs/>
          <w:lang w:val="es-AR"/>
        </w:rPr>
        <w:t xml:space="preserve"> Ampliar horizontes. Transiciones desiguales entre los niveles secundario y superior en provincia de Buenos Aires en la pandemia. </w:t>
      </w:r>
      <w:r w:rsidRPr="00C231F1">
        <w:rPr>
          <w:rFonts w:ascii="Times New Roman" w:hAnsi="Times New Roman" w:cs="Times New Roman"/>
          <w:lang w:val="es-AR"/>
        </w:rPr>
        <w:t>Imago Mundi. </w:t>
      </w:r>
    </w:p>
    <w:p w14:paraId="0A1EBC59"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Di Piero, E. y Causa, M. (En prensa). Perspectivas estudiantiles. Una exploración cuantitativa sobre cómo piensan el futuro, la educación y las transiciones en tiempos de extrema derecha. Imago Mundi.</w:t>
      </w:r>
    </w:p>
    <w:p w14:paraId="582C515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Di Piero, E., Garriga Olmo, S., y Marchel, A. L. (2024). Expectativas de estudiantes del nivel secundario bonaerense sobre el nivel superior en la pandemia: entre la ampliación, </w:t>
      </w:r>
      <w:r w:rsidRPr="00C231F1">
        <w:rPr>
          <w:rFonts w:ascii="Times New Roman" w:hAnsi="Times New Roman" w:cs="Times New Roman"/>
          <w:lang w:val="es-AR"/>
        </w:rPr>
        <w:lastRenderedPageBreak/>
        <w:t xml:space="preserve">la reconfiguración y las desigualdades. </w:t>
      </w:r>
      <w:r w:rsidRPr="00C231F1">
        <w:rPr>
          <w:rFonts w:ascii="Times New Roman" w:hAnsi="Times New Roman" w:cs="Times New Roman"/>
          <w:i/>
          <w:iCs/>
          <w:lang w:val="es-AR"/>
        </w:rPr>
        <w:t>RASE</w:t>
      </w:r>
      <w:r w:rsidRPr="00C231F1">
        <w:rPr>
          <w:rFonts w:ascii="Times New Roman" w:hAnsi="Times New Roman" w:cs="Times New Roman"/>
          <w:lang w:val="es-AR"/>
        </w:rPr>
        <w:t xml:space="preserve">, </w:t>
      </w:r>
      <w:r w:rsidRPr="00C231F1">
        <w:rPr>
          <w:rFonts w:ascii="Times New Roman" w:hAnsi="Times New Roman" w:cs="Times New Roman"/>
          <w:i/>
          <w:iCs/>
          <w:lang w:val="es-AR"/>
        </w:rPr>
        <w:t>17</w:t>
      </w:r>
      <w:r w:rsidRPr="00C231F1">
        <w:rPr>
          <w:rFonts w:ascii="Times New Roman" w:hAnsi="Times New Roman" w:cs="Times New Roman"/>
          <w:lang w:val="es-AR"/>
        </w:rPr>
        <w:t>(1), pp. 27–49.</w:t>
      </w:r>
      <w:hyperlink r:id="rId13" w:history="1">
        <w:r w:rsidRPr="00C231F1">
          <w:rPr>
            <w:rStyle w:val="Hipervnculo"/>
            <w:rFonts w:ascii="Times New Roman" w:hAnsi="Times New Roman" w:cs="Times New Roman"/>
            <w:lang w:val="es-AR"/>
          </w:rPr>
          <w:t xml:space="preserve"> https://doi.org/10.7203/RASE.17.1.26862</w:t>
        </w:r>
      </w:hyperlink>
      <w:r w:rsidRPr="00C231F1">
        <w:rPr>
          <w:rFonts w:ascii="Times New Roman" w:hAnsi="Times New Roman" w:cs="Times New Roman"/>
          <w:lang w:val="es-AR"/>
        </w:rPr>
        <w:t> </w:t>
      </w:r>
    </w:p>
    <w:p w14:paraId="37383FA2"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Dubet, F. (2020). La época de las pasiones tristes: de cómo este mundo desigual lleva a la frustración y el resentimiento, y desalienta la lucha por una sociedad mejor. Ciudad de Buenos Aires, Argentina: Siglo Veintiuno Editores. </w:t>
      </w:r>
    </w:p>
    <w:p w14:paraId="03EDEDF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Filmus, D., Miranda, A. y Otero, A., (2004): "La construcción de trayectorias laborales entre los jóvenes egresados de la escuela secundaria", en ¿Educar para qué trabajo? Discutiendo rumbos en América Latina, Buenos Aires, </w:t>
      </w:r>
      <w:proofErr w:type="spellStart"/>
      <w:r w:rsidRPr="00C231F1">
        <w:rPr>
          <w:rFonts w:ascii="Times New Roman" w:hAnsi="Times New Roman" w:cs="Times New Roman"/>
          <w:lang w:val="es-AR"/>
        </w:rPr>
        <w:t>redEtis</w:t>
      </w:r>
      <w:proofErr w:type="spellEnd"/>
      <w:r w:rsidRPr="00C231F1">
        <w:rPr>
          <w:rFonts w:ascii="Times New Roman" w:hAnsi="Times New Roman" w:cs="Times New Roman"/>
          <w:lang w:val="es-AR"/>
        </w:rPr>
        <w:t xml:space="preserve"> (IIPE-IDES) / </w:t>
      </w:r>
      <w:proofErr w:type="spellStart"/>
      <w:r w:rsidRPr="00C231F1">
        <w:rPr>
          <w:rFonts w:ascii="Times New Roman" w:hAnsi="Times New Roman" w:cs="Times New Roman"/>
          <w:lang w:val="es-AR"/>
        </w:rPr>
        <w:t>MECyT</w:t>
      </w:r>
      <w:proofErr w:type="spellEnd"/>
      <w:r w:rsidRPr="00C231F1">
        <w:rPr>
          <w:rFonts w:ascii="Times New Roman" w:hAnsi="Times New Roman" w:cs="Times New Roman"/>
          <w:lang w:val="es-AR"/>
        </w:rPr>
        <w:t xml:space="preserve"> </w:t>
      </w:r>
      <w:proofErr w:type="spellStart"/>
      <w:r w:rsidRPr="00C231F1">
        <w:rPr>
          <w:rFonts w:ascii="Times New Roman" w:hAnsi="Times New Roman" w:cs="Times New Roman"/>
          <w:lang w:val="es-AR"/>
        </w:rPr>
        <w:t>MTEySS</w:t>
      </w:r>
      <w:proofErr w:type="spellEnd"/>
      <w:r w:rsidRPr="00C231F1">
        <w:rPr>
          <w:rFonts w:ascii="Times New Roman" w:hAnsi="Times New Roman" w:cs="Times New Roman"/>
          <w:lang w:val="es-AR"/>
        </w:rPr>
        <w:t xml:space="preserve"> / La Crujía.</w:t>
      </w:r>
    </w:p>
    <w:p w14:paraId="59CED47A"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García, P. D. (2023). El ingreso </w:t>
      </w:r>
      <w:proofErr w:type="gramStart"/>
      <w:r w:rsidRPr="00C231F1">
        <w:rPr>
          <w:rFonts w:ascii="Times New Roman" w:hAnsi="Times New Roman" w:cs="Times New Roman"/>
          <w:lang w:val="es-AR"/>
        </w:rPr>
        <w:t>a  la</w:t>
      </w:r>
      <w:proofErr w:type="gramEnd"/>
      <w:r w:rsidRPr="00C231F1">
        <w:rPr>
          <w:rFonts w:ascii="Times New Roman" w:hAnsi="Times New Roman" w:cs="Times New Roman"/>
          <w:lang w:val="es-AR"/>
        </w:rPr>
        <w:t xml:space="preserve">  </w:t>
      </w:r>
      <w:proofErr w:type="gramStart"/>
      <w:r w:rsidRPr="00C231F1">
        <w:rPr>
          <w:rFonts w:ascii="Times New Roman" w:hAnsi="Times New Roman" w:cs="Times New Roman"/>
          <w:lang w:val="es-AR"/>
        </w:rPr>
        <w:t>universidad  argentina</w:t>
      </w:r>
      <w:proofErr w:type="gramEnd"/>
      <w:r w:rsidRPr="00C231F1">
        <w:rPr>
          <w:rFonts w:ascii="Times New Roman" w:hAnsi="Times New Roman" w:cs="Times New Roman"/>
          <w:lang w:val="es-AR"/>
        </w:rPr>
        <w:t xml:space="preserve">.  </w:t>
      </w:r>
      <w:proofErr w:type="gramStart"/>
      <w:r w:rsidRPr="00C231F1">
        <w:rPr>
          <w:rFonts w:ascii="Times New Roman" w:hAnsi="Times New Roman" w:cs="Times New Roman"/>
          <w:lang w:val="es-AR"/>
        </w:rPr>
        <w:t>Tendencias  y</w:t>
      </w:r>
      <w:proofErr w:type="gramEnd"/>
      <w:r w:rsidRPr="00C231F1">
        <w:rPr>
          <w:rFonts w:ascii="Times New Roman" w:hAnsi="Times New Roman" w:cs="Times New Roman"/>
          <w:lang w:val="es-AR"/>
        </w:rPr>
        <w:t xml:space="preserve">  </w:t>
      </w:r>
      <w:proofErr w:type="gramStart"/>
      <w:r w:rsidRPr="00C231F1">
        <w:rPr>
          <w:rFonts w:ascii="Times New Roman" w:hAnsi="Times New Roman" w:cs="Times New Roman"/>
          <w:lang w:val="es-AR"/>
        </w:rPr>
        <w:t>desafíos  en</w:t>
      </w:r>
      <w:proofErr w:type="gramEnd"/>
      <w:r w:rsidRPr="00C231F1">
        <w:rPr>
          <w:rFonts w:ascii="Times New Roman" w:hAnsi="Times New Roman" w:cs="Times New Roman"/>
          <w:lang w:val="es-AR"/>
        </w:rPr>
        <w:t xml:space="preserve">  </w:t>
      </w:r>
      <w:proofErr w:type="gramStart"/>
      <w:r w:rsidRPr="00C231F1">
        <w:rPr>
          <w:rFonts w:ascii="Times New Roman" w:hAnsi="Times New Roman" w:cs="Times New Roman"/>
          <w:lang w:val="es-AR"/>
        </w:rPr>
        <w:t>torno  al</w:t>
      </w:r>
      <w:proofErr w:type="gramEnd"/>
      <w:r w:rsidRPr="00C231F1">
        <w:rPr>
          <w:rFonts w:ascii="Times New Roman" w:hAnsi="Times New Roman" w:cs="Times New Roman"/>
          <w:lang w:val="es-AR"/>
        </w:rPr>
        <w:t xml:space="preserve">  </w:t>
      </w:r>
      <w:proofErr w:type="gramStart"/>
      <w:r w:rsidRPr="00C231F1">
        <w:rPr>
          <w:rFonts w:ascii="Times New Roman" w:hAnsi="Times New Roman" w:cs="Times New Roman"/>
          <w:lang w:val="es-AR"/>
        </w:rPr>
        <w:t>derecho  a</w:t>
      </w:r>
      <w:proofErr w:type="gramEnd"/>
      <w:r w:rsidRPr="00C231F1">
        <w:rPr>
          <w:rFonts w:ascii="Times New Roman" w:hAnsi="Times New Roman" w:cs="Times New Roman"/>
          <w:lang w:val="es-AR"/>
        </w:rPr>
        <w:t xml:space="preserve">  </w:t>
      </w:r>
      <w:proofErr w:type="gramStart"/>
      <w:r w:rsidRPr="00C231F1">
        <w:rPr>
          <w:rFonts w:ascii="Times New Roman" w:hAnsi="Times New Roman" w:cs="Times New Roman"/>
          <w:lang w:val="es-AR"/>
        </w:rPr>
        <w:t>la  educación</w:t>
      </w:r>
      <w:proofErr w:type="gramEnd"/>
      <w:r w:rsidRPr="00C231F1">
        <w:rPr>
          <w:rFonts w:ascii="Times New Roman" w:hAnsi="Times New Roman" w:cs="Times New Roman"/>
          <w:lang w:val="es-AR"/>
        </w:rPr>
        <w:t xml:space="preserve">  superior. </w:t>
      </w:r>
      <w:r w:rsidRPr="00C231F1">
        <w:rPr>
          <w:rFonts w:ascii="Times New Roman" w:hAnsi="Times New Roman" w:cs="Times New Roman"/>
          <w:i/>
          <w:iCs/>
          <w:lang w:val="es-AR"/>
        </w:rPr>
        <w:t>Cuadernos Universitarios</w:t>
      </w:r>
      <w:r w:rsidRPr="00C231F1">
        <w:rPr>
          <w:rFonts w:ascii="Times New Roman" w:hAnsi="Times New Roman" w:cs="Times New Roman"/>
          <w:lang w:val="es-AR"/>
        </w:rPr>
        <w:t>, 16, pp. 11-28.</w:t>
      </w:r>
    </w:p>
    <w:p w14:paraId="6EBA2B8D"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García de Fanelli, A. y Jacinto, C.  (2010). Equidad y educación superior en América Latina: el papel de las carreras terciarias y universitarias. Revista Iberoamericana de Educación Superior, </w:t>
      </w:r>
      <w:proofErr w:type="gramStart"/>
      <w:r w:rsidRPr="00C231F1">
        <w:rPr>
          <w:rFonts w:ascii="Times New Roman" w:hAnsi="Times New Roman" w:cs="Times New Roman"/>
          <w:lang w:val="es-AR"/>
        </w:rPr>
        <w:t>I(</w:t>
      </w:r>
      <w:proofErr w:type="gramEnd"/>
      <w:r w:rsidRPr="00C231F1">
        <w:rPr>
          <w:rFonts w:ascii="Times New Roman" w:hAnsi="Times New Roman" w:cs="Times New Roman"/>
          <w:lang w:val="es-AR"/>
        </w:rPr>
        <w:t>1), 58-75.</w:t>
      </w:r>
    </w:p>
    <w:p w14:paraId="7725BB40"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Levinson, B. (2002). Todos somos iguales: cultura y aspiración estudiantil en una escuela secundaria mexicana, Ciudad de México: Santillana.</w:t>
      </w:r>
    </w:p>
    <w:p w14:paraId="7D8D9057"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Ramírez García, R. G. (2013). “¿Qué representa para los estudiantes de hoy adentrarse en la educación </w:t>
      </w:r>
      <w:proofErr w:type="gramStart"/>
      <w:r w:rsidRPr="00C231F1">
        <w:rPr>
          <w:rFonts w:ascii="Times New Roman" w:hAnsi="Times New Roman" w:cs="Times New Roman"/>
          <w:lang w:val="es-AR"/>
        </w:rPr>
        <w:t>superior?“</w:t>
      </w:r>
      <w:proofErr w:type="gramEnd"/>
      <w:r w:rsidRPr="00C231F1">
        <w:rPr>
          <w:rFonts w:ascii="Times New Roman" w:hAnsi="Times New Roman" w:cs="Times New Roman"/>
          <w:lang w:val="es-AR"/>
        </w:rPr>
        <w:t xml:space="preserve">. En Guzmán Gómez, C. (coord.) Los estudiantes y la universidad. 125 </w:t>
      </w:r>
      <w:proofErr w:type="gramStart"/>
      <w:r w:rsidRPr="00C231F1">
        <w:rPr>
          <w:rFonts w:ascii="Times New Roman" w:hAnsi="Times New Roman" w:cs="Times New Roman"/>
          <w:lang w:val="es-AR"/>
        </w:rPr>
        <w:t>Integración</w:t>
      </w:r>
      <w:proofErr w:type="gramEnd"/>
      <w:r w:rsidRPr="00C231F1">
        <w:rPr>
          <w:rFonts w:ascii="Times New Roman" w:hAnsi="Times New Roman" w:cs="Times New Roman"/>
          <w:lang w:val="es-AR"/>
        </w:rPr>
        <w:t>, experiencias e identidades. México, D.F.: ANNUIES. Dirección de Medios Editoriales. Colección Biblioteca de la Educación Superior. </w:t>
      </w:r>
    </w:p>
    <w:p w14:paraId="3AE750D1"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t xml:space="preserve">Santos Sharpe A., y Núñez, P. (2022). Desigualdades en la escuela secundaria argentina: recorridos escolares y proyecciones educativas. </w:t>
      </w:r>
      <w:r w:rsidRPr="00C231F1">
        <w:rPr>
          <w:rFonts w:ascii="Times New Roman" w:hAnsi="Times New Roman" w:cs="Times New Roman"/>
          <w:i/>
          <w:iCs/>
          <w:lang w:val="es-AR"/>
        </w:rPr>
        <w:t>Íconos. Revista de Ciencias Sociales</w:t>
      </w:r>
      <w:r w:rsidRPr="00C231F1">
        <w:rPr>
          <w:rFonts w:ascii="Times New Roman" w:hAnsi="Times New Roman" w:cs="Times New Roman"/>
          <w:lang w:val="es-AR"/>
        </w:rPr>
        <w:t>, (73), 133-154.</w:t>
      </w:r>
      <w:hyperlink r:id="rId14" w:history="1">
        <w:r w:rsidRPr="00C231F1">
          <w:rPr>
            <w:rStyle w:val="Hipervnculo"/>
            <w:rFonts w:ascii="Times New Roman" w:hAnsi="Times New Roman" w:cs="Times New Roman"/>
            <w:lang w:val="es-AR"/>
          </w:rPr>
          <w:t xml:space="preserve"> https://doi.org/10.17141/iconos.73.2022.5286</w:t>
        </w:r>
      </w:hyperlink>
      <w:r w:rsidRPr="00C231F1">
        <w:rPr>
          <w:rFonts w:ascii="Times New Roman" w:hAnsi="Times New Roman" w:cs="Times New Roman"/>
          <w:lang w:val="es-AR"/>
        </w:rPr>
        <w:t>. </w:t>
      </w:r>
    </w:p>
    <w:p w14:paraId="57143B77" w14:textId="77777777" w:rsidR="00C231F1" w:rsidRPr="00C231F1" w:rsidRDefault="00C231F1" w:rsidP="00C231F1">
      <w:pPr>
        <w:jc w:val="both"/>
        <w:rPr>
          <w:rFonts w:ascii="Times New Roman" w:hAnsi="Times New Roman" w:cs="Times New Roman"/>
          <w:lang w:val="es-AR"/>
        </w:rPr>
      </w:pPr>
      <w:proofErr w:type="spellStart"/>
      <w:r w:rsidRPr="00C231F1">
        <w:rPr>
          <w:rFonts w:ascii="Times New Roman" w:hAnsi="Times New Roman" w:cs="Times New Roman"/>
          <w:lang w:val="es-AR"/>
        </w:rPr>
        <w:t>Saraví</w:t>
      </w:r>
      <w:proofErr w:type="spellEnd"/>
      <w:r w:rsidRPr="00C231F1">
        <w:rPr>
          <w:rFonts w:ascii="Times New Roman" w:hAnsi="Times New Roman" w:cs="Times New Roman"/>
          <w:lang w:val="es-AR"/>
        </w:rPr>
        <w:t xml:space="preserve">, G. (2009). </w:t>
      </w:r>
      <w:r w:rsidRPr="00C231F1">
        <w:rPr>
          <w:rFonts w:ascii="Times New Roman" w:hAnsi="Times New Roman" w:cs="Times New Roman"/>
          <w:i/>
          <w:iCs/>
          <w:lang w:val="es-AR"/>
        </w:rPr>
        <w:t>Transiciones vulnerables. Juventud, desigualdad y exclusión en México</w:t>
      </w:r>
      <w:r w:rsidRPr="00C231F1">
        <w:rPr>
          <w:rFonts w:ascii="Times New Roman" w:hAnsi="Times New Roman" w:cs="Times New Roman"/>
          <w:lang w:val="es-AR"/>
        </w:rPr>
        <w:t>, Ciudad de Mexico: CIESAS.</w:t>
      </w:r>
    </w:p>
    <w:p w14:paraId="3E3A2065" w14:textId="77777777" w:rsidR="00C231F1" w:rsidRPr="00C231F1" w:rsidRDefault="00C231F1" w:rsidP="00C231F1">
      <w:pPr>
        <w:jc w:val="both"/>
        <w:rPr>
          <w:rFonts w:ascii="Times New Roman" w:hAnsi="Times New Roman" w:cs="Times New Roman"/>
          <w:lang w:val="es-AR"/>
        </w:rPr>
      </w:pPr>
      <w:proofErr w:type="spellStart"/>
      <w:r w:rsidRPr="00C231F1">
        <w:rPr>
          <w:rFonts w:ascii="Times New Roman" w:hAnsi="Times New Roman" w:cs="Times New Roman"/>
          <w:lang w:val="es-AR"/>
        </w:rPr>
        <w:t>Saraví</w:t>
      </w:r>
      <w:proofErr w:type="spellEnd"/>
      <w:r w:rsidRPr="00C231F1">
        <w:rPr>
          <w:rFonts w:ascii="Times New Roman" w:hAnsi="Times New Roman" w:cs="Times New Roman"/>
          <w:lang w:val="es-AR"/>
        </w:rPr>
        <w:t xml:space="preserve">, G. (2015). </w:t>
      </w:r>
      <w:r w:rsidRPr="00C231F1">
        <w:rPr>
          <w:rFonts w:ascii="Times New Roman" w:hAnsi="Times New Roman" w:cs="Times New Roman"/>
          <w:i/>
          <w:iCs/>
          <w:lang w:val="es-AR"/>
        </w:rPr>
        <w:t>Juventudes fragmentadas. Socialización, clase y cultura en la construcción de la desigualdad</w:t>
      </w:r>
      <w:r w:rsidRPr="00C231F1">
        <w:rPr>
          <w:rFonts w:ascii="Times New Roman" w:hAnsi="Times New Roman" w:cs="Times New Roman"/>
          <w:lang w:val="es-AR"/>
        </w:rPr>
        <w:t>, Ciudad de México: FLACSO.</w:t>
      </w:r>
    </w:p>
    <w:p w14:paraId="56F98633" w14:textId="77777777" w:rsidR="00C231F1" w:rsidRPr="00C231F1" w:rsidRDefault="00C231F1" w:rsidP="00C231F1">
      <w:pPr>
        <w:jc w:val="both"/>
        <w:rPr>
          <w:rFonts w:ascii="Times New Roman" w:hAnsi="Times New Roman" w:cs="Times New Roman"/>
          <w:lang w:val="es-AR"/>
        </w:rPr>
      </w:pPr>
      <w:proofErr w:type="spellStart"/>
      <w:r w:rsidRPr="00C231F1">
        <w:rPr>
          <w:rFonts w:ascii="Times New Roman" w:hAnsi="Times New Roman" w:cs="Times New Roman"/>
          <w:lang w:val="es-AR"/>
        </w:rPr>
        <w:t>Saraví</w:t>
      </w:r>
      <w:proofErr w:type="spellEnd"/>
      <w:r w:rsidRPr="00C231F1">
        <w:rPr>
          <w:rFonts w:ascii="Times New Roman" w:hAnsi="Times New Roman" w:cs="Times New Roman"/>
          <w:lang w:val="es-AR"/>
        </w:rPr>
        <w:t>, G. (2020). Acumulación de desventajas en América Latina: aportes y desafíos para el estudio de la desigualdad. RELAP - Revista Latinoamericana de Población. Vol. 14 - Número 27:  228-256http://</w:t>
      </w:r>
      <w:hyperlink r:id="rId15" w:history="1">
        <w:r w:rsidRPr="00C231F1">
          <w:rPr>
            <w:rStyle w:val="Hipervnculo"/>
            <w:rFonts w:ascii="Times New Roman" w:hAnsi="Times New Roman" w:cs="Times New Roman"/>
            <w:lang w:val="es-AR"/>
          </w:rPr>
          <w:t>doi.org/10.31406/relap2020.v</w:t>
        </w:r>
        <w:proofErr w:type="gramStart"/>
        <w:r w:rsidRPr="00C231F1">
          <w:rPr>
            <w:rStyle w:val="Hipervnculo"/>
            <w:rFonts w:ascii="Times New Roman" w:hAnsi="Times New Roman" w:cs="Times New Roman"/>
            <w:lang w:val="es-AR"/>
          </w:rPr>
          <w:t>14.i12.n</w:t>
        </w:r>
        <w:proofErr w:type="gramEnd"/>
        <w:r w:rsidRPr="00C231F1">
          <w:rPr>
            <w:rStyle w:val="Hipervnculo"/>
            <w:rFonts w:ascii="Times New Roman" w:hAnsi="Times New Roman" w:cs="Times New Roman"/>
            <w:lang w:val="es-AR"/>
          </w:rPr>
          <w:t>27.7</w:t>
        </w:r>
      </w:hyperlink>
    </w:p>
    <w:p w14:paraId="3D9E459E" w14:textId="77777777" w:rsidR="00C231F1" w:rsidRPr="00C231F1" w:rsidRDefault="00C231F1" w:rsidP="00C231F1">
      <w:pPr>
        <w:jc w:val="both"/>
        <w:rPr>
          <w:rFonts w:ascii="Times New Roman" w:hAnsi="Times New Roman" w:cs="Times New Roman"/>
          <w:lang w:val="es-AR"/>
        </w:rPr>
      </w:pPr>
      <w:r w:rsidRPr="00C231F1">
        <w:rPr>
          <w:rFonts w:ascii="Times New Roman" w:hAnsi="Times New Roman" w:cs="Times New Roman"/>
          <w:lang w:val="es-AR"/>
        </w:rPr>
        <w:lastRenderedPageBreak/>
        <w:t>Sotelo, L. A. (2025). Los Inicios a la Vida Universitaria en Argentina: hacia la construcción del campo de estudios. Espacios en Blanco, 2(35).</w:t>
      </w:r>
      <w:hyperlink r:id="rId16" w:history="1">
        <w:r w:rsidRPr="00C231F1">
          <w:rPr>
            <w:rStyle w:val="Hipervnculo"/>
            <w:rFonts w:ascii="Times New Roman" w:hAnsi="Times New Roman" w:cs="Times New Roman"/>
            <w:lang w:val="es-AR"/>
          </w:rPr>
          <w:t xml:space="preserve"> https://doi.org/10.37177/UNICEN/EB35-442</w:t>
        </w:r>
      </w:hyperlink>
      <w:r w:rsidRPr="00C231F1">
        <w:rPr>
          <w:rFonts w:ascii="Times New Roman" w:hAnsi="Times New Roman" w:cs="Times New Roman"/>
          <w:lang w:val="es-AR"/>
        </w:rPr>
        <w:t> </w:t>
      </w:r>
    </w:p>
    <w:p w14:paraId="7BE1983C" w14:textId="77777777" w:rsidR="00C231F1" w:rsidRPr="00C231F1" w:rsidRDefault="00C231F1" w:rsidP="00C231F1">
      <w:pPr>
        <w:jc w:val="both"/>
        <w:rPr>
          <w:rFonts w:ascii="Times New Roman" w:hAnsi="Times New Roman" w:cs="Times New Roman"/>
          <w:lang w:val="es-AR"/>
        </w:rPr>
      </w:pPr>
      <w:proofErr w:type="spellStart"/>
      <w:r w:rsidRPr="00C231F1">
        <w:rPr>
          <w:rFonts w:ascii="Times New Roman" w:hAnsi="Times New Roman" w:cs="Times New Roman"/>
          <w:lang w:val="es-AR"/>
        </w:rPr>
        <w:t>Suasnábar</w:t>
      </w:r>
      <w:proofErr w:type="spellEnd"/>
      <w:r w:rsidRPr="00C231F1">
        <w:rPr>
          <w:rFonts w:ascii="Times New Roman" w:hAnsi="Times New Roman" w:cs="Times New Roman"/>
          <w:lang w:val="es-AR"/>
        </w:rPr>
        <w:t xml:space="preserve">, C. y Rovelli, L. (2016). Ampliaciones y desigualdades en el acceso y egreso de estudiantes a la educación superior en la Argentina. EN: Aranciaga, Ignacio, </w:t>
      </w:r>
      <w:proofErr w:type="spellStart"/>
      <w:proofErr w:type="gramStart"/>
      <w:r w:rsidRPr="00C231F1">
        <w:rPr>
          <w:rFonts w:ascii="Times New Roman" w:hAnsi="Times New Roman" w:cs="Times New Roman"/>
          <w:lang w:val="es-AR"/>
        </w:rPr>
        <w:t>comp.</w:t>
      </w:r>
      <w:proofErr w:type="spellEnd"/>
      <w:r w:rsidRPr="00C231F1">
        <w:rPr>
          <w:rFonts w:ascii="Times New Roman" w:hAnsi="Times New Roman" w:cs="Times New Roman"/>
          <w:lang w:val="es-AR"/>
        </w:rPr>
        <w:t>.</w:t>
      </w:r>
      <w:proofErr w:type="gramEnd"/>
      <w:r w:rsidRPr="00C231F1">
        <w:rPr>
          <w:rFonts w:ascii="Times New Roman" w:hAnsi="Times New Roman" w:cs="Times New Roman"/>
          <w:lang w:val="es-AR"/>
        </w:rPr>
        <w:t xml:space="preserve"> La universidad y el desafío de construir sociedades inclusivas: debates y propuestas sobre modelos universitarios desde una perspectiva comparativa. Río Gallegos: Universidad Nacional de la Patagonia Austral. pp. 68-91. En Memoria Académica. Recuperado de:</w:t>
      </w:r>
      <w:hyperlink r:id="rId17" w:history="1">
        <w:r w:rsidRPr="00C231F1">
          <w:rPr>
            <w:rStyle w:val="Hipervnculo"/>
            <w:rFonts w:ascii="Times New Roman" w:hAnsi="Times New Roman" w:cs="Times New Roman"/>
            <w:lang w:val="es-AR"/>
          </w:rPr>
          <w:t xml:space="preserve"> http://www.memoria.fahce.unlp.edu.ar/libros/pm.761/pm.761.pdf</w:t>
        </w:r>
      </w:hyperlink>
    </w:p>
    <w:p w14:paraId="189A2DD6" w14:textId="77777777" w:rsidR="00C231F1" w:rsidRPr="00C231F1" w:rsidRDefault="00C231F1" w:rsidP="00C231F1">
      <w:pPr>
        <w:jc w:val="both"/>
        <w:rPr>
          <w:rFonts w:ascii="Times New Roman" w:hAnsi="Times New Roman" w:cs="Times New Roman"/>
          <w:lang w:val="es-AR"/>
        </w:rPr>
      </w:pPr>
      <w:proofErr w:type="spellStart"/>
      <w:r w:rsidRPr="00C231F1">
        <w:rPr>
          <w:rFonts w:ascii="Times New Roman" w:hAnsi="Times New Roman" w:cs="Times New Roman"/>
          <w:lang w:val="es-AR"/>
        </w:rPr>
        <w:t>Tiramonti</w:t>
      </w:r>
      <w:proofErr w:type="spellEnd"/>
      <w:r w:rsidRPr="00C231F1">
        <w:rPr>
          <w:rFonts w:ascii="Times New Roman" w:hAnsi="Times New Roman" w:cs="Times New Roman"/>
          <w:lang w:val="es-AR"/>
        </w:rPr>
        <w:t xml:space="preserve">, G. (2004). </w:t>
      </w:r>
      <w:r w:rsidRPr="00C231F1">
        <w:rPr>
          <w:rFonts w:ascii="Times New Roman" w:hAnsi="Times New Roman" w:cs="Times New Roman"/>
          <w:i/>
          <w:iCs/>
          <w:lang w:val="es-AR"/>
        </w:rPr>
        <w:t>La trama de la desigualdad educativa: mutaciones recientes en la escuela media</w:t>
      </w:r>
      <w:r w:rsidRPr="00C231F1">
        <w:rPr>
          <w:rFonts w:ascii="Times New Roman" w:hAnsi="Times New Roman" w:cs="Times New Roman"/>
          <w:lang w:val="es-AR"/>
        </w:rPr>
        <w:t>. Buenos Aires: Manantial.</w:t>
      </w:r>
    </w:p>
    <w:p w14:paraId="4FDB3483" w14:textId="6DDD1DEA" w:rsidR="00C802F5" w:rsidRPr="00BA642E" w:rsidRDefault="00C231F1" w:rsidP="00C231F1">
      <w:pPr>
        <w:jc w:val="both"/>
        <w:rPr>
          <w:rFonts w:ascii="Times New Roman" w:hAnsi="Times New Roman" w:cs="Times New Roman"/>
        </w:rPr>
      </w:pPr>
      <w:r w:rsidRPr="00C231F1">
        <w:rPr>
          <w:rFonts w:ascii="Times New Roman" w:hAnsi="Times New Roman" w:cs="Times New Roman"/>
          <w:lang w:val="es-AR"/>
        </w:rPr>
        <w:br/>
      </w:r>
    </w:p>
    <w:sectPr w:rsidR="00C802F5" w:rsidRPr="00BA642E"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9CEB4" w14:textId="77777777" w:rsidR="005C3E3B" w:rsidRPr="00BA642E" w:rsidRDefault="005C3E3B" w:rsidP="00C802F5">
      <w:pPr>
        <w:spacing w:after="0" w:line="240" w:lineRule="auto"/>
      </w:pPr>
      <w:r w:rsidRPr="00BA642E">
        <w:separator/>
      </w:r>
    </w:p>
  </w:endnote>
  <w:endnote w:type="continuationSeparator" w:id="0">
    <w:p w14:paraId="2CBD9E16" w14:textId="77777777" w:rsidR="005C3E3B" w:rsidRPr="00BA642E" w:rsidRDefault="005C3E3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229CB3" w14:textId="77777777" w:rsidR="005C3E3B" w:rsidRPr="00BA642E" w:rsidRDefault="005C3E3B" w:rsidP="00C802F5">
      <w:pPr>
        <w:spacing w:after="0" w:line="240" w:lineRule="auto"/>
      </w:pPr>
      <w:r w:rsidRPr="00BA642E">
        <w:separator/>
      </w:r>
    </w:p>
  </w:footnote>
  <w:footnote w:type="continuationSeparator" w:id="0">
    <w:p w14:paraId="17A43171" w14:textId="77777777" w:rsidR="005C3E3B" w:rsidRPr="00BA642E" w:rsidRDefault="005C3E3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1816D6"/>
    <w:rsid w:val="00185F5E"/>
    <w:rsid w:val="001923DC"/>
    <w:rsid w:val="002327C3"/>
    <w:rsid w:val="00296636"/>
    <w:rsid w:val="00312392"/>
    <w:rsid w:val="004040C0"/>
    <w:rsid w:val="00437E9C"/>
    <w:rsid w:val="00550766"/>
    <w:rsid w:val="00597268"/>
    <w:rsid w:val="005C3E3B"/>
    <w:rsid w:val="005E66CC"/>
    <w:rsid w:val="005F3B2E"/>
    <w:rsid w:val="00701F64"/>
    <w:rsid w:val="007B5B5F"/>
    <w:rsid w:val="007D233B"/>
    <w:rsid w:val="008150F3"/>
    <w:rsid w:val="0085070B"/>
    <w:rsid w:val="008B53ED"/>
    <w:rsid w:val="00A17247"/>
    <w:rsid w:val="00AD1056"/>
    <w:rsid w:val="00BA642E"/>
    <w:rsid w:val="00BC236F"/>
    <w:rsid w:val="00C231F1"/>
    <w:rsid w:val="00C802F5"/>
    <w:rsid w:val="00C96B2C"/>
    <w:rsid w:val="00CC04C1"/>
    <w:rsid w:val="00D46D74"/>
    <w:rsid w:val="00D843E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NormalWeb">
    <w:name w:val="Normal (Web)"/>
    <w:basedOn w:val="Normal"/>
    <w:uiPriority w:val="99"/>
    <w:semiHidden/>
    <w:unhideWhenUsed/>
    <w:rsid w:val="00AD105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lauramarchel@gmail.com" TargetMode="External"/><Relationship Id="rId13" Type="http://schemas.openxmlformats.org/officeDocument/2006/relationships/hyperlink" Target="https://doi.org/10.7203/RASE.17.1.26862"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mailto:sgarrigaolmo@gmail.com" TargetMode="External"/><Relationship Id="rId12" Type="http://schemas.openxmlformats.org/officeDocument/2006/relationships/hyperlink" Target="http://chivochile.com/Ideas_Autores/davilal_o/davila_o0001.pdf" TargetMode="External"/><Relationship Id="rId17" Type="http://schemas.openxmlformats.org/officeDocument/2006/relationships/hyperlink" Target="http://www.memoria.fahce.unlp.edu.ar/libros/pm.761/pm.761.pdf" TargetMode="External"/><Relationship Id="rId2" Type="http://schemas.openxmlformats.org/officeDocument/2006/relationships/settings" Target="settings.xml"/><Relationship Id="rId16" Type="http://schemas.openxmlformats.org/officeDocument/2006/relationships/hyperlink" Target="https://doi.org/10.37177/UNICEN/EB35-442"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medipiero@gmail.com" TargetMode="External"/><Relationship Id="rId11" Type="http://schemas.openxmlformats.org/officeDocument/2006/relationships/hyperlink" Target="https://www.archivochile.com/Ideas_Autores/davilal_o/davila_o0001.pdf" TargetMode="External"/><Relationship Id="rId5" Type="http://schemas.openxmlformats.org/officeDocument/2006/relationships/endnotes" Target="endnotes.xml"/><Relationship Id="rId15" Type="http://schemas.openxmlformats.org/officeDocument/2006/relationships/hyperlink" Target="http://doi.org/10.31406/relap2020.v14.i12.n27.7" TargetMode="External"/><Relationship Id="rId10" Type="http://schemas.openxmlformats.org/officeDocument/2006/relationships/hyperlink" Target="https://doi.org/http:/ridaa.unq.edu.ar/handle/20.500.11807/5715"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mailto:josefinamassigoge@gmail.com" TargetMode="External"/><Relationship Id="rId14" Type="http://schemas.openxmlformats.org/officeDocument/2006/relationships/hyperlink" Target="https://doi.org/10.17141/iconos.73.2022.52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6263</Words>
  <Characters>34451</Characters>
  <Application>Microsoft Office Word</Application>
  <DocSecurity>0</DocSecurity>
  <Lines>287</Lines>
  <Paragraphs>81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Ana Laura Marchel</cp:lastModifiedBy>
  <cp:revision>2</cp:revision>
  <dcterms:created xsi:type="dcterms:W3CDTF">2026-06-26T16:34:00Z</dcterms:created>
  <dcterms:modified xsi:type="dcterms:W3CDTF">2026-06-26T16:34:00Z</dcterms:modified>
</cp:coreProperties>
</file>