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58F83" w14:textId="77777777" w:rsidR="00824921" w:rsidRDefault="00824921">
      <w:pPr>
        <w:jc w:val="center"/>
        <w:rPr>
          <w:rFonts w:ascii="Times New Roman" w:eastAsia="Times New Roman" w:hAnsi="Times New Roman" w:cs="Times New Roman"/>
        </w:rPr>
      </w:pPr>
    </w:p>
    <w:p w14:paraId="6C6F4764" w14:textId="77777777" w:rsidR="00824921"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Inteligencia Artificial en educación superior veterinaria: abordaje institucional y percepciones estudiantiles en Udelar (Uruguay)</w:t>
      </w:r>
    </w:p>
    <w:p w14:paraId="0412A704" w14:textId="77777777" w:rsidR="00824921" w:rsidRDefault="00824921">
      <w:pPr>
        <w:jc w:val="center"/>
        <w:rPr>
          <w:rFonts w:ascii="Times New Roman" w:eastAsia="Times New Roman" w:hAnsi="Times New Roman" w:cs="Times New Roman"/>
        </w:rPr>
      </w:pPr>
    </w:p>
    <w:p w14:paraId="5A9DF647" w14:textId="77777777" w:rsidR="00824921" w:rsidRDefault="00000000">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Varesi</w:t>
      </w:r>
      <w:proofErr w:type="spellEnd"/>
      <w:r>
        <w:rPr>
          <w:rFonts w:ascii="Times New Roman" w:eastAsia="Times New Roman" w:hAnsi="Times New Roman" w:cs="Times New Roman"/>
        </w:rPr>
        <w:t xml:space="preserve"> Alejandro</w:t>
      </w:r>
    </w:p>
    <w:p w14:paraId="78FDF9FA" w14:textId="77777777" w:rsidR="0082492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de la República - Facultad de Veterinaria</w:t>
      </w:r>
    </w:p>
    <w:p w14:paraId="426BD326" w14:textId="77777777" w:rsidR="00824921" w:rsidRDefault="00000000">
      <w:pPr>
        <w:spacing w:after="200" w:line="240" w:lineRule="auto"/>
        <w:jc w:val="right"/>
        <w:rPr>
          <w:rFonts w:ascii="Times New Roman" w:eastAsia="Times New Roman" w:hAnsi="Times New Roman" w:cs="Times New Roman"/>
        </w:rPr>
      </w:pPr>
      <w:r>
        <w:rPr>
          <w:rFonts w:ascii="Times New Roman" w:eastAsia="Times New Roman" w:hAnsi="Times New Roman" w:cs="Times New Roman"/>
        </w:rPr>
        <w:t>alevaresi@gmail.com</w:t>
      </w:r>
    </w:p>
    <w:p w14:paraId="3D901EDD" w14:textId="77777777" w:rsidR="0082492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Cabral Paola</w:t>
      </w:r>
    </w:p>
    <w:p w14:paraId="5CFCD7C1" w14:textId="77777777" w:rsidR="0082492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de la República - Facultad de Veterinaria</w:t>
      </w:r>
    </w:p>
    <w:p w14:paraId="6AEDEE4A" w14:textId="77777777" w:rsidR="00824921" w:rsidRDefault="00000000">
      <w:pPr>
        <w:spacing w:after="200" w:line="240" w:lineRule="auto"/>
        <w:jc w:val="right"/>
        <w:rPr>
          <w:rFonts w:ascii="Times New Roman" w:eastAsia="Times New Roman" w:hAnsi="Times New Roman" w:cs="Times New Roman"/>
        </w:rPr>
      </w:pPr>
      <w:r>
        <w:rPr>
          <w:rFonts w:ascii="Times New Roman" w:eastAsia="Times New Roman" w:hAnsi="Times New Roman" w:cs="Times New Roman"/>
        </w:rPr>
        <w:t>paocab@gmail.com</w:t>
      </w:r>
    </w:p>
    <w:p w14:paraId="44DB6B4B" w14:textId="77777777" w:rsidR="00824921" w:rsidRDefault="00000000">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roofErr w:type="spellStart"/>
      <w:r>
        <w:rPr>
          <w:rFonts w:ascii="Times New Roman" w:eastAsia="Times New Roman" w:hAnsi="Times New Roman" w:cs="Times New Roman"/>
        </w:rPr>
        <w:t>Borlido</w:t>
      </w:r>
      <w:proofErr w:type="spellEnd"/>
      <w:r>
        <w:rPr>
          <w:rFonts w:ascii="Times New Roman" w:eastAsia="Times New Roman" w:hAnsi="Times New Roman" w:cs="Times New Roman"/>
        </w:rPr>
        <w:t xml:space="preserve"> Claudia</w:t>
      </w:r>
    </w:p>
    <w:p w14:paraId="30AFF0FE" w14:textId="77777777" w:rsidR="0082492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de la República - Facultad de Veterinaria</w:t>
      </w:r>
    </w:p>
    <w:p w14:paraId="68BD0475" w14:textId="77777777" w:rsidR="0082492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claudiaborlido@gmail.com </w:t>
      </w:r>
    </w:p>
    <w:p w14:paraId="3660E195" w14:textId="77777777" w:rsidR="00824921" w:rsidRDefault="00824921">
      <w:pPr>
        <w:jc w:val="center"/>
        <w:rPr>
          <w:rFonts w:ascii="Times New Roman" w:eastAsia="Times New Roman" w:hAnsi="Times New Roman" w:cs="Times New Roman"/>
        </w:rPr>
      </w:pPr>
    </w:p>
    <w:p w14:paraId="46263870"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b/>
          <w:bCs/>
        </w:rPr>
        <w:t xml:space="preserve">Resumen: </w:t>
      </w:r>
    </w:p>
    <w:p w14:paraId="43500E02"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La irrupción de la Inteligencia Artificial (IA) generativa en la educación superior plantea desafíos ineludibles para las prácticas de enseñanza y aprendizaje, tensionando las formas tradicionales de construcción del conocimiento. Este trabajo analiza el abordaje institucional y la percepción de la comunidad educativa frente a la IA en la Facultad de Veterinaria (FV) de la Universidad de la República (Udelar). Desde un enfoque metodológico mixto y exploratorio, el estudio triangula datos empíricos y documentales. En primer </w:t>
      </w:r>
      <w:proofErr w:type="gramStart"/>
      <w:r w:rsidRPr="0014393E">
        <w:rPr>
          <w:rFonts w:ascii="Times New Roman" w:eastAsia="Times New Roman" w:hAnsi="Times New Roman" w:cs="Times New Roman"/>
        </w:rPr>
        <w:t>lugar</w:t>
      </w:r>
      <w:proofErr w:type="gramEnd"/>
      <w:r w:rsidRPr="0014393E">
        <w:rPr>
          <w:rFonts w:ascii="Times New Roman" w:eastAsia="Times New Roman" w:hAnsi="Times New Roman" w:cs="Times New Roman"/>
        </w:rPr>
        <w:t xml:space="preserve"> se realiza un análisis cualitativo de las acciones institucionales implementadas por la FV y la Udelar, relevando documentos oficiales, la conformación de grupos de trabajo específicos, instancias de discusión académica y la ejecución de talleres de formación docente frente a este nuevo escenario tecnológico. En segundo </w:t>
      </w:r>
      <w:proofErr w:type="gramStart"/>
      <w:r w:rsidRPr="0014393E">
        <w:rPr>
          <w:rFonts w:ascii="Times New Roman" w:eastAsia="Times New Roman" w:hAnsi="Times New Roman" w:cs="Times New Roman"/>
        </w:rPr>
        <w:t>lugar</w:t>
      </w:r>
      <w:proofErr w:type="gramEnd"/>
      <w:r w:rsidRPr="0014393E">
        <w:rPr>
          <w:rFonts w:ascii="Times New Roman" w:eastAsia="Times New Roman" w:hAnsi="Times New Roman" w:cs="Times New Roman"/>
        </w:rPr>
        <w:t xml:space="preserve"> se aplican instrumentos cuantitativos mediante encuestas estructuradas a estudiantes. Específicamente se analizan las respuestas de estudiantes de primer año, correspondientes a las cohortes 2024 y 2025, que cursaron el Taller de Herramientas Informáticas. La elección de esta población permite capturar el estado de situación en el ingreso a la vida universitaria. La encuesta busca evaluar el conocimiento previo, la frecuencia de uso, las herramientas preferidas y las percepciones éticas sobre la IA en el desarrollo de sus tareas académicas. Los resultados evidencian una respuesta institucional activa orientada hacia la alfabetización digital y la problematización del fenómeno, mediante la apertura de espacios formativos y el diseño de lineamientos preliminares. A nivel estudiantil, los datos revelan una adopción masiva y naturalizada de plataformas de generación de texto como </w:t>
      </w:r>
      <w:proofErr w:type="spellStart"/>
      <w:r w:rsidRPr="0014393E">
        <w:rPr>
          <w:rFonts w:ascii="Times New Roman" w:eastAsia="Times New Roman" w:hAnsi="Times New Roman" w:cs="Times New Roman"/>
        </w:rPr>
        <w:t>ChatGPT</w:t>
      </w:r>
      <w:proofErr w:type="spellEnd"/>
      <w:r w:rsidRPr="0014393E">
        <w:rPr>
          <w:rFonts w:ascii="Times New Roman" w:eastAsia="Times New Roman" w:hAnsi="Times New Roman" w:cs="Times New Roman"/>
        </w:rPr>
        <w:t xml:space="preserve"> y Gemini, herramientas que un segmento importante ya utilizaba antes del ingreso universitario. El uso predominante se destina a la búsqueda de información, la redacción y la resolución de dudas específicas, con una frecuencia que varía mayoritariamente entre ocasional y semanal. Aunque gran parte del estudiantado percibe que la IA puede potenciar su rendimiento académico facilitando procesos operativos, </w:t>
      </w:r>
      <w:r w:rsidRPr="0014393E">
        <w:rPr>
          <w:rFonts w:ascii="Times New Roman" w:eastAsia="Times New Roman" w:hAnsi="Times New Roman" w:cs="Times New Roman"/>
        </w:rPr>
        <w:lastRenderedPageBreak/>
        <w:t>coexiste una mirada crítica: los estudiantes advierten que su uso excesivo o inadecuado puede ser perjudicial para el aprendizaje autónomo y el desarrollo del pensamiento crítico. En sintonía con esto, respaldan la creación de regulaciones claras en el ámbito académico para evitar el fraude intelectual y manifiestan un alto interés en recibir talleres institucionales sobre el uso efectivo y ético de estas tecnologías, demostrando una demanda genuina de acompañamiento pedagógico. Los hallazgos subrayan la importancia de que las instituciones de educación superior trabajen en la actualización del currículum y las estrategias didácticas, abordando la IA no solo como un instrumento facilitador, sino como un objeto de estudio crítico. Se concluye que el escenario actual demanda normativas institucionales orientativas y no meramente punitivas, así como una formación continua para garantizar la calidad en la formación académica y promover una integración responsable de las tecnologías emergentes en la universidad contemporánea.</w:t>
      </w:r>
    </w:p>
    <w:p w14:paraId="71363D16" w14:textId="77777777" w:rsidR="00824921" w:rsidRPr="0014393E" w:rsidRDefault="00000000" w:rsidP="0014393E">
      <w:pPr>
        <w:spacing w:line="240" w:lineRule="auto"/>
        <w:jc w:val="both"/>
        <w:rPr>
          <w:rFonts w:ascii="Times New Roman" w:eastAsia="Times New Roman" w:hAnsi="Times New Roman" w:cs="Times New Roman"/>
          <w:b/>
          <w:bCs/>
        </w:rPr>
      </w:pPr>
      <w:r w:rsidRPr="0014393E">
        <w:rPr>
          <w:rFonts w:ascii="Times New Roman" w:eastAsia="Times New Roman" w:hAnsi="Times New Roman" w:cs="Times New Roman"/>
          <w:b/>
          <w:bCs/>
        </w:rPr>
        <w:t xml:space="preserve">Palabras clave: </w:t>
      </w:r>
      <w:r w:rsidRPr="0014393E">
        <w:rPr>
          <w:rFonts w:ascii="Times New Roman" w:eastAsia="Times New Roman" w:hAnsi="Times New Roman" w:cs="Times New Roman"/>
        </w:rPr>
        <w:t>Inteligencia Artificial, Educación Superior, Estudiantes Universitarios.</w:t>
      </w:r>
    </w:p>
    <w:p w14:paraId="48D27771" w14:textId="77777777" w:rsidR="00824921" w:rsidRPr="0014393E" w:rsidRDefault="00000000" w:rsidP="0014393E">
      <w:pPr>
        <w:spacing w:line="240" w:lineRule="auto"/>
        <w:rPr>
          <w:rFonts w:ascii="Times New Roman" w:eastAsia="Times New Roman" w:hAnsi="Times New Roman" w:cs="Times New Roman"/>
          <w:b/>
          <w:bCs/>
        </w:rPr>
      </w:pPr>
      <w:r w:rsidRPr="0014393E">
        <w:rPr>
          <w:rFonts w:ascii="Times New Roman" w:eastAsia="Times New Roman" w:hAnsi="Times New Roman" w:cs="Times New Roman"/>
          <w:b/>
          <w:bCs/>
        </w:rPr>
        <w:t>Introducción</w:t>
      </w:r>
    </w:p>
    <w:p w14:paraId="4D3D0D08"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La irrupción de la inteligencia artificial (IA) generativa está transformando a nivel global las instituciones académicas, configurando un escenario disruptivo que promueve profundas reflexiones sobre las transformaciones en el diseño de las propuestas de enseñanza y las dinámicas de aprendizaje (</w:t>
      </w:r>
      <w:proofErr w:type="spellStart"/>
      <w:r w:rsidRPr="0014393E">
        <w:rPr>
          <w:rFonts w:ascii="Times New Roman" w:eastAsia="Times New Roman" w:hAnsi="Times New Roman" w:cs="Times New Roman"/>
          <w:highlight w:val="white"/>
        </w:rPr>
        <w:t>Andreoli</w:t>
      </w:r>
      <w:proofErr w:type="spellEnd"/>
      <w:r w:rsidRPr="0014393E">
        <w:rPr>
          <w:rFonts w:ascii="Times New Roman" w:eastAsia="Times New Roman" w:hAnsi="Times New Roman" w:cs="Times New Roman"/>
          <w:highlight w:val="white"/>
        </w:rPr>
        <w:t xml:space="preserve"> et al., 2024, p. 64). En la educación superior, estas tecnologías tienen la capacidad de automatizar la generación de contenidos e imitar acciones habitualmente realizadas por humanos, tales como redactar, elaborar resúmenes, planificar tareas, secuenciar contenidos o dialogar (Angulo </w:t>
      </w:r>
      <w:proofErr w:type="spellStart"/>
      <w:r w:rsidRPr="0014393E">
        <w:rPr>
          <w:rFonts w:ascii="Times New Roman" w:eastAsia="Times New Roman" w:hAnsi="Times New Roman" w:cs="Times New Roman"/>
          <w:highlight w:val="white"/>
        </w:rPr>
        <w:t>Valdearenas</w:t>
      </w:r>
      <w:proofErr w:type="spellEnd"/>
      <w:r w:rsidRPr="0014393E">
        <w:rPr>
          <w:rFonts w:ascii="Times New Roman" w:eastAsia="Times New Roman" w:hAnsi="Times New Roman" w:cs="Times New Roman"/>
          <w:highlight w:val="white"/>
        </w:rPr>
        <w:t xml:space="preserve"> et al., 2024, p. 21). Este impacto global tiene el potencial de cambiar las reglas del juego de la educación superior, optimizando los procesos institucionales y mejorando los resultados si su implementación se realiza de forma estratégica (Molina y Medina, 2025, pp. 6-7). No obstante, para que la IA apoye eficazmente a las universidades en la provisión de experiencias de aprendizaje personalizadas y relevantes, resulta indispensable considerar la ética y construir sólidas capacidades tanto individuales como institucionales (</w:t>
      </w:r>
      <w:proofErr w:type="spellStart"/>
      <w:r w:rsidRPr="0014393E">
        <w:rPr>
          <w:rFonts w:ascii="Times New Roman" w:eastAsia="Times New Roman" w:hAnsi="Times New Roman" w:cs="Times New Roman"/>
          <w:highlight w:val="white"/>
        </w:rPr>
        <w:t>Sabzalieva</w:t>
      </w:r>
      <w:proofErr w:type="spellEnd"/>
      <w:r w:rsidRPr="0014393E">
        <w:rPr>
          <w:rFonts w:ascii="Times New Roman" w:eastAsia="Times New Roman" w:hAnsi="Times New Roman" w:cs="Times New Roman"/>
          <w:highlight w:val="white"/>
        </w:rPr>
        <w:t xml:space="preserve"> y Valentini, 2023, p. 12).</w:t>
      </w:r>
    </w:p>
    <w:p w14:paraId="3A29C3B9"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Este panorama tecnológico plantea nuevos y urgentes retos en relación con la integridad académica, obligando a las universidades a replantear nociones fundamentales sobre la autoría, el plagio, la creatividad y los procesos de construcción del conocimiento (</w:t>
      </w:r>
      <w:proofErr w:type="spellStart"/>
      <w:r w:rsidRPr="0014393E">
        <w:rPr>
          <w:rFonts w:ascii="Times New Roman" w:eastAsia="Times New Roman" w:hAnsi="Times New Roman" w:cs="Times New Roman"/>
          <w:highlight w:val="white"/>
        </w:rPr>
        <w:t>Andreoli</w:t>
      </w:r>
      <w:proofErr w:type="spellEnd"/>
      <w:r w:rsidRPr="0014393E">
        <w:rPr>
          <w:rFonts w:ascii="Times New Roman" w:eastAsia="Times New Roman" w:hAnsi="Times New Roman" w:cs="Times New Roman"/>
          <w:highlight w:val="white"/>
        </w:rPr>
        <w:t xml:space="preserve"> et al., 2024, p. 64). Baldrich et al. (2024) plantean que una de las mayores preocupaciones docentes se vincula directamente con la creación automática de textos y su impacto en la alfabetización académica, competencia que en el entorno actual debe incorporar ineludiblemente nuevas habilidades y destrezas para el uso de la IA (pp. 58-59). Desde una dimensión moral, el aspecto ético de la IA en la educación se centra de manera principal en proteger la privacidad de los datos de los estudiantes y en mantener la autenticidad y veracidad de todo el proceso educativo (p. 68). Por ello la “gobernanza ética” de estas herramientas en la educación superior no puede pasarse por alto, ya que cuestiones como la opacidad en la toma de decisiones, la privacidad de los datos y el sesgo algorítmico exigen una atención urgente por parte de las instituciones (Molina y Medina, 2025, p. 37).</w:t>
      </w:r>
    </w:p>
    <w:p w14:paraId="6F46658C"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lastRenderedPageBreak/>
        <w:t xml:space="preserve">Para afrontar estas tensiones de manera efectiva, resulta imprescindible establecer legislaciones y regulaciones institucionales fundamentadas en valores éticos que velen por los derechos y el bienestar de las personas, a la par de formar a los ciudadanos en un uso crítico y responsable (Angulo </w:t>
      </w:r>
      <w:proofErr w:type="spellStart"/>
      <w:r w:rsidRPr="0014393E">
        <w:rPr>
          <w:rFonts w:ascii="Times New Roman" w:eastAsia="Times New Roman" w:hAnsi="Times New Roman" w:cs="Times New Roman"/>
          <w:highlight w:val="white"/>
        </w:rPr>
        <w:t>Valdearenas</w:t>
      </w:r>
      <w:proofErr w:type="spellEnd"/>
      <w:r w:rsidRPr="0014393E">
        <w:rPr>
          <w:rFonts w:ascii="Times New Roman" w:eastAsia="Times New Roman" w:hAnsi="Times New Roman" w:cs="Times New Roman"/>
          <w:highlight w:val="white"/>
        </w:rPr>
        <w:t xml:space="preserve"> et al., 2024, p. 17). Esto subraya la profunda necesidad de una integración conceptual de la IA en las prácticas docentes, trascendiendo su uso como una herramienta aislada y desarrollando propuestas de formación que aborden requerimientos específicos de competencias digitales, apoyo institucional y reflexiones éticas (</w:t>
      </w:r>
      <w:proofErr w:type="spellStart"/>
      <w:r w:rsidRPr="0014393E">
        <w:rPr>
          <w:rFonts w:ascii="Times New Roman" w:eastAsia="Times New Roman" w:hAnsi="Times New Roman" w:cs="Times New Roman"/>
          <w:highlight w:val="white"/>
        </w:rPr>
        <w:t>Andreoli</w:t>
      </w:r>
      <w:proofErr w:type="spellEnd"/>
      <w:r w:rsidRPr="0014393E">
        <w:rPr>
          <w:rFonts w:ascii="Times New Roman" w:eastAsia="Times New Roman" w:hAnsi="Times New Roman" w:cs="Times New Roman"/>
          <w:highlight w:val="white"/>
        </w:rPr>
        <w:t xml:space="preserve"> et al., 2024, p. 66). De este modo, para implementar la IA con éxito, es crucial que tanto los docentes como los profesionales del sector estén debidamente capacitados para aplicarla de forma que promueva un aprendizaje inclusivo y enriquecedor. Este proceso de integración exige un análisis constante y riguroso de sus posibles riesgos y desafíos a largo plazo, tales como la dependencia tecnológica, las afectaciones en los procesos cognitivos y creativos, y las implicaciones en las situaciones particulares del estudiantado (Ramírez Armenta y Solano Norzagaray, 2025, p. 201).</w:t>
      </w:r>
    </w:p>
    <w:p w14:paraId="7AB2A7CA"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En este escenario, Baldrich et al. (2024) plantean que el impacto sobre los procesos cognitivos exige una reconfiguración profunda de la alfabetización académica, la cual debe orientarse a fomentar el pensamiento crítico y creativo para formar usuarios responsables frente a los nuevos recursos digitales (p. 55). Si bien las plataformas basadas en inteligencia artificial poseen un potencial significativo como asistentes para desarrollar la creatividad verbal y la escritura (p. 60), su integración demanda enfoques pedagógicos que promuevan el aprendizaje autónomo y la evaluación crítica de la información por parte de los estudiantes (p. 69). De este modo se busca evitar que el uso de la IA se reduzca a prácticas superficiales o banales, como la simple acción de "copiar y pegar", garantizando que el alumnado adquiera las competencias ineludibles para exponer, argumentar, resumir y clasificar información de forma reflexiva (</w:t>
      </w:r>
      <w:proofErr w:type="spellStart"/>
      <w:r w:rsidRPr="0014393E">
        <w:rPr>
          <w:rFonts w:ascii="Times New Roman" w:eastAsia="Times New Roman" w:hAnsi="Times New Roman" w:cs="Times New Roman"/>
          <w:highlight w:val="white"/>
        </w:rPr>
        <w:t>Andreoli</w:t>
      </w:r>
      <w:proofErr w:type="spellEnd"/>
      <w:r w:rsidRPr="0014393E">
        <w:rPr>
          <w:rFonts w:ascii="Times New Roman" w:eastAsia="Times New Roman" w:hAnsi="Times New Roman" w:cs="Times New Roman"/>
          <w:highlight w:val="white"/>
        </w:rPr>
        <w:t xml:space="preserve"> et al., 2024, p. 74; Baldrich et al., 2024, p. 59).</w:t>
      </w:r>
    </w:p>
    <w:p w14:paraId="32DBDB02"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Para lograr esta integración de forma significativa, las instituciones enfrentan enormes desafíos pedagógicos, siendo el principal riesgo priorizar la tecnología por encima de la pedagogía en lugar de fusionarla orgánicamente con estrategias de enseñanza eficaces (</w:t>
      </w:r>
      <w:proofErr w:type="spellStart"/>
      <w:r w:rsidRPr="0014393E">
        <w:rPr>
          <w:rFonts w:ascii="Times New Roman" w:eastAsia="Times New Roman" w:hAnsi="Times New Roman" w:cs="Times New Roman"/>
          <w:highlight w:val="white"/>
        </w:rPr>
        <w:t>Garcia</w:t>
      </w:r>
      <w:proofErr w:type="spellEnd"/>
      <w:r w:rsidRPr="0014393E">
        <w:rPr>
          <w:rFonts w:ascii="Times New Roman" w:eastAsia="Times New Roman" w:hAnsi="Times New Roman" w:cs="Times New Roman"/>
          <w:highlight w:val="white"/>
        </w:rPr>
        <w:t xml:space="preserve">-Peñalvo et al., 2024, p. 3). Actualmente la falta de conocimiento y formación específica del profesorado universitario emerge como el obstáculo primordial para la adopción de estas herramientas (Escario et al., 2024, pp. 154-155). Debido a esta barrera formativa y a la ausencia de directrices claras, una abrumadora mayoría de docentes manifiesta no utilizar aún la IA en el desarrollo de la docencia en el aula (78,8 %) ni en las instancias de evaluación del aprendizaje (87,5 %) (Escario et al., 2024, p. 153). Por lo </w:t>
      </w:r>
      <w:proofErr w:type="gramStart"/>
      <w:r w:rsidRPr="0014393E">
        <w:rPr>
          <w:rFonts w:ascii="Times New Roman" w:eastAsia="Times New Roman" w:hAnsi="Times New Roman" w:cs="Times New Roman"/>
          <w:highlight w:val="white"/>
        </w:rPr>
        <w:t>tanto</w:t>
      </w:r>
      <w:proofErr w:type="gramEnd"/>
      <w:r w:rsidRPr="0014393E">
        <w:rPr>
          <w:rFonts w:ascii="Times New Roman" w:eastAsia="Times New Roman" w:hAnsi="Times New Roman" w:cs="Times New Roman"/>
          <w:highlight w:val="white"/>
        </w:rPr>
        <w:t xml:space="preserve"> resulta imperativo establecer principios de IA segura que armonicen con las prácticas didácticas y el diseño instruccional, asegurando que la tecnología potencie los resultados educativos sin comprometer la integridad académica (</w:t>
      </w:r>
      <w:proofErr w:type="spellStart"/>
      <w:r w:rsidRPr="0014393E">
        <w:rPr>
          <w:rFonts w:ascii="Times New Roman" w:eastAsia="Times New Roman" w:hAnsi="Times New Roman" w:cs="Times New Roman"/>
          <w:highlight w:val="white"/>
        </w:rPr>
        <w:t>Garcia</w:t>
      </w:r>
      <w:proofErr w:type="spellEnd"/>
      <w:r w:rsidRPr="0014393E">
        <w:rPr>
          <w:rFonts w:ascii="Times New Roman" w:eastAsia="Times New Roman" w:hAnsi="Times New Roman" w:cs="Times New Roman"/>
          <w:highlight w:val="white"/>
        </w:rPr>
        <w:t>-Peñalvo et al., 2024, p. 6).</w:t>
      </w:r>
    </w:p>
    <w:p w14:paraId="376DA17C"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Las percepciones de la comunidad educativa respecto a esta disrupción tecnológica oscilan entre el entusiasmo y la precaución. Por un </w:t>
      </w:r>
      <w:proofErr w:type="gramStart"/>
      <w:r w:rsidRPr="0014393E">
        <w:rPr>
          <w:rFonts w:ascii="Times New Roman" w:eastAsia="Times New Roman" w:hAnsi="Times New Roman" w:cs="Times New Roman"/>
          <w:highlight w:val="white"/>
        </w:rPr>
        <w:t>lado</w:t>
      </w:r>
      <w:proofErr w:type="gramEnd"/>
      <w:r w:rsidRPr="0014393E">
        <w:rPr>
          <w:rFonts w:ascii="Times New Roman" w:eastAsia="Times New Roman" w:hAnsi="Times New Roman" w:cs="Times New Roman"/>
          <w:highlight w:val="white"/>
        </w:rPr>
        <w:t xml:space="preserve"> el profesorado reconoce las amplias expectativas y oportunidades que brinda la IA para la innovación en el diseño de </w:t>
      </w:r>
      <w:r w:rsidRPr="0014393E">
        <w:rPr>
          <w:rFonts w:ascii="Times New Roman" w:eastAsia="Times New Roman" w:hAnsi="Times New Roman" w:cs="Times New Roman"/>
          <w:highlight w:val="white"/>
        </w:rPr>
        <w:lastRenderedPageBreak/>
        <w:t>propuestas de enseñanza, pero por otro manifiesta legítimos temores en torno al plagio, la pérdida de habilidades y las implicaciones éticas de su uso (</w:t>
      </w:r>
      <w:proofErr w:type="spellStart"/>
      <w:r w:rsidRPr="0014393E">
        <w:rPr>
          <w:rFonts w:ascii="Times New Roman" w:eastAsia="Times New Roman" w:hAnsi="Times New Roman" w:cs="Times New Roman"/>
          <w:highlight w:val="white"/>
        </w:rPr>
        <w:t>Andreoli</w:t>
      </w:r>
      <w:proofErr w:type="spellEnd"/>
      <w:r w:rsidRPr="0014393E">
        <w:rPr>
          <w:rFonts w:ascii="Times New Roman" w:eastAsia="Times New Roman" w:hAnsi="Times New Roman" w:cs="Times New Roman"/>
          <w:highlight w:val="white"/>
        </w:rPr>
        <w:t xml:space="preserve"> et al., 2024, p. 74; Escario et al., 2024, p. 137). Frente a la sensación de aislamiento o incertidumbre que pueden generar estos nuevos entornos, los docentes valoran profundamente la creación de redes y vínculos, ya que el intercambio interdisciplinario y la interacción colaborativa con colegas actúan como catalizadores esenciales para enriquecer la reflexión sobre sus prácticas (</w:t>
      </w:r>
      <w:proofErr w:type="spellStart"/>
      <w:r w:rsidRPr="0014393E">
        <w:rPr>
          <w:rFonts w:ascii="Times New Roman" w:eastAsia="Times New Roman" w:hAnsi="Times New Roman" w:cs="Times New Roman"/>
          <w:highlight w:val="white"/>
        </w:rPr>
        <w:t>Andreoli</w:t>
      </w:r>
      <w:proofErr w:type="spellEnd"/>
      <w:r w:rsidRPr="0014393E">
        <w:rPr>
          <w:rFonts w:ascii="Times New Roman" w:eastAsia="Times New Roman" w:hAnsi="Times New Roman" w:cs="Times New Roman"/>
          <w:highlight w:val="white"/>
        </w:rPr>
        <w:t xml:space="preserve"> et al., 2024, p. 73). Atender estas percepciones e inquietudes mediante un acompañamiento institucional sostenido no solo mitigará los riesgos percibidos, sino que dotará a los educadores de la preparación necesaria para transformar la IA en un motor de excelencia y mejora continua (Escario et al., 2024, p. 141).</w:t>
      </w:r>
    </w:p>
    <w:p w14:paraId="03D8F003"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Frente a este vasto panorama tecnológico global, la rápida incorporación de la inteligencia artificial trae consigo no solo promesas de innovación, sino también profundos dilemas morales y estructurales que las instituciones deben atender. Como advierten Castillo-Salazar y Mora-Rosales (2024), surgen múltiples inquietudes en torno a la equidad en el acceso a la tecnología y la posible dependencia excesiva de los algoritmos para la toma de decisiones pedagógicas, lo que subraya la urgencia de desarrollar marcos normativos que promuevan una integración responsable, el respeto a la autonomía académica y la justicia educativa (p. 11). En este sentido, la implementación de estas herramientas en la educación superior plantea riesgos éticos ineludibles, particularmente aquellos vinculados con la privacidad de la información, ya que las universidades deben asegurarse de que la IA no infrinja la privacidad o la autonomía de los estudiantes (pp. 14-15). De manera análoga, esta complejidad exige una educación ética específica sobre la IA para afrontar sus desafíos emergentes y garantizar la seguridad en los ecosistemas digitales universitarios (</w:t>
      </w:r>
      <w:proofErr w:type="spellStart"/>
      <w:r w:rsidRPr="0014393E">
        <w:rPr>
          <w:rFonts w:ascii="Times New Roman" w:eastAsia="Times New Roman" w:hAnsi="Times New Roman" w:cs="Times New Roman"/>
          <w:highlight w:val="white"/>
        </w:rPr>
        <w:t>Murdan</w:t>
      </w:r>
      <w:proofErr w:type="spellEnd"/>
      <w:r w:rsidRPr="0014393E">
        <w:rPr>
          <w:rFonts w:ascii="Times New Roman" w:eastAsia="Times New Roman" w:hAnsi="Times New Roman" w:cs="Times New Roman"/>
          <w:highlight w:val="white"/>
        </w:rPr>
        <w:t xml:space="preserve"> y </w:t>
      </w:r>
      <w:proofErr w:type="spellStart"/>
      <w:r w:rsidRPr="0014393E">
        <w:rPr>
          <w:rFonts w:ascii="Times New Roman" w:eastAsia="Times New Roman" w:hAnsi="Times New Roman" w:cs="Times New Roman"/>
          <w:highlight w:val="white"/>
        </w:rPr>
        <w:t>Halkhoree</w:t>
      </w:r>
      <w:proofErr w:type="spellEnd"/>
      <w:r w:rsidRPr="0014393E">
        <w:rPr>
          <w:rFonts w:ascii="Times New Roman" w:eastAsia="Times New Roman" w:hAnsi="Times New Roman" w:cs="Times New Roman"/>
          <w:highlight w:val="white"/>
        </w:rPr>
        <w:t>, 2024, pp. 3-4).</w:t>
      </w:r>
    </w:p>
    <w:p w14:paraId="347C4E06"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Dado que los impactos y las tensiones generadas por la IA no se manifiestan de forma homogénea, resulta imperativo trascender los análisis teóricos globales para investigar contextos institucionales y socioculturales específicos que revelen cómo se materializa esta adopción en la práctica cotidiana. Es precisamente esta necesidad de situar el fenómeno lo que motiva el presente estudio en la Facultad de Veterinaria (FV) de la Universidad de la República (Udelar) en Uruguay. </w:t>
      </w:r>
    </w:p>
    <w:p w14:paraId="1FCA1918" w14:textId="77777777" w:rsidR="00824921" w:rsidRPr="0014393E" w:rsidRDefault="00000000" w:rsidP="0014393E">
      <w:pPr>
        <w:spacing w:line="240" w:lineRule="auto"/>
        <w:rPr>
          <w:rFonts w:ascii="Times New Roman" w:eastAsia="Times New Roman" w:hAnsi="Times New Roman" w:cs="Times New Roman"/>
          <w:b/>
          <w:bCs/>
        </w:rPr>
      </w:pPr>
      <w:r w:rsidRPr="0014393E">
        <w:rPr>
          <w:rFonts w:ascii="Times New Roman" w:eastAsia="Times New Roman" w:hAnsi="Times New Roman" w:cs="Times New Roman"/>
          <w:b/>
          <w:bCs/>
        </w:rPr>
        <w:t>Metodología</w:t>
      </w:r>
    </w:p>
    <w:p w14:paraId="27316A30"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Para cumplir con el objetivo de analizar el abordaje institucional y las percepciones estudiantiles frente a la irrupción de la inteligencia artificial generativa en la FV de la Udelar, esta investigación se inscribió en un diseño metodológico de enfoque mixto (cualitativo y cuantitativo), con un alcance exploratorio-descriptivo y de corte transversal-longitudinal comparativo. La adopción de un modelo mixto responde a la necesidad de capturar un fenómeno socio-técnico complejo y multifacético, combinando la profundidad analítica del examen documental y regulatorio con la representatividad estadística de los datos recolectados en el territorio. De este modo el estudio implementó una estrategia de triangulación metodológica concurrente, la cual permitió contrastar y enriquecer las directrices político-pedagógicas emanadas de los órganos de gobierno con las prácticas reales, hábitos de consumo y demandas formativas del estudiantado.</w:t>
      </w:r>
    </w:p>
    <w:p w14:paraId="2DC37D51"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lastRenderedPageBreak/>
        <w:t xml:space="preserve">La dimensión cualitativa del estudio se centró en un riguroso análisis documental e institucional de las acciones implementadas en los distintos niveles de la Udelar entre los años 2024 y 2026. El corpus documental analizado quedó constituido por tres grandes núcleos de información. El primero de ellos correspondió al nivel </w:t>
      </w:r>
      <w:proofErr w:type="spellStart"/>
      <w:r w:rsidRPr="0014393E">
        <w:rPr>
          <w:rFonts w:ascii="Times New Roman" w:eastAsia="Times New Roman" w:hAnsi="Times New Roman" w:cs="Times New Roman"/>
          <w:highlight w:val="white"/>
        </w:rPr>
        <w:t>macroinstitucional</w:t>
      </w:r>
      <w:proofErr w:type="spellEnd"/>
      <w:r w:rsidRPr="0014393E">
        <w:rPr>
          <w:rFonts w:ascii="Times New Roman" w:eastAsia="Times New Roman" w:hAnsi="Times New Roman" w:cs="Times New Roman"/>
          <w:highlight w:val="white"/>
        </w:rPr>
        <w:t xml:space="preserve"> central, abarcando las actas de creación, resoluciones de la Comisión Sectorial de Enseñanza y Educación Permanente y un informe de diagnóstico y necesidades urgentes elevado al Consejo Directivo Central de la Udelar por el Grupo de Trabajo sobre Inteligencia Artificial en la Enseñanza y el Aprendizaje. El segundo núcleo abordó el nivel </w:t>
      </w:r>
      <w:proofErr w:type="spellStart"/>
      <w:r w:rsidRPr="0014393E">
        <w:rPr>
          <w:rFonts w:ascii="Times New Roman" w:eastAsia="Times New Roman" w:hAnsi="Times New Roman" w:cs="Times New Roman"/>
          <w:highlight w:val="white"/>
        </w:rPr>
        <w:t>interfacultades</w:t>
      </w:r>
      <w:proofErr w:type="spellEnd"/>
      <w:r w:rsidRPr="0014393E">
        <w:rPr>
          <w:rFonts w:ascii="Times New Roman" w:eastAsia="Times New Roman" w:hAnsi="Times New Roman" w:cs="Times New Roman"/>
          <w:highlight w:val="white"/>
        </w:rPr>
        <w:t xml:space="preserve">, relevando y categorizando de forma comparativa los marcos regulatorios y guías de uso ético y crítico aprobadas por la Facultad de Ingeniería y la Facultad de Humanidades y Ciencias de la Educación en el año 2026. Por </w:t>
      </w:r>
      <w:proofErr w:type="gramStart"/>
      <w:r w:rsidRPr="0014393E">
        <w:rPr>
          <w:rFonts w:ascii="Times New Roman" w:eastAsia="Times New Roman" w:hAnsi="Times New Roman" w:cs="Times New Roman"/>
          <w:highlight w:val="white"/>
        </w:rPr>
        <w:t>último</w:t>
      </w:r>
      <w:proofErr w:type="gramEnd"/>
      <w:r w:rsidRPr="0014393E">
        <w:rPr>
          <w:rFonts w:ascii="Times New Roman" w:eastAsia="Times New Roman" w:hAnsi="Times New Roman" w:cs="Times New Roman"/>
          <w:highlight w:val="white"/>
        </w:rPr>
        <w:t xml:space="preserve"> el tercer núcleo se enfocó en el nivel </w:t>
      </w:r>
      <w:proofErr w:type="spellStart"/>
      <w:r w:rsidRPr="0014393E">
        <w:rPr>
          <w:rFonts w:ascii="Times New Roman" w:eastAsia="Times New Roman" w:hAnsi="Times New Roman" w:cs="Times New Roman"/>
          <w:highlight w:val="white"/>
        </w:rPr>
        <w:t>microinstitucional</w:t>
      </w:r>
      <w:proofErr w:type="spellEnd"/>
      <w:r w:rsidRPr="0014393E">
        <w:rPr>
          <w:rFonts w:ascii="Times New Roman" w:eastAsia="Times New Roman" w:hAnsi="Times New Roman" w:cs="Times New Roman"/>
          <w:highlight w:val="white"/>
        </w:rPr>
        <w:t xml:space="preserve"> local de la Facultad de Veterinaria, examinando los programas de estudio curriculares del Taller de Herramientas Informáticas y las memorias académicas de los talleres de formación docente ejecutados por la Unidad de Educación en su Escuela de Verano de 2025. Para el procesamiento de este material discursivo se utilizó el análisis de contenido cualitativo, estableciendo categorías inductivas y deductivas orientadas a identificar las concepciones pedagógicas subyacentes, las dimensiones éticas priorizadas y la naturaleza de las respuestas institucionales. </w:t>
      </w:r>
    </w:p>
    <w:p w14:paraId="3FAB6A03"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Por su parte la dimensión cuantitativa se articuló mediante el diseño y la aplicación de un instrumento de encuesta estructurada autoadministrada en formato digital. La población objetivo estuvo constituida por los estudiantes de primer año de la carrera de Medicina Veterinaria de la Udelar. La selección de esta población específica responde a un criterio muestral intencional y estratégico: capturar el estado de situación de los jóvenes en el hito exacto de su inserción a la vida universitaria, actuando como un sensor de las competencias digitales y hábitos tecnológicos con los que ingresan desde la educación secundaria. Para garantizar el acceso y la representatividad de la muestra, el instrumento se aplicó en el marco del Taller de Herramientas Informáticas, una unidad curricular obligatoria ubicada en el segundo semestre de la carrera, lo que permitió alcanzar niveles de participación importantes para las cohortes analizadas. El proceso de recolección de datos cuantitativos se desarrolló de forma consecutiva durante dos períodos correspondientes a las cohortes de ingreso 2024 y 2025, logrando consolidar una muestra final, válida y representativa de N=789 estudiantes de primer año. La cohorte de ingresantes del año 2024 aportó un total de 293 respuestas válidas, mientras que la cohorte del año 2025 incorporó un volumen significativamente mayor, registrando 496 respuestas. </w:t>
      </w:r>
    </w:p>
    <w:p w14:paraId="2E0EC9E9"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El cuestionario estructurado se diseñó combinando preguntas dicotómicas, preguntas de opción múltiple con respuesta múltiple y escalas de valoración. El instrumento operacionalizó las variables en cuatro dimensiones clave: en primer lugar, el conocimiento conceptual previo ("¿Sabes qué es la inteligencia artificial?"); en segundo lugar, la naturalización de la adopción socio-técnica antes del ingreso universitario; en tercer lugar, las dinámicas de uso académico actual, discriminando la frecuencia (diaria, semanal, ocasional, nula), las interfaces hegemónicas utilizadas (</w:t>
      </w:r>
      <w:proofErr w:type="spellStart"/>
      <w:r w:rsidRPr="0014393E">
        <w:rPr>
          <w:rFonts w:ascii="Times New Roman" w:eastAsia="Times New Roman" w:hAnsi="Times New Roman" w:cs="Times New Roman"/>
          <w:highlight w:val="white"/>
        </w:rPr>
        <w:t>ChatGPT</w:t>
      </w:r>
      <w:proofErr w:type="spellEnd"/>
      <w:r w:rsidRPr="0014393E">
        <w:rPr>
          <w:rFonts w:ascii="Times New Roman" w:eastAsia="Times New Roman" w:hAnsi="Times New Roman" w:cs="Times New Roman"/>
          <w:highlight w:val="white"/>
        </w:rPr>
        <w:t xml:space="preserve">, Gemini, Bing, </w:t>
      </w:r>
      <w:proofErr w:type="spellStart"/>
      <w:r w:rsidRPr="0014393E">
        <w:rPr>
          <w:rFonts w:ascii="Times New Roman" w:eastAsia="Times New Roman" w:hAnsi="Times New Roman" w:cs="Times New Roman"/>
          <w:highlight w:val="white"/>
        </w:rPr>
        <w:t>Perplexity</w:t>
      </w:r>
      <w:proofErr w:type="spellEnd"/>
      <w:r w:rsidRPr="0014393E">
        <w:rPr>
          <w:rFonts w:ascii="Times New Roman" w:eastAsia="Times New Roman" w:hAnsi="Times New Roman" w:cs="Times New Roman"/>
          <w:highlight w:val="white"/>
        </w:rPr>
        <w:t xml:space="preserve">) y los fines pedagógicos específicos (resolver dudas específicas, buscar </w:t>
      </w:r>
      <w:r w:rsidRPr="0014393E">
        <w:rPr>
          <w:rFonts w:ascii="Times New Roman" w:eastAsia="Times New Roman" w:hAnsi="Times New Roman" w:cs="Times New Roman"/>
          <w:highlight w:val="white"/>
        </w:rPr>
        <w:lastRenderedPageBreak/>
        <w:t>información, redactar contenidos); y, en cuarto lugar, las percepciones de riesgo ético-cognitivo junto con las expectativas de rendimiento y las demandas explícitas de encuadre regulatorio y talleres institucionales.</w:t>
      </w:r>
    </w:p>
    <w:p w14:paraId="0864BACD"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El análisis de los datos cuantitativos se realizó mediante estadística descriptiva unidimensional y bidimensional. Los datos en crudo recolectados en las plantillas de cálculo fueron depurados y procesados para calcular distribuciones de frecuencias absolutas y porcentuales para cada una de las variables. Con el fin de identificar tendencias temporales y evaluar el impacto de las intervenciones pedagógicas, se realizaron dos tipos de análisis de contingencia o cruces de variables. El primero de ellos consistió en un análisis longitudinal comparativo entre la cohorte 2024 y la cohorte 2025, lo que permitió medir la velocidad de aceleración en la adopción y el cambio en los patrones de frecuencia de uso. El segundo cruce consistió en un análisis comparativo ex post facto intergrupal, segmentando la muestra entre aquellos estudiantes que efectivamente asistieron y completaron los módulos formativos específicos sobre IA dentro del taller curricular y aquellos que no participaron de dicha instancia. Este procedimiento analítico resultó fundamental para evaluar empíricamente la efectividad del acompañamiento institucional y su capacidad para modelar una apropiación más reflexiva y crítica de la tecnología. </w:t>
      </w:r>
    </w:p>
    <w:p w14:paraId="1B5F0512"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Todos los procedimientos metodológicos de esta investigación se rigieron por los principios éticos de la investigación social y las normativas vigentes en la Udelar, garantizando el anonimato de los participantes, la confidencialidad de la información y el uso estrictamente académico y agregado de los datos resultantes.</w:t>
      </w:r>
    </w:p>
    <w:p w14:paraId="275238AA" w14:textId="77777777" w:rsidR="00824921" w:rsidRPr="0014393E" w:rsidRDefault="00000000" w:rsidP="0014393E">
      <w:pPr>
        <w:spacing w:line="240" w:lineRule="auto"/>
        <w:rPr>
          <w:rFonts w:ascii="Times New Roman" w:eastAsia="Times New Roman" w:hAnsi="Times New Roman" w:cs="Times New Roman"/>
          <w:b/>
          <w:bCs/>
        </w:rPr>
      </w:pPr>
      <w:r w:rsidRPr="0014393E">
        <w:rPr>
          <w:rFonts w:ascii="Times New Roman" w:eastAsia="Times New Roman" w:hAnsi="Times New Roman" w:cs="Times New Roman"/>
          <w:b/>
          <w:bCs/>
        </w:rPr>
        <w:t>Resultados</w:t>
      </w:r>
    </w:p>
    <w:p w14:paraId="1854A348" w14:textId="77777777" w:rsidR="00824921" w:rsidRPr="0014393E" w:rsidRDefault="00000000" w:rsidP="0014393E">
      <w:pPr>
        <w:spacing w:line="240" w:lineRule="auto"/>
        <w:rPr>
          <w:rFonts w:ascii="Times New Roman" w:eastAsia="Times New Roman" w:hAnsi="Times New Roman" w:cs="Times New Roman"/>
          <w:b/>
          <w:bCs/>
          <w:i/>
          <w:iCs/>
          <w:highlight w:val="white"/>
        </w:rPr>
      </w:pPr>
      <w:r w:rsidRPr="0014393E">
        <w:rPr>
          <w:rFonts w:ascii="Times New Roman" w:eastAsia="Times New Roman" w:hAnsi="Times New Roman" w:cs="Times New Roman"/>
          <w:b/>
          <w:bCs/>
          <w:i/>
          <w:iCs/>
          <w:highlight w:val="white"/>
        </w:rPr>
        <w:t>Acciones institucionales</w:t>
      </w:r>
    </w:p>
    <w:p w14:paraId="0208CC9D"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La respuesta ante la emergencia de la IA generativa en el contexto analizado se despliega en dos dimensiones articuladas de forma sinérgica: por un lado, una estrategia político-pedagógica de carácter </w:t>
      </w:r>
      <w:proofErr w:type="spellStart"/>
      <w:r w:rsidRPr="0014393E">
        <w:rPr>
          <w:rFonts w:ascii="Times New Roman" w:eastAsia="Times New Roman" w:hAnsi="Times New Roman" w:cs="Times New Roman"/>
          <w:highlight w:val="white"/>
        </w:rPr>
        <w:t>macroinstucional</w:t>
      </w:r>
      <w:proofErr w:type="spellEnd"/>
      <w:r w:rsidRPr="0014393E">
        <w:rPr>
          <w:rFonts w:ascii="Times New Roman" w:eastAsia="Times New Roman" w:hAnsi="Times New Roman" w:cs="Times New Roman"/>
          <w:highlight w:val="white"/>
        </w:rPr>
        <w:t xml:space="preserve"> coordinada a nivel central por la Udelar y, por otro, un abordaje </w:t>
      </w:r>
      <w:proofErr w:type="spellStart"/>
      <w:r w:rsidRPr="0014393E">
        <w:rPr>
          <w:rFonts w:ascii="Times New Roman" w:eastAsia="Times New Roman" w:hAnsi="Times New Roman" w:cs="Times New Roman"/>
          <w:highlight w:val="white"/>
        </w:rPr>
        <w:t>microinstitucional</w:t>
      </w:r>
      <w:proofErr w:type="spellEnd"/>
      <w:r w:rsidRPr="0014393E">
        <w:rPr>
          <w:rFonts w:ascii="Times New Roman" w:eastAsia="Times New Roman" w:hAnsi="Times New Roman" w:cs="Times New Roman"/>
          <w:highlight w:val="white"/>
        </w:rPr>
        <w:t>, territorializado y situado, desarrollado de manera activa por la propia FV.</w:t>
      </w:r>
    </w:p>
    <w:p w14:paraId="269E5324"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En primera instancia resulta relevante mencionar la existencia de un </w:t>
      </w:r>
      <w:r w:rsidRPr="0014393E">
        <w:rPr>
          <w:rFonts w:ascii="Times New Roman" w:eastAsia="Times New Roman" w:hAnsi="Times New Roman" w:cs="Times New Roman"/>
          <w:i/>
          <w:iCs/>
          <w:highlight w:val="white"/>
        </w:rPr>
        <w:t>Grupo de Trabajo sobre Inteligencia Artificial en la Enseñanza y el Aprendizaje</w:t>
      </w:r>
      <w:r w:rsidRPr="0014393E">
        <w:rPr>
          <w:rFonts w:ascii="Times New Roman" w:eastAsia="Times New Roman" w:hAnsi="Times New Roman" w:cs="Times New Roman"/>
          <w:highlight w:val="white"/>
        </w:rPr>
        <w:t xml:space="preserve">. Este dispositivo institucional fue formalmente impulsado por el </w:t>
      </w:r>
      <w:proofErr w:type="spellStart"/>
      <w:r w:rsidRPr="0014393E">
        <w:rPr>
          <w:rFonts w:ascii="Times New Roman" w:eastAsia="Times New Roman" w:hAnsi="Times New Roman" w:cs="Times New Roman"/>
          <w:highlight w:val="white"/>
        </w:rPr>
        <w:t>Prorrectorado</w:t>
      </w:r>
      <w:proofErr w:type="spellEnd"/>
      <w:r w:rsidRPr="0014393E">
        <w:rPr>
          <w:rFonts w:ascii="Times New Roman" w:eastAsia="Times New Roman" w:hAnsi="Times New Roman" w:cs="Times New Roman"/>
          <w:highlight w:val="white"/>
        </w:rPr>
        <w:t xml:space="preserve"> de Enseñanza de la Udelar en junio de 2025, emergiendo como una respuesta de carácter urgente, deliberativa y estratégica ante los complejos desafíos que la IA generativa impone sobre las formas tradicionales de la educación superior. El grupo de trabajo recibió el respaldo explícito de la Comisión Sectorial de Enseñanza y Educación Permanente, con el fin de garantizar la articulación político-académica con los diversos órganos del cogobierno universitario. La fisonomía de este grupo de trabajo destaca por su carácter marcadamente transversal, heterogéneo y cogobernado, nucleando a un total de 56 referentes institucionales. Esta composición buscó deliberadamente la representatividad y la pluralidad de miradas, incorporando a delegados de los diferentes Servicios Universitarios, estructuras técnicas centrales especializadas (tales como el </w:t>
      </w:r>
      <w:proofErr w:type="spellStart"/>
      <w:r w:rsidRPr="0014393E">
        <w:rPr>
          <w:rFonts w:ascii="Times New Roman" w:eastAsia="Times New Roman" w:hAnsi="Times New Roman" w:cs="Times New Roman"/>
          <w:highlight w:val="white"/>
        </w:rPr>
        <w:t>Prorrectorado</w:t>
      </w:r>
      <w:proofErr w:type="spellEnd"/>
      <w:r w:rsidRPr="0014393E">
        <w:rPr>
          <w:rFonts w:ascii="Times New Roman" w:eastAsia="Times New Roman" w:hAnsi="Times New Roman" w:cs="Times New Roman"/>
          <w:highlight w:val="white"/>
        </w:rPr>
        <w:t xml:space="preserve"> de Enseñanza y el Servicio Central </w:t>
      </w:r>
      <w:r w:rsidRPr="0014393E">
        <w:rPr>
          <w:rFonts w:ascii="Times New Roman" w:eastAsia="Times New Roman" w:hAnsi="Times New Roman" w:cs="Times New Roman"/>
          <w:highlight w:val="white"/>
        </w:rPr>
        <w:lastRenderedPageBreak/>
        <w:t>de Informática de la Udelar) y miembros activos de los tres órdenes universitarios: docente, estudiantil y de egresados. En este espacio de debate e interlocución central, la FV cuenta con una representación directa a través de docentes de la Unidad Académica de Educación Veterinaria. Con una dinámica de funcionamiento basada en plenarios mensuales regulares, el grupo se consolidó como el principal espacio de reflexión crítica respecto a cómo estas tecnologías transforman radicalmente los procesos formativos.</w:t>
      </w:r>
    </w:p>
    <w:p w14:paraId="22E85716"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Como resultado de este proceso deliberativo el grupo de trabajo elaboró un informe de trabajo inicial donde se priorizó un diagnóstico institucional riguroso, identificando cinco necesidades estratégicas de atención urgente para encauzar el fenómeno de la IA en la enseñanza en la Udelar. En primer lugar, se destacó la construcción de un marco normativo y ético simple, sustentado en la necesidad de proveer pautas claras pero dinámicas que actúen de guía conceptual antes que de herramientas puramente punitivas o prohibitivas. En segundo </w:t>
      </w:r>
      <w:proofErr w:type="gramStart"/>
      <w:r w:rsidRPr="0014393E">
        <w:rPr>
          <w:rFonts w:ascii="Times New Roman" w:eastAsia="Times New Roman" w:hAnsi="Times New Roman" w:cs="Times New Roman"/>
          <w:highlight w:val="white"/>
        </w:rPr>
        <w:t>lugar</w:t>
      </w:r>
      <w:proofErr w:type="gramEnd"/>
      <w:r w:rsidRPr="0014393E">
        <w:rPr>
          <w:rFonts w:ascii="Times New Roman" w:eastAsia="Times New Roman" w:hAnsi="Times New Roman" w:cs="Times New Roman"/>
          <w:highlight w:val="white"/>
        </w:rPr>
        <w:t xml:space="preserve"> se planteó la implementación de instancias de alfabetización crítica y formación, orientadas al desarrollo de capacidades operativas e interpretativas adaptadas tanto para los cuerpos docentes como para el universo estudiantil. El informe subrayó la urgencia de abordar el nudo crítico de la evaluación de los aprendizajes, lo que exige el replanteamiento de los formatos e instrumentos tradicionales de evaluación, los cuales se han visto profundamente tensionados por las capacidades de los modelos generativos. Por otra </w:t>
      </w:r>
      <w:proofErr w:type="gramStart"/>
      <w:r w:rsidRPr="0014393E">
        <w:rPr>
          <w:rFonts w:ascii="Times New Roman" w:eastAsia="Times New Roman" w:hAnsi="Times New Roman" w:cs="Times New Roman"/>
          <w:highlight w:val="white"/>
        </w:rPr>
        <w:t>parte</w:t>
      </w:r>
      <w:proofErr w:type="gramEnd"/>
      <w:r w:rsidRPr="0014393E">
        <w:rPr>
          <w:rFonts w:ascii="Times New Roman" w:eastAsia="Times New Roman" w:hAnsi="Times New Roman" w:cs="Times New Roman"/>
          <w:highlight w:val="white"/>
        </w:rPr>
        <w:t xml:space="preserve"> se enfatizó la colectivización de experiencias y buenas prácticas con el fin de sistematizar aquellas innovaciones didácticas emergentes que ya se están procesando de forma fragmentada en las aulas de la institución. </w:t>
      </w:r>
      <w:proofErr w:type="gramStart"/>
      <w:r w:rsidRPr="0014393E">
        <w:rPr>
          <w:rFonts w:ascii="Times New Roman" w:eastAsia="Times New Roman" w:hAnsi="Times New Roman" w:cs="Times New Roman"/>
          <w:highlight w:val="white"/>
        </w:rPr>
        <w:t>Finalmente</w:t>
      </w:r>
      <w:proofErr w:type="gramEnd"/>
      <w:r w:rsidRPr="0014393E">
        <w:rPr>
          <w:rFonts w:ascii="Times New Roman" w:eastAsia="Times New Roman" w:hAnsi="Times New Roman" w:cs="Times New Roman"/>
          <w:highlight w:val="white"/>
        </w:rPr>
        <w:t xml:space="preserve"> el diagnóstico señaló como imperativo el acuerdo de criterios sobre soberanía de la información y protección de datos, garantizando así el resguardo de la privacidad de las comunidades académicas y promoviendo la discusión sobre el control ético de los datos en entornos algorítmicos comerciales.</w:t>
      </w:r>
    </w:p>
    <w:p w14:paraId="4661AAA7"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De cara al año corriente el grupo se encuentra definiendo una hoja de ruta orientada explícitamente a transitar del diagnóstico hacia la acción concreta, estructurando su agenda en torno a cinco líneas prioritarias: la redacción de un documento sintético y simplificado de "marco normativo" que armonice con la Ordenanza de Grado de la Udelar y recupere lineamientos internacionales; el lanzamiento de relevamientos empíricos mediante encuestas específicas dirigidas a todos los actores universitarios; el fortalecimiento de la formación propedéutica masiva para estudiantes y la promoción de la temática.</w:t>
      </w:r>
    </w:p>
    <w:p w14:paraId="2BDCA355"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En correspondencia con los lineamientos emanados del nivel central de la Udelar, la FV ha tomado una postura proactiva y propositiva, evitando el inmovilismo institucional y promoviendo la incorporación reflexiva de las tecnologías emergentes tanto en el currículum formal de grado como en los espacios de desarrollo profesional para su cuerpo docente.</w:t>
      </w:r>
    </w:p>
    <w:p w14:paraId="4A72C57A"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En el plano curricular de la formación de grado, la FV implementó una transformación sustantiva en la trayectoria inicial de los estudiantes. Desde el inicio del uso masivo de los modelos de lenguaje de IA, la institución incorporó de manera formal un módulo temático específico dentro del Taller de Herramientas Informáticas, unidad curricular de carácter obligatorio que se sitúa estratégicamente en el segundo semestre de la carrera de </w:t>
      </w:r>
      <w:r w:rsidRPr="0014393E">
        <w:rPr>
          <w:rFonts w:ascii="Times New Roman" w:eastAsia="Times New Roman" w:hAnsi="Times New Roman" w:cs="Times New Roman"/>
          <w:highlight w:val="white"/>
        </w:rPr>
        <w:lastRenderedPageBreak/>
        <w:t>Medicina Veterinaria. Este diseño curricular temprano tiene como propósito central dotar a las cohortes de ingresantes de una sólida base de alfabetización digital adaptada. El módulo no se limita a la enseñanza técnico-instrumental de los sistemas de cómputo, sino que apunta explícitamente al desarrollo del pensamiento crítico de los estudiantes en relación con el uso ético y responsable de la IA. Mediante este espacio, el estudiantado es expuesto a situaciones didácticas que les permiten comprender conceptualmente las utilidades del software, así como identificar rigurosamente sus fortalezas y debilidades epistemológicas (como los sesgos de información y las alucinaciones algorítmicas).</w:t>
      </w:r>
    </w:p>
    <w:p w14:paraId="300EABBE"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En paralelo a las transformaciones del currículum estudiantil, la FV identificó que cualquier proceso de cambio tecnológico sostenible requiere un acompañamiento directo y sistemático a las prácticas de enseñanza de sus docentes. En este sentido, en febrero de 2025, la Unidad de Educación de la FV organizó una edición especial de su Escuela de Verano enteramente dedicada a la problematización de la IA en el ámbito universitario. La relevancia institucional de este evento quedó de manifiesto desde su conferencia inaugural, titulada "Integración didáctica de las IA… ¿quién toma las decisiones?", dictada por las especialistas Dra. Fabiana </w:t>
      </w:r>
      <w:proofErr w:type="spellStart"/>
      <w:r w:rsidRPr="0014393E">
        <w:rPr>
          <w:rFonts w:ascii="Times New Roman" w:eastAsia="Times New Roman" w:hAnsi="Times New Roman" w:cs="Times New Roman"/>
          <w:highlight w:val="white"/>
        </w:rPr>
        <w:t>Grinsztajn</w:t>
      </w:r>
      <w:proofErr w:type="spellEnd"/>
      <w:r w:rsidRPr="0014393E">
        <w:rPr>
          <w:rFonts w:ascii="Times New Roman" w:eastAsia="Times New Roman" w:hAnsi="Times New Roman" w:cs="Times New Roman"/>
          <w:highlight w:val="white"/>
        </w:rPr>
        <w:t xml:space="preserve"> y la </w:t>
      </w:r>
      <w:proofErr w:type="spellStart"/>
      <w:r w:rsidRPr="0014393E">
        <w:rPr>
          <w:rFonts w:ascii="Times New Roman" w:eastAsia="Times New Roman" w:hAnsi="Times New Roman" w:cs="Times New Roman"/>
          <w:highlight w:val="white"/>
        </w:rPr>
        <w:t>Msc</w:t>
      </w:r>
      <w:proofErr w:type="spellEnd"/>
      <w:r w:rsidRPr="0014393E">
        <w:rPr>
          <w:rFonts w:ascii="Times New Roman" w:eastAsia="Times New Roman" w:hAnsi="Times New Roman" w:cs="Times New Roman"/>
          <w:highlight w:val="white"/>
        </w:rPr>
        <w:t xml:space="preserve">. Roxana </w:t>
      </w:r>
      <w:proofErr w:type="spellStart"/>
      <w:r w:rsidRPr="0014393E">
        <w:rPr>
          <w:rFonts w:ascii="Times New Roman" w:eastAsia="Times New Roman" w:hAnsi="Times New Roman" w:cs="Times New Roman"/>
          <w:highlight w:val="white"/>
        </w:rPr>
        <w:t>Szteinberg</w:t>
      </w:r>
      <w:proofErr w:type="spellEnd"/>
      <w:r w:rsidRPr="0014393E">
        <w:rPr>
          <w:rFonts w:ascii="Times New Roman" w:eastAsia="Times New Roman" w:hAnsi="Times New Roman" w:cs="Times New Roman"/>
          <w:highlight w:val="white"/>
        </w:rPr>
        <w:t xml:space="preserve">. La disertación instaló un marco conceptual nítido: la tecnología debe subordinarse a la intencionalidad pedagógica y a la autonomía del docente como diseñador de entornos de aprendizaje. Posteriormente se desarrollaron talleres intensivos orientados a la integración de la IA en la educación veterinaria. Inicialmente se debatió el impacto disruptivo de la IA generativa en la docencia, subrayando que su adopción exige decisiones pedagógicas fundamentadas para ampliar el repertorio del profesorado. Para concretar esta apropiación didáctica, se trabajó la "anatomía del </w:t>
      </w:r>
      <w:proofErr w:type="spellStart"/>
      <w:r w:rsidRPr="0014393E">
        <w:rPr>
          <w:rFonts w:ascii="Times New Roman" w:eastAsia="Times New Roman" w:hAnsi="Times New Roman" w:cs="Times New Roman"/>
          <w:highlight w:val="white"/>
        </w:rPr>
        <w:t>prompt</w:t>
      </w:r>
      <w:proofErr w:type="spellEnd"/>
      <w:r w:rsidRPr="0014393E">
        <w:rPr>
          <w:rFonts w:ascii="Times New Roman" w:eastAsia="Times New Roman" w:hAnsi="Times New Roman" w:cs="Times New Roman"/>
          <w:highlight w:val="white"/>
        </w:rPr>
        <w:t>", un espacio donde los docentes experimentaron empíricamente con instrucciones contextualizadas a las ciencias veterinarias para asegurar respuestas eficaces y académicamente válidas. En paralelo se abordó el uso de estas herramientas como asistentes críticos para la investigación y la escritura académica, facilitando procesos clave como la revisión bibliográfica, la corrección de estilo y el formateo automatizado de referencias. La formación también exploró la optimización de los sistemas de evaluación mediante IA, destacando su utilidad para diseñar evaluaciones auténticas y brindar retroalimentación personalizada a gran escala, enmarcando siempre el uso de estas tecnologías en un profundo debate ético sobre la integridad y la honestidad académica.</w:t>
      </w:r>
    </w:p>
    <w:p w14:paraId="3DDF6A5F"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Este proceso de problematización y regulación de las tecnologías emergentes en las aulas no constituye una acción aislada de la FV, sino que se inscribe en un movimiento orgánico de carácter </w:t>
      </w:r>
      <w:proofErr w:type="spellStart"/>
      <w:r w:rsidRPr="0014393E">
        <w:rPr>
          <w:rFonts w:ascii="Times New Roman" w:eastAsia="Times New Roman" w:hAnsi="Times New Roman" w:cs="Times New Roman"/>
          <w:highlight w:val="white"/>
        </w:rPr>
        <w:t>interfacultades</w:t>
      </w:r>
      <w:proofErr w:type="spellEnd"/>
      <w:r w:rsidRPr="0014393E">
        <w:rPr>
          <w:rFonts w:ascii="Times New Roman" w:eastAsia="Times New Roman" w:hAnsi="Times New Roman" w:cs="Times New Roman"/>
          <w:highlight w:val="white"/>
        </w:rPr>
        <w:t xml:space="preserve"> y de maduración institucional compartida en el seno de la Udelar. Durante el año 2026, diversos servicios universitarios de trayectorias disciplinares marcadamente divergentes formalizaron sus propios marcos orientadores, evidenciando la transversalidad del fenómeno y la necesidad de respuestas situadas. Por un </w:t>
      </w:r>
      <w:proofErr w:type="gramStart"/>
      <w:r w:rsidRPr="0014393E">
        <w:rPr>
          <w:rFonts w:ascii="Times New Roman" w:eastAsia="Times New Roman" w:hAnsi="Times New Roman" w:cs="Times New Roman"/>
          <w:highlight w:val="white"/>
        </w:rPr>
        <w:t>lado</w:t>
      </w:r>
      <w:proofErr w:type="gramEnd"/>
      <w:r w:rsidRPr="0014393E">
        <w:rPr>
          <w:rFonts w:ascii="Times New Roman" w:eastAsia="Times New Roman" w:hAnsi="Times New Roman" w:cs="Times New Roman"/>
          <w:highlight w:val="white"/>
        </w:rPr>
        <w:t xml:space="preserve"> la Facultad de Ingeniería (2026) aprobó su </w:t>
      </w:r>
      <w:r w:rsidRPr="0014393E">
        <w:rPr>
          <w:rFonts w:ascii="Times New Roman" w:eastAsia="Times New Roman" w:hAnsi="Times New Roman" w:cs="Times New Roman"/>
          <w:i/>
          <w:iCs/>
          <w:highlight w:val="white"/>
        </w:rPr>
        <w:t>Guía para el uso ético y crítico de inteligencia artificial en las unidades curriculares</w:t>
      </w:r>
      <w:r w:rsidRPr="0014393E">
        <w:rPr>
          <w:rFonts w:ascii="Times New Roman" w:eastAsia="Times New Roman" w:hAnsi="Times New Roman" w:cs="Times New Roman"/>
          <w:highlight w:val="white"/>
        </w:rPr>
        <w:t xml:space="preserve">, un documento que define principios generales y un catálogo de acciones operativas para que los equipos docentes configuren de manera flexible los objetivos de aprendizaje de cada curso. El enfoque de esta guía de corte técnico-científico reconoce el potencial didáctico de la IA, pero estipula nítidamente que las herramientas deben operar como soportes auxiliares, tales como la depuración de </w:t>
      </w:r>
      <w:r w:rsidRPr="0014393E">
        <w:rPr>
          <w:rFonts w:ascii="Times New Roman" w:eastAsia="Times New Roman" w:hAnsi="Times New Roman" w:cs="Times New Roman"/>
          <w:highlight w:val="white"/>
        </w:rPr>
        <w:lastRenderedPageBreak/>
        <w:t xml:space="preserve">código, la mejora en la calidad formal del texto o el formateo auxiliar, salvaguardando la autoría propia y exigiendo, en caso de ser requerido, la documentación explícita del proceso mediante la declaración de </w:t>
      </w:r>
      <w:proofErr w:type="spellStart"/>
      <w:r w:rsidRPr="0014393E">
        <w:rPr>
          <w:rFonts w:ascii="Times New Roman" w:eastAsia="Times New Roman" w:hAnsi="Times New Roman" w:cs="Times New Roman"/>
          <w:highlight w:val="white"/>
        </w:rPr>
        <w:t>prompts</w:t>
      </w:r>
      <w:proofErr w:type="spellEnd"/>
      <w:r w:rsidRPr="0014393E">
        <w:rPr>
          <w:rFonts w:ascii="Times New Roman" w:eastAsia="Times New Roman" w:hAnsi="Times New Roman" w:cs="Times New Roman"/>
          <w:highlight w:val="white"/>
        </w:rPr>
        <w:t xml:space="preserve"> y validaciones. La propuesta de Ingeniería desestima la adopción pasiva y promueve el diseño de evaluaciones auténticas que verifiquen el proceso de pensamiento de los estudiantes y la fundamentación reflexiva detrás de sus respuestas. Desde una matriz epistémica complementaria, la Facultad de Humanidades y Ciencias de la Educación (2026) formalizó su </w:t>
      </w:r>
      <w:r w:rsidRPr="0014393E">
        <w:rPr>
          <w:rFonts w:ascii="Times New Roman" w:eastAsia="Times New Roman" w:hAnsi="Times New Roman" w:cs="Times New Roman"/>
          <w:i/>
          <w:iCs/>
          <w:highlight w:val="white"/>
        </w:rPr>
        <w:t>Guía para el uso de la Inteligencia Artificial en FHCE</w:t>
      </w:r>
      <w:r w:rsidRPr="0014393E">
        <w:rPr>
          <w:rFonts w:ascii="Times New Roman" w:eastAsia="Times New Roman" w:hAnsi="Times New Roman" w:cs="Times New Roman"/>
          <w:highlight w:val="white"/>
        </w:rPr>
        <w:t xml:space="preserve">, asumiendo un posicionamiento que rechaza enfáticamente los enfoques </w:t>
      </w:r>
      <w:proofErr w:type="spellStart"/>
      <w:r w:rsidRPr="0014393E">
        <w:rPr>
          <w:rFonts w:ascii="Times New Roman" w:eastAsia="Times New Roman" w:hAnsi="Times New Roman" w:cs="Times New Roman"/>
          <w:highlight w:val="white"/>
        </w:rPr>
        <w:t>punitivistas</w:t>
      </w:r>
      <w:proofErr w:type="spellEnd"/>
      <w:r w:rsidRPr="0014393E">
        <w:rPr>
          <w:rFonts w:ascii="Times New Roman" w:eastAsia="Times New Roman" w:hAnsi="Times New Roman" w:cs="Times New Roman"/>
          <w:highlight w:val="white"/>
        </w:rPr>
        <w:t xml:space="preserve">. El documento problematiza los riesgos asociados al uso libre de la IA generativa, tales como la sobreproducción discursiva y la potencial dilución de la calidad académica en la construcción del conocimiento científico. Ante este panorama el marco normativo de las humanidades reivindica el cultivo insustituible de las habilidades de razonamiento, la interpretación profunda y el juicio crítico humanos. Por consiguiente, se restringe la intervención legítima de los modelos de lenguaje a tareas específicas de soporte formal, como la corrección </w:t>
      </w:r>
      <w:proofErr w:type="spellStart"/>
      <w:r w:rsidRPr="0014393E">
        <w:rPr>
          <w:rFonts w:ascii="Times New Roman" w:eastAsia="Times New Roman" w:hAnsi="Times New Roman" w:cs="Times New Roman"/>
          <w:highlight w:val="white"/>
        </w:rPr>
        <w:t>ortotipográfica</w:t>
      </w:r>
      <w:proofErr w:type="spellEnd"/>
      <w:r w:rsidRPr="0014393E">
        <w:rPr>
          <w:rFonts w:ascii="Times New Roman" w:eastAsia="Times New Roman" w:hAnsi="Times New Roman" w:cs="Times New Roman"/>
          <w:highlight w:val="white"/>
        </w:rPr>
        <w:t>, la traducción o la visualización estética de datos crudos, condicionando siempre su validez a la explicitación y declaración transparente por parte del estudiantado del recurso empleado. Al igual que el resto de las iniciativas del ecosistema universitario, se asume el diseño de cursos de capacitación y divulgación transparente como el pilar fundamental para democratizar de forma responsable el saber socio-técnico.</w:t>
      </w:r>
    </w:p>
    <w:p w14:paraId="3F0089E4" w14:textId="77777777" w:rsidR="00824921" w:rsidRPr="0014393E" w:rsidRDefault="00000000" w:rsidP="0014393E">
      <w:pPr>
        <w:spacing w:line="240" w:lineRule="auto"/>
        <w:jc w:val="both"/>
        <w:rPr>
          <w:rFonts w:ascii="Times New Roman" w:eastAsia="Times New Roman" w:hAnsi="Times New Roman" w:cs="Times New Roman"/>
          <w:highlight w:val="white"/>
        </w:rPr>
      </w:pPr>
      <w:r w:rsidRPr="0014393E">
        <w:rPr>
          <w:rFonts w:ascii="Times New Roman" w:eastAsia="Times New Roman" w:hAnsi="Times New Roman" w:cs="Times New Roman"/>
          <w:highlight w:val="white"/>
        </w:rPr>
        <w:t xml:space="preserve">Este denso entramado </w:t>
      </w:r>
      <w:proofErr w:type="spellStart"/>
      <w:r w:rsidRPr="0014393E">
        <w:rPr>
          <w:rFonts w:ascii="Times New Roman" w:eastAsia="Times New Roman" w:hAnsi="Times New Roman" w:cs="Times New Roman"/>
          <w:highlight w:val="white"/>
        </w:rPr>
        <w:t>interfacultades</w:t>
      </w:r>
      <w:proofErr w:type="spellEnd"/>
      <w:r w:rsidRPr="0014393E">
        <w:rPr>
          <w:rFonts w:ascii="Times New Roman" w:eastAsia="Times New Roman" w:hAnsi="Times New Roman" w:cs="Times New Roman"/>
          <w:highlight w:val="white"/>
        </w:rPr>
        <w:t>, caracterizado por la emergencia simultánea de directrices específicas, sumado a las políticas de alfabetización temprana implementadas en el grado por la FV y a la participación activa en el grupo de trabajo central de la Udelar, constituye el marco institucional y político-pedagógico concreto sobre el cual se asienta nuestra investigación. Es en este ecosistema dinámico y en pleno proceso de transición regulatoria donde cobra un sentido crítico fundamental indagar en las percepciones, los hábitos de adopción y las valoraciones éticas de los estudiantes de primer año de Medicina Veterinaria. Al transitar su ingreso a la vida universitaria en un período histórico signado por la institucionalización, la tensión didáctica y la problematización de la inteligencia artificial, este universo estudiantil se convierte en un sensor clave para evaluar el impacto real del fenómeno y proyectar el acompañamiento pedagógico que demandan las nuevas formas de construcción del conocimiento en la universidad contemporánea.</w:t>
      </w:r>
    </w:p>
    <w:p w14:paraId="12B6BF55" w14:textId="77777777" w:rsidR="00824921" w:rsidRPr="0014393E" w:rsidRDefault="00000000" w:rsidP="0014393E">
      <w:pPr>
        <w:spacing w:line="240" w:lineRule="auto"/>
        <w:rPr>
          <w:rFonts w:ascii="Times New Roman" w:eastAsia="Times New Roman" w:hAnsi="Times New Roman" w:cs="Times New Roman"/>
          <w:b/>
          <w:bCs/>
          <w:i/>
          <w:iCs/>
          <w:highlight w:val="white"/>
        </w:rPr>
      </w:pPr>
      <w:r w:rsidRPr="0014393E">
        <w:rPr>
          <w:rFonts w:ascii="Times New Roman" w:eastAsia="Times New Roman" w:hAnsi="Times New Roman" w:cs="Times New Roman"/>
          <w:b/>
          <w:bCs/>
          <w:i/>
          <w:iCs/>
          <w:highlight w:val="white"/>
        </w:rPr>
        <w:t>Análisis estudiantil</w:t>
      </w:r>
    </w:p>
    <w:p w14:paraId="07D6C8A5"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A partir de la aplicación de encuestas a las cohortes de ingreso 2024 y 2025 de la FV, se recolectó una muestra total y representativa de 789 estudiantes de primer año, correspondiendo 293 a la cohorte 2024 y 404 al 2025. El análisis de los datos empíricos revela un escenario de adopción tecnológica generalizada y de rápida evolución temporal, consolidando a la IA generativa no como una innovación futura, sino como una realidad instaurada en el perfil del estudiantado que ingresa a la universidad.</w:t>
      </w:r>
    </w:p>
    <w:p w14:paraId="55DC0E39"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En relación con el nivel de conocimiento declarativo sobre estas tecnologías, los datos revelan un grado de familiaridad casi universal entre el estudiantado de primer año. Ante la consulta explícita sobre si saben qué es la inteligencia artificial, la abrumadora mayoría de la muestra respondió afirmativamente, evidenciando además una tendencia creciente </w:t>
      </w:r>
      <w:r w:rsidRPr="0014393E">
        <w:rPr>
          <w:rFonts w:ascii="Times New Roman" w:eastAsia="Times New Roman" w:hAnsi="Times New Roman" w:cs="Times New Roman"/>
        </w:rPr>
        <w:lastRenderedPageBreak/>
        <w:t>y sostenida. En el año 2024 el 94,54 % afirmó conocer la IA, frente a un minoritario 5,46 % de desconocimiento. Esta sólida base cognitiva experimentó un incremento adicional del 3,44 % en el año 2025, el reconocimiento de la IA ascendió al 97,98 %, reduciendo la falta de conocimiento sobre el concepto a un marginal 2,02 %. En conjunto estos resultados demuestran que los ingresantes en ambos años poseen una noción consolidada sobre la existencia de la IA, configurando un escenario donde el piso de alfabetización teórica básica está prácticamente garantizado desde el ingreso a la vida universitaria.</w:t>
      </w:r>
    </w:p>
    <w:p w14:paraId="761A87F5"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Vinculado a esto encontramos uno los hallazgos más elocuentes del estudio; el alto nivel de naturalización previa al ingreso universitario. El 75,2 % de la muestra total afirmó haber utilizado herramientas de inteligencia artificial antes de matricularse en la educación superior. Al desagregar este dato por cohortes, se evidencia una progresión acelerada y significativa: mientras que en el año 2024 el 64,5 % de los estudiantes reportaba un uso previo a la universidad, para la cohorte 2025 este guarismo experimentó un incremento de 17 puntos porcentuales, alcanzando el 81,5 % de los encuestados. En </w:t>
      </w:r>
      <w:proofErr w:type="gramStart"/>
      <w:r w:rsidRPr="0014393E">
        <w:rPr>
          <w:rFonts w:ascii="Times New Roman" w:eastAsia="Times New Roman" w:hAnsi="Times New Roman" w:cs="Times New Roman"/>
        </w:rPr>
        <w:t>consecuencia</w:t>
      </w:r>
      <w:proofErr w:type="gramEnd"/>
      <w:r w:rsidRPr="0014393E">
        <w:rPr>
          <w:rFonts w:ascii="Times New Roman" w:eastAsia="Times New Roman" w:hAnsi="Times New Roman" w:cs="Times New Roman"/>
        </w:rPr>
        <w:t xml:space="preserve"> la proporción de estudiantes que llegan a la Facultad sin experiencia empírica en IA se redujo drásticamente casi a la mitad, pasando de un 35,5 % en 2024 a apenas un 18,5 % en 2025. Esta aceleración temporal sugiere que la alfabetización digital e interacción con herramientas predictivas está consolidándose durante las trayectorias en la educación secundaria.</w:t>
      </w:r>
    </w:p>
    <w:p w14:paraId="72DEA761"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En cuanto a las interfaces específicas adoptadas por el estudiantado para el desarrollo de sus actividades académicas, se constata una marcada hegemonía del modelo desarrollado por </w:t>
      </w:r>
      <w:proofErr w:type="spellStart"/>
      <w:r w:rsidRPr="0014393E">
        <w:rPr>
          <w:rFonts w:ascii="Times New Roman" w:eastAsia="Times New Roman" w:hAnsi="Times New Roman" w:cs="Times New Roman"/>
        </w:rPr>
        <w:t>OpenAI</w:t>
      </w:r>
      <w:proofErr w:type="spellEnd"/>
      <w:r w:rsidRPr="0014393E">
        <w:rPr>
          <w:rFonts w:ascii="Times New Roman" w:eastAsia="Times New Roman" w:hAnsi="Times New Roman" w:cs="Times New Roman"/>
        </w:rPr>
        <w:t xml:space="preserve">. El 87,20 % de los encuestados indica emplear de manera habitual </w:t>
      </w:r>
      <w:proofErr w:type="spellStart"/>
      <w:r w:rsidRPr="0014393E">
        <w:rPr>
          <w:rFonts w:ascii="Times New Roman" w:eastAsia="Times New Roman" w:hAnsi="Times New Roman" w:cs="Times New Roman"/>
        </w:rPr>
        <w:t>ChatGPT</w:t>
      </w:r>
      <w:proofErr w:type="spellEnd"/>
      <w:r w:rsidRPr="0014393E">
        <w:rPr>
          <w:rFonts w:ascii="Times New Roman" w:eastAsia="Times New Roman" w:hAnsi="Times New Roman" w:cs="Times New Roman"/>
        </w:rPr>
        <w:t xml:space="preserve">, posicionándolo como el asistente digital predominante. En un segundo escalón se ubica Gemini (desarrollado por Google), utilizado por el 26,49 % de la muestra. Resulta destacable que la adopción no es mutuamente excluyente, ya que casi una cuarta parte del estudiantado (24,46 %) declara utilizar ambas herramientas de forma complementaria para contrastar resultados o aprovechar funcionalidades específicas. Adicionalmente un segmento minoritario (7,48 %) menciona la exploración de interfaces alternativas orientadas a la búsqueda estructurada, tales como Bing </w:t>
      </w:r>
      <w:proofErr w:type="spellStart"/>
      <w:r w:rsidRPr="0014393E">
        <w:rPr>
          <w:rFonts w:ascii="Times New Roman" w:eastAsia="Times New Roman" w:hAnsi="Times New Roman" w:cs="Times New Roman"/>
        </w:rPr>
        <w:t>Copilot</w:t>
      </w:r>
      <w:proofErr w:type="spellEnd"/>
      <w:r w:rsidRPr="0014393E">
        <w:rPr>
          <w:rFonts w:ascii="Times New Roman" w:eastAsia="Times New Roman" w:hAnsi="Times New Roman" w:cs="Times New Roman"/>
        </w:rPr>
        <w:t xml:space="preserve"> o </w:t>
      </w:r>
      <w:proofErr w:type="spellStart"/>
      <w:r w:rsidRPr="0014393E">
        <w:rPr>
          <w:rFonts w:ascii="Times New Roman" w:eastAsia="Times New Roman" w:hAnsi="Times New Roman" w:cs="Times New Roman"/>
        </w:rPr>
        <w:t>Perplexity</w:t>
      </w:r>
      <w:proofErr w:type="spellEnd"/>
      <w:r w:rsidRPr="0014393E">
        <w:rPr>
          <w:rFonts w:ascii="Times New Roman" w:eastAsia="Times New Roman" w:hAnsi="Times New Roman" w:cs="Times New Roman"/>
        </w:rPr>
        <w:t>.</w:t>
      </w:r>
    </w:p>
    <w:p w14:paraId="62C82B4C"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Al analizar la frecuencia con la que los estudiantes incorporan estas herramientas en su rutina de estudio universitario, los resultados globales de la muestra indican que el 61,54 % las utiliza de forma ocasional, el 23,08 % recurre a ellas semanalmente, un 7,18 % (56 estudiantes) sostiene un uso diario, y solo un 8,21 % declara no utilizarlas nunca. Sin embargo, al igual que en la adopción temprana, el cruce longitudinal (2024 frente a 2025) revela una transición hacia un uso significativamente más intensivo. La utilización diaria de la IA creció de un marginal 3,75 % en 2024 a un 9,07 % en 2025. Del mismo modo, el uso semanal experimentó el salto más pronunciado, escalando del 12,63 % al 28,83 %. Como correlato directo de esta intensificación, el porcentaje de estudiantes que afirmaban "nunca" utilizar la IA colapsó de un 15,70 % en 2024 a un exiguo 3,63 % en 2025, confirmando que la IA generativa ha dejado de ser un recurso marginal para transformarse en un pilar cotidiano del apoyo académico.</w:t>
      </w:r>
    </w:p>
    <w:p w14:paraId="3431F494"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Al indagar sobre los fines concretos para los cuales el alumnado convoca a estas tecnologías, los resultados desafían el temor generalizado respecto a la delegación </w:t>
      </w:r>
      <w:r w:rsidRPr="0014393E">
        <w:rPr>
          <w:rFonts w:ascii="Times New Roman" w:eastAsia="Times New Roman" w:hAnsi="Times New Roman" w:cs="Times New Roman"/>
        </w:rPr>
        <w:lastRenderedPageBreak/>
        <w:t xml:space="preserve">absoluta de las tareas académicas. El uso estudiantil se encuentra fuertemente orientado a la </w:t>
      </w:r>
      <w:proofErr w:type="spellStart"/>
      <w:r w:rsidRPr="0014393E">
        <w:rPr>
          <w:rFonts w:ascii="Times New Roman" w:eastAsia="Times New Roman" w:hAnsi="Times New Roman" w:cs="Times New Roman"/>
        </w:rPr>
        <w:t>micro-resolución</w:t>
      </w:r>
      <w:proofErr w:type="spellEnd"/>
      <w:r w:rsidRPr="0014393E">
        <w:rPr>
          <w:rFonts w:ascii="Times New Roman" w:eastAsia="Times New Roman" w:hAnsi="Times New Roman" w:cs="Times New Roman"/>
        </w:rPr>
        <w:t xml:space="preserve"> de problemas antes que a la generación autónoma de trabajos finales. De hecho, el propósito mayoritario reportado es "resolver dudas específicas", seleccionado por el 80,72 % de los usuarios. En segunda instancia, el 62,78 % utiliza la IA como un motor avanzado para "buscar información". En contraste, la opción "redactar" trabajos o ensayos, la práctica que mayores tensiones éticas despierta en la docencia tradicional, constituye el propósito menos habitual, concentrando apenas el 20,21 % de las respuestas. Estos datos configuran un perfil de usuario que concibe a los modelos de lenguaje primariamente como tutores virtuales de consulta inmediata y apoyo operativo.</w:t>
      </w:r>
    </w:p>
    <w:p w14:paraId="7B808FCE"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Pese a la masividad en la adopción, la percepción estudiantil dista de ser acrítica. Una porción sustancial de la muestra, representada por el 37,64 %, advierte explícitamente que el uso sostenido de la inteligencia artificial puede resultar perjudicial para su propio proceso de aprendizaje. Esta conciencia crítica sobre los riesgos cognitivos se traduce en una demanda contundente hacia la institución: 61,9 % de los estudiantes expresan la urgencia de establecer regulaciones claras sobre el uso de la IA en el ámbito académico, mientras que 83% manifiesta su deseo e interés en recibir talleres de formación para aprender a utilizar estas herramientas de forma efectiva y ética. En términos agregados, un abrumador 93,16 % de los encuestados (735 personas) demanda algún tipo de encuadre institucional, ya sea mediante normativas orientadoras o instancias de alfabetización.</w:t>
      </w:r>
    </w:p>
    <w:p w14:paraId="0E19BAF7"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El impacto de las acciones formativas institucionales queda empíricamente demostrado al contrastar las respuestas de quienes cursaron los módulos de IA en el Taller de Herramientas Informáticas frente a quienes no lo hicieron. Los datos revelan que la asistencia al espacio formativo de la Facultad de Veterinaria fomenta un perfil de uso notablemente más reflexivo, ético y moderado. Por un lado, el 54 % de los asistentes manifiesta preocupación respecto a que el uso indebido de IA configure situaciones de fraude académico, superando en 9 puntos porcentuales a quienes no participaron (45 %). En materia de expectativas, los estudiantes formados muestran mayor cautela: mientras que el 64 % de los no asistentes cree ciegamente que la IA mejorará sus calificaciones, este optimismo se reduce al 58 % entre los asistentes. Esta mayor criticidad impacta directamente en las dinámicas prácticas: el 41 % de los estudiantes no escolarizados en la temática emplea la IA con alta frecuencia (diaria o semanal), ritmo que desciende abruptamente al 21 % entre los participantes del taller, quienes mayoritariamente (67 %) eligen sostener un uso puramente ocasional. En síntesis, el acompañamiento pedagógico logra desarticular la adopción automatizada, promoviendo en el estudiantado límites éticos y una apropiación selectiva de la tecnología.</w:t>
      </w:r>
    </w:p>
    <w:p w14:paraId="0C264337" w14:textId="77777777" w:rsidR="00824921" w:rsidRPr="0014393E" w:rsidRDefault="00000000" w:rsidP="0014393E">
      <w:pPr>
        <w:spacing w:line="240" w:lineRule="auto"/>
        <w:rPr>
          <w:rFonts w:ascii="Times New Roman" w:eastAsia="Times New Roman" w:hAnsi="Times New Roman" w:cs="Times New Roman"/>
        </w:rPr>
      </w:pPr>
      <w:r w:rsidRPr="0014393E">
        <w:rPr>
          <w:rFonts w:ascii="Times New Roman" w:eastAsia="Times New Roman" w:hAnsi="Times New Roman" w:cs="Times New Roman"/>
          <w:b/>
          <w:bCs/>
        </w:rPr>
        <w:t>Discusión</w:t>
      </w:r>
    </w:p>
    <w:p w14:paraId="32ED5246"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Los hallazgos empíricos derivados de este estudio revelan una profunda asincronía entre las prácticas de consumo socio-técnico de los estudiantes y las realidades pedagógicas tradicionales en las aulas universitarias, un fenómeno que tensiona la gobernanza de la educación superior contemporánea. Al contrastar la adopción masiva y acelerada evidenciada en las cohortes de ingreso con la literatura internacional, queda al descubierto lo que se puede denominar una "brecha de apropiación digital". Mientras que los datos de las encuestas demuestran que el 75,16 % de los ingresantes ya utilizaba de forma </w:t>
      </w:r>
      <w:r w:rsidRPr="0014393E">
        <w:rPr>
          <w:rFonts w:ascii="Times New Roman" w:eastAsia="Times New Roman" w:hAnsi="Times New Roman" w:cs="Times New Roman"/>
        </w:rPr>
        <w:lastRenderedPageBreak/>
        <w:t>naturalizada herramientas de inteligencia artificial antes de ingresar a la universidad, guarismo que escala de forma vertiginosa al 81,5 % en la cohorte 2025 y que colapsa el desuso a un exiguo 3,63 %, el profesorado universitario a nivel general manifiesta severas barreras formativas e institucionales para su incorporación didáctica. Esta asimetría dialoga directamente con el diagnóstico de Escario et al. (2024), quienes advierten que la falta de conocimiento y de directrices claras emerge como el obstáculo primordial para la adopción de estas tecnologías por parte de los docentes, provocando que una abrumadora mayoría de ellos no utilice aún la IA en el aula ni en las instancias de evaluación (p. 153). Este choque de realidades confirma que la población estudiantil arriba a la FV portando competencias y hábitos de uso consolidados en la educación secundaria, ingresando a un ecosistema de enseñanza universitaria que aún procesa con cautela e incertidumbre la disrupción algorítmica.</w:t>
      </w:r>
    </w:p>
    <w:p w14:paraId="557A113C"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Esta incorporación masiva de plataformas hegemónicas como </w:t>
      </w:r>
      <w:proofErr w:type="spellStart"/>
      <w:r w:rsidRPr="0014393E">
        <w:rPr>
          <w:rFonts w:ascii="Times New Roman" w:eastAsia="Times New Roman" w:hAnsi="Times New Roman" w:cs="Times New Roman"/>
        </w:rPr>
        <w:t>ChatGPT</w:t>
      </w:r>
      <w:proofErr w:type="spellEnd"/>
      <w:r w:rsidRPr="0014393E">
        <w:rPr>
          <w:rFonts w:ascii="Times New Roman" w:eastAsia="Times New Roman" w:hAnsi="Times New Roman" w:cs="Times New Roman"/>
        </w:rPr>
        <w:t xml:space="preserve"> y Gemini por parte de usuarios jóvenes no escolarizados en su uso crítico enciende legítimas alarmas sobre los procesos de andamiaje cognitivo y autonomía intelectual. Los resultados muestran que el estudiantado emplea la IA de forma instrumental, primariamente para resolver dudas específicas y buscar información. Esta tendencia coincide con las preocupaciones planteadas por Baldrich et al. (2024) y </w:t>
      </w:r>
      <w:proofErr w:type="spellStart"/>
      <w:r w:rsidRPr="0014393E">
        <w:rPr>
          <w:rFonts w:ascii="Times New Roman" w:eastAsia="Times New Roman" w:hAnsi="Times New Roman" w:cs="Times New Roman"/>
        </w:rPr>
        <w:t>Andreoli</w:t>
      </w:r>
      <w:proofErr w:type="spellEnd"/>
      <w:r w:rsidRPr="0014393E">
        <w:rPr>
          <w:rFonts w:ascii="Times New Roman" w:eastAsia="Times New Roman" w:hAnsi="Times New Roman" w:cs="Times New Roman"/>
        </w:rPr>
        <w:t xml:space="preserve"> et al. (2024) en la introducción de este trabajo, en cuanto a que la delegación automatizada de las operaciones informacionales corre el riesgo de derivar en prácticas superficiales y banales, como la simple lógica de copiar y pegar. Al vaciar de contenido reflexivo las fases de documentación y contraste bibliográfico se puede obturar el desarrollo del pensamiento crítico y la alfabetización académica profunda. El hecho de que el 37,64 % de los propios estudiantes reconozca que el uso sostenido de la IA puede ser perjudicial para sus aprendizajes convalida las advertencias de Donaire et al. (2025) respecto al peligro del estudiante “</w:t>
      </w:r>
      <w:proofErr w:type="spellStart"/>
      <w:r w:rsidRPr="0014393E">
        <w:rPr>
          <w:rFonts w:ascii="Times New Roman" w:eastAsia="Times New Roman" w:hAnsi="Times New Roman" w:cs="Times New Roman"/>
        </w:rPr>
        <w:t>cyborg</w:t>
      </w:r>
      <w:proofErr w:type="spellEnd"/>
      <w:r w:rsidRPr="0014393E">
        <w:rPr>
          <w:rFonts w:ascii="Times New Roman" w:eastAsia="Times New Roman" w:hAnsi="Times New Roman" w:cs="Times New Roman"/>
        </w:rPr>
        <w:t xml:space="preserve">" (p. 177), un sujeto que al sustituir el esfuerzo intelectual por la mediación del software puede llegar a </w:t>
      </w:r>
      <w:proofErr w:type="spellStart"/>
      <w:r w:rsidRPr="0014393E">
        <w:rPr>
          <w:rFonts w:ascii="Times New Roman" w:eastAsia="Times New Roman" w:hAnsi="Times New Roman" w:cs="Times New Roman"/>
        </w:rPr>
        <w:t>atroﬁar</w:t>
      </w:r>
      <w:proofErr w:type="spellEnd"/>
      <w:r w:rsidRPr="0014393E">
        <w:rPr>
          <w:rFonts w:ascii="Times New Roman" w:eastAsia="Times New Roman" w:hAnsi="Times New Roman" w:cs="Times New Roman"/>
        </w:rPr>
        <w:t xml:space="preserve"> capacidades cognitivas complejas indispensables para el discurso científico, reduciendo su destreza técnica a la mera interacción lingüística y sintáctica con una máquina probabilística.</w:t>
      </w:r>
    </w:p>
    <w:p w14:paraId="46F4016A"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Frente a este riesgo latente de pérdida de autonomía cognitiva la respuesta regulatoria </w:t>
      </w:r>
      <w:proofErr w:type="spellStart"/>
      <w:r w:rsidRPr="0014393E">
        <w:rPr>
          <w:rFonts w:ascii="Times New Roman" w:eastAsia="Times New Roman" w:hAnsi="Times New Roman" w:cs="Times New Roman"/>
        </w:rPr>
        <w:t>interfacultades</w:t>
      </w:r>
      <w:proofErr w:type="spellEnd"/>
      <w:r w:rsidRPr="0014393E">
        <w:rPr>
          <w:rFonts w:ascii="Times New Roman" w:eastAsia="Times New Roman" w:hAnsi="Times New Roman" w:cs="Times New Roman"/>
        </w:rPr>
        <w:t xml:space="preserve"> procesada en la Udelar durante el año 2026 cobra una relevancia fundamental, sintonizando plenamente con las tensiones que emergen del territorio. Los marcos normativos adoptados en la Udelar operan bajo una premisa que rechaza de plano el enfoque meramente punitivo o prohibitivo. En sintonía con las intenciones declaradas por el estudiantado en las encuestas se reconoce que el uso secundario o marginal de la IA para la redacción de textos debe ser encauzado y no proscrito de forma ingenua. Al estipular que las herramientas operen estrictamente como soportes de carácter auxiliar y condicionar su legitimidad académica a la explicitación y declaración transparente del recurso empleado, las directrices de la Udelar buscan forzar una transición hacia un modelo de integración ética. Estas guías pretenden transformar la IA en un instrumento que potencie el rendimiento y optimice los procesos operativos, tal como lo sugiere el informe de Molina y Medina (2025, pp. 6-7), sin abdicar de la centralidad pedagógica y garantizando que las competencias de argumentación, juicio conceptual y discernimiento profundo permanezcan bajo control estrictamente humano.</w:t>
      </w:r>
    </w:p>
    <w:p w14:paraId="19E71873"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lastRenderedPageBreak/>
        <w:t>La evidencia empírica recolectada en la FV provee una justificación contundente y un respaldo de base hacia la estrategia político-pedagógica delineada por el Grupo de Trabajo sobre Inteligencia Artificial en la Enseñanza y el Aprendizaje de la Udelar a nivel central. El hecho de que el 93,16 % de los encuestados en este estudio exija de forma explícita que la institución fije regulaciones académicas o ejecute talleres de capacitación demuestra que la agenda de gobernanza de la Udelar central no responde a una preocupación burocrática aislada, sino a una demanda genuina de acompañamiento pedagógico emanada de la propia comunidad estudiantil. Los resultados demuestran de manera concluyente que la formación propedéutica y el diseño instruccional seguro (García-Peñalvo et al., 2024, p. 6) actúan como eficaces dispositivos de intervención didáctica, capaces de transformar la adopción ingenua e intensiva en una apropiación regulada, selectiva y comprometida con la integridad académica en la universidad contemporánea.</w:t>
      </w:r>
    </w:p>
    <w:p w14:paraId="51A1BE8E" w14:textId="77777777" w:rsidR="00824921" w:rsidRPr="0014393E" w:rsidRDefault="00000000" w:rsidP="0014393E">
      <w:pPr>
        <w:spacing w:line="240" w:lineRule="auto"/>
        <w:rPr>
          <w:rFonts w:ascii="Times New Roman" w:eastAsia="Times New Roman" w:hAnsi="Times New Roman" w:cs="Times New Roman"/>
          <w:b/>
          <w:bCs/>
        </w:rPr>
      </w:pPr>
      <w:r w:rsidRPr="0014393E">
        <w:rPr>
          <w:rFonts w:ascii="Times New Roman" w:eastAsia="Times New Roman" w:hAnsi="Times New Roman" w:cs="Times New Roman"/>
          <w:b/>
          <w:bCs/>
        </w:rPr>
        <w:t>Conclusiones</w:t>
      </w:r>
    </w:p>
    <w:p w14:paraId="45183211"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La disrupción provocada por la inteligencia artificial generativa ha alterado de manera irreversible el ecosistema de la educación superior, instalando un escenario donde la universidad contemporánea ya no puede permitirse la neutralidad ni la inacción. Los resultados empíricos obtenidos en la FV evidencian que las instituciones académicas se enfrentan a un estudiantado que arriba a las aulas con altos niveles de adopción naturalizada de estas herramientas, consolidando a los modelos de lenguaje de IA como instrumentos ineludibles de consulta y apoyo operativo. Sin embargo, esta masificación en el consumo socio-técnico por parte de los jóvenes coexiste con una profunda incertidumbre docente y con el temor latente a la pérdida de la integridad académica y la autonomía cognitiva.</w:t>
      </w:r>
    </w:p>
    <w:p w14:paraId="4C457FE8"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Frente a esta brecha de apropiación digital, el estudio concluye que las aproximaciones puramente restrictivas o punitivas resultan ineficaces y obsoletas. Por el contrario, se requiere un abordaje institucional orgánico y multidimensional, tal como el iniciado por la Udelar a través de su grupo de trabajo central y sus directrices a nivel de los Servicios Universitarios. La demanda estudiantil es clara e irrefutable: más del 90 % de los ingresantes reclama marcos normativos orientadores y valora positivamente el desarrollo de talleres de formación específicos. Los datos demuestran empíricamente que cuando la institución interviene mediante el acompañamiento pedagógico, como en el caso del Taller de Herramientas Informáticas analizado, se desarticula la adopción automatizada e ingenua, promoviendo en el alumnado un perfil de usuario significativamente más ético, selectivo y reflexivo frente a los algoritmos.</w:t>
      </w:r>
    </w:p>
    <w:p w14:paraId="2148B6EF"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La integración de la IA en la enseñanza universitaria exige subordinar la tecnología a la intencionalidad pedagógica. El éxito de este proceso dependerá de la capacidad de </w:t>
      </w:r>
      <w:proofErr w:type="gramStart"/>
      <w:r w:rsidRPr="0014393E">
        <w:rPr>
          <w:rFonts w:ascii="Times New Roman" w:eastAsia="Times New Roman" w:hAnsi="Times New Roman" w:cs="Times New Roman"/>
        </w:rPr>
        <w:t>los facultades</w:t>
      </w:r>
      <w:proofErr w:type="gramEnd"/>
      <w:r w:rsidRPr="0014393E">
        <w:rPr>
          <w:rFonts w:ascii="Times New Roman" w:eastAsia="Times New Roman" w:hAnsi="Times New Roman" w:cs="Times New Roman"/>
        </w:rPr>
        <w:t xml:space="preserve"> para reconfigurar sus estrategias didácticas y sistemas de evaluación, trascendiendo la mera transferencia de datos para enfocarse en el cultivo insustituible del juicio crítico, la fundamentación argumentativa y la creatividad humana. Solo a través de una alfabetización académica continua, que involucre de forma sinérgica a docentes y estudiantes, la educación superior podrá transformar las tensiones de la IA en </w:t>
      </w:r>
      <w:r w:rsidRPr="0014393E">
        <w:rPr>
          <w:rFonts w:ascii="Times New Roman" w:eastAsia="Times New Roman" w:hAnsi="Times New Roman" w:cs="Times New Roman"/>
        </w:rPr>
        <w:lastRenderedPageBreak/>
        <w:t>oportunidades genuinas para consolidar un aprendizaje inclusivo, riguroso y de excelencia.</w:t>
      </w:r>
    </w:p>
    <w:p w14:paraId="7D9EA585" w14:textId="77777777" w:rsidR="00824921" w:rsidRPr="0014393E" w:rsidRDefault="00000000" w:rsidP="0014393E">
      <w:pPr>
        <w:spacing w:line="240" w:lineRule="auto"/>
        <w:rPr>
          <w:rFonts w:ascii="Times New Roman" w:eastAsia="Times New Roman" w:hAnsi="Times New Roman" w:cs="Times New Roman"/>
          <w:b/>
          <w:bCs/>
        </w:rPr>
      </w:pPr>
      <w:r w:rsidRPr="0014393E">
        <w:rPr>
          <w:rFonts w:ascii="Times New Roman" w:eastAsia="Times New Roman" w:hAnsi="Times New Roman" w:cs="Times New Roman"/>
          <w:b/>
          <w:bCs/>
        </w:rPr>
        <w:t>Referencias Bibliográficas</w:t>
      </w:r>
    </w:p>
    <w:p w14:paraId="4A40D015" w14:textId="77777777" w:rsidR="00824921" w:rsidRPr="0014393E" w:rsidRDefault="00000000" w:rsidP="0014393E">
      <w:pPr>
        <w:spacing w:line="240" w:lineRule="auto"/>
        <w:jc w:val="both"/>
        <w:rPr>
          <w:rFonts w:ascii="Times New Roman" w:eastAsia="Times New Roman" w:hAnsi="Times New Roman" w:cs="Times New Roman"/>
        </w:rPr>
      </w:pPr>
      <w:proofErr w:type="spellStart"/>
      <w:r w:rsidRPr="0014393E">
        <w:rPr>
          <w:rFonts w:ascii="Times New Roman" w:eastAsia="Times New Roman" w:hAnsi="Times New Roman" w:cs="Times New Roman"/>
        </w:rPr>
        <w:t>Andreoli</w:t>
      </w:r>
      <w:proofErr w:type="spellEnd"/>
      <w:r w:rsidRPr="0014393E">
        <w:rPr>
          <w:rFonts w:ascii="Times New Roman" w:eastAsia="Times New Roman" w:hAnsi="Times New Roman" w:cs="Times New Roman"/>
        </w:rPr>
        <w:t xml:space="preserve">, S., </w:t>
      </w:r>
      <w:proofErr w:type="spellStart"/>
      <w:r w:rsidRPr="0014393E">
        <w:rPr>
          <w:rFonts w:ascii="Times New Roman" w:eastAsia="Times New Roman" w:hAnsi="Times New Roman" w:cs="Times New Roman"/>
        </w:rPr>
        <w:t>Aubert</w:t>
      </w:r>
      <w:proofErr w:type="spellEnd"/>
      <w:r w:rsidRPr="0014393E">
        <w:rPr>
          <w:rFonts w:ascii="Times New Roman" w:eastAsia="Times New Roman" w:hAnsi="Times New Roman" w:cs="Times New Roman"/>
        </w:rPr>
        <w:t xml:space="preserve">, E., </w:t>
      </w:r>
      <w:proofErr w:type="spellStart"/>
      <w:r w:rsidRPr="0014393E">
        <w:rPr>
          <w:rFonts w:ascii="Times New Roman" w:eastAsia="Times New Roman" w:hAnsi="Times New Roman" w:cs="Times New Roman"/>
        </w:rPr>
        <w:t>Cherbavaz</w:t>
      </w:r>
      <w:proofErr w:type="spellEnd"/>
      <w:r w:rsidRPr="0014393E">
        <w:rPr>
          <w:rFonts w:ascii="Times New Roman" w:eastAsia="Times New Roman" w:hAnsi="Times New Roman" w:cs="Times New Roman"/>
        </w:rPr>
        <w:t xml:space="preserve">, M. C., y Perillo, L. (2024). Entre humanos y algoritmos: percepciones docentes sobre la exploración con IAG en la Enseñanza del Nivel Superior. </w:t>
      </w:r>
      <w:r w:rsidRPr="0014393E">
        <w:rPr>
          <w:rFonts w:ascii="Times New Roman" w:eastAsia="Times New Roman" w:hAnsi="Times New Roman" w:cs="Times New Roman"/>
          <w:i/>
          <w:iCs/>
        </w:rPr>
        <w:t>Revista Iberoamericana de Tecnología en Educación y Educación en Tecnología</w:t>
      </w:r>
      <w:r w:rsidRPr="0014393E">
        <w:rPr>
          <w:rFonts w:ascii="Times New Roman" w:eastAsia="Times New Roman" w:hAnsi="Times New Roman" w:cs="Times New Roman"/>
        </w:rPr>
        <w:t>, (37), 63-77. https://doi.org/10.24215/18509959.37.e6</w:t>
      </w:r>
    </w:p>
    <w:p w14:paraId="337B9DB5"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Angulo </w:t>
      </w:r>
      <w:proofErr w:type="spellStart"/>
      <w:r w:rsidRPr="0014393E">
        <w:rPr>
          <w:rFonts w:ascii="Times New Roman" w:eastAsia="Times New Roman" w:hAnsi="Times New Roman" w:cs="Times New Roman"/>
        </w:rPr>
        <w:t>Valdearenas</w:t>
      </w:r>
      <w:proofErr w:type="spellEnd"/>
      <w:r w:rsidRPr="0014393E">
        <w:rPr>
          <w:rFonts w:ascii="Times New Roman" w:eastAsia="Times New Roman" w:hAnsi="Times New Roman" w:cs="Times New Roman"/>
        </w:rPr>
        <w:t xml:space="preserve">, M. J., </w:t>
      </w:r>
      <w:proofErr w:type="spellStart"/>
      <w:r w:rsidRPr="0014393E">
        <w:rPr>
          <w:rFonts w:ascii="Times New Roman" w:eastAsia="Times New Roman" w:hAnsi="Times New Roman" w:cs="Times New Roman"/>
        </w:rPr>
        <w:t>Garcia</w:t>
      </w:r>
      <w:proofErr w:type="spellEnd"/>
      <w:r w:rsidRPr="0014393E">
        <w:rPr>
          <w:rFonts w:ascii="Times New Roman" w:eastAsia="Times New Roman" w:hAnsi="Times New Roman" w:cs="Times New Roman"/>
        </w:rPr>
        <w:t xml:space="preserve"> </w:t>
      </w:r>
      <w:proofErr w:type="spellStart"/>
      <w:r w:rsidRPr="0014393E">
        <w:rPr>
          <w:rFonts w:ascii="Times New Roman" w:eastAsia="Times New Roman" w:hAnsi="Times New Roman" w:cs="Times New Roman"/>
        </w:rPr>
        <w:t>Brustenga</w:t>
      </w:r>
      <w:proofErr w:type="spellEnd"/>
      <w:r w:rsidRPr="0014393E">
        <w:rPr>
          <w:rFonts w:ascii="Times New Roman" w:eastAsia="Times New Roman" w:hAnsi="Times New Roman" w:cs="Times New Roman"/>
        </w:rPr>
        <w:t xml:space="preserve">, G., Gómez Cardosa, D., Mas </w:t>
      </w:r>
      <w:proofErr w:type="spellStart"/>
      <w:r w:rsidRPr="0014393E">
        <w:rPr>
          <w:rFonts w:ascii="Times New Roman" w:eastAsia="Times New Roman" w:hAnsi="Times New Roman" w:cs="Times New Roman"/>
        </w:rPr>
        <w:t>Garcia</w:t>
      </w:r>
      <w:proofErr w:type="spellEnd"/>
      <w:r w:rsidRPr="0014393E">
        <w:rPr>
          <w:rFonts w:ascii="Times New Roman" w:eastAsia="Times New Roman" w:hAnsi="Times New Roman" w:cs="Times New Roman"/>
        </w:rPr>
        <w:t xml:space="preserve">, X., y Martínez Aceituno, T. (2024). </w:t>
      </w:r>
      <w:r w:rsidRPr="0014393E">
        <w:rPr>
          <w:rFonts w:ascii="Times New Roman" w:eastAsia="Times New Roman" w:hAnsi="Times New Roman" w:cs="Times New Roman"/>
          <w:i/>
          <w:iCs/>
        </w:rPr>
        <w:t>Guía para la aplicación de la IA a la acción docente de la UOC</w:t>
      </w:r>
      <w:r w:rsidRPr="0014393E">
        <w:rPr>
          <w:rFonts w:ascii="Times New Roman" w:eastAsia="Times New Roman" w:hAnsi="Times New Roman" w:cs="Times New Roman"/>
        </w:rPr>
        <w:t xml:space="preserve">. eLearning </w:t>
      </w:r>
      <w:proofErr w:type="spellStart"/>
      <w:r w:rsidRPr="0014393E">
        <w:rPr>
          <w:rFonts w:ascii="Times New Roman" w:eastAsia="Times New Roman" w:hAnsi="Times New Roman" w:cs="Times New Roman"/>
        </w:rPr>
        <w:t>Innovation</w:t>
      </w:r>
      <w:proofErr w:type="spellEnd"/>
      <w:r w:rsidRPr="0014393E">
        <w:rPr>
          <w:rFonts w:ascii="Times New Roman" w:eastAsia="Times New Roman" w:hAnsi="Times New Roman" w:cs="Times New Roman"/>
        </w:rPr>
        <w:t xml:space="preserve"> Center; </w:t>
      </w:r>
      <w:proofErr w:type="spellStart"/>
      <w:r w:rsidRPr="0014393E">
        <w:rPr>
          <w:rFonts w:ascii="Times New Roman" w:eastAsia="Times New Roman" w:hAnsi="Times New Roman" w:cs="Times New Roman"/>
        </w:rPr>
        <w:t>Universitat</w:t>
      </w:r>
      <w:proofErr w:type="spellEnd"/>
      <w:r w:rsidRPr="0014393E">
        <w:rPr>
          <w:rFonts w:ascii="Times New Roman" w:eastAsia="Times New Roman" w:hAnsi="Times New Roman" w:cs="Times New Roman"/>
        </w:rPr>
        <w:t xml:space="preserve"> Oberta de Catalunya.</w:t>
      </w:r>
    </w:p>
    <w:p w14:paraId="285DE7B2"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Baldrich, K., </w:t>
      </w:r>
      <w:proofErr w:type="spellStart"/>
      <w:r w:rsidRPr="0014393E">
        <w:rPr>
          <w:rFonts w:ascii="Times New Roman" w:eastAsia="Times New Roman" w:hAnsi="Times New Roman" w:cs="Times New Roman"/>
        </w:rPr>
        <w:t>Dominguez</w:t>
      </w:r>
      <w:proofErr w:type="spellEnd"/>
      <w:r w:rsidRPr="0014393E">
        <w:rPr>
          <w:rFonts w:ascii="Times New Roman" w:eastAsia="Times New Roman" w:hAnsi="Times New Roman" w:cs="Times New Roman"/>
        </w:rPr>
        <w:t xml:space="preserve">-Oller, J. C., y García-Rocca, A. (2024). La Inteligencia Artificial y su impacto en la alfabetización académica: una revisión sistemática. </w:t>
      </w:r>
      <w:r w:rsidRPr="0014393E">
        <w:rPr>
          <w:rFonts w:ascii="Times New Roman" w:eastAsia="Times New Roman" w:hAnsi="Times New Roman" w:cs="Times New Roman"/>
          <w:i/>
          <w:iCs/>
        </w:rPr>
        <w:t xml:space="preserve">Revista </w:t>
      </w:r>
      <w:proofErr w:type="spellStart"/>
      <w:r w:rsidRPr="0014393E">
        <w:rPr>
          <w:rFonts w:ascii="Times New Roman" w:eastAsia="Times New Roman" w:hAnsi="Times New Roman" w:cs="Times New Roman"/>
          <w:i/>
          <w:iCs/>
        </w:rPr>
        <w:t>Educatio</w:t>
      </w:r>
      <w:proofErr w:type="spellEnd"/>
      <w:r w:rsidRPr="0014393E">
        <w:rPr>
          <w:rFonts w:ascii="Times New Roman" w:eastAsia="Times New Roman" w:hAnsi="Times New Roman" w:cs="Times New Roman"/>
          <w:i/>
          <w:iCs/>
        </w:rPr>
        <w:t xml:space="preserve"> Siglo XXI, 42</w:t>
      </w:r>
      <w:r w:rsidRPr="0014393E">
        <w:rPr>
          <w:rFonts w:ascii="Times New Roman" w:eastAsia="Times New Roman" w:hAnsi="Times New Roman" w:cs="Times New Roman"/>
        </w:rPr>
        <w:t>(3), 53-74. https://doi.org/10.6018/educatio. 609591</w:t>
      </w:r>
    </w:p>
    <w:p w14:paraId="358E6152"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Castillo-Salazar, D. R., y Mora-Rosales, J. C. (2024). La inteligencia artificial en la educación superior: Aciertos y desaciertos. Una revisión sistemática. </w:t>
      </w:r>
      <w:r w:rsidRPr="0014393E">
        <w:rPr>
          <w:rFonts w:ascii="Times New Roman" w:eastAsia="Times New Roman" w:hAnsi="Times New Roman" w:cs="Times New Roman"/>
          <w:i/>
          <w:iCs/>
        </w:rPr>
        <w:t>KIRIA: Revista Científica Multidisciplinaria, 2</w:t>
      </w:r>
      <w:r w:rsidRPr="0014393E">
        <w:rPr>
          <w:rFonts w:ascii="Times New Roman" w:eastAsia="Times New Roman" w:hAnsi="Times New Roman" w:cs="Times New Roman"/>
        </w:rPr>
        <w:t>(4), 9-18. https://doi.org/10.53877/0hxk1v43</w:t>
      </w:r>
    </w:p>
    <w:p w14:paraId="32384F78"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Donaire, J. A., </w:t>
      </w:r>
      <w:proofErr w:type="spellStart"/>
      <w:r w:rsidRPr="0014393E">
        <w:rPr>
          <w:rFonts w:ascii="Times New Roman" w:eastAsia="Times New Roman" w:hAnsi="Times New Roman" w:cs="Times New Roman"/>
        </w:rPr>
        <w:t>Puntí</w:t>
      </w:r>
      <w:proofErr w:type="spellEnd"/>
      <w:r w:rsidRPr="0014393E">
        <w:rPr>
          <w:rFonts w:ascii="Times New Roman" w:eastAsia="Times New Roman" w:hAnsi="Times New Roman" w:cs="Times New Roman"/>
        </w:rPr>
        <w:t xml:space="preserve"> Brun, M., </w:t>
      </w:r>
      <w:proofErr w:type="spellStart"/>
      <w:r w:rsidRPr="0014393E">
        <w:rPr>
          <w:rFonts w:ascii="Times New Roman" w:eastAsia="Times New Roman" w:hAnsi="Times New Roman" w:cs="Times New Roman"/>
        </w:rPr>
        <w:t>Zerva</w:t>
      </w:r>
      <w:proofErr w:type="spellEnd"/>
      <w:r w:rsidRPr="0014393E">
        <w:rPr>
          <w:rFonts w:ascii="Times New Roman" w:eastAsia="Times New Roman" w:hAnsi="Times New Roman" w:cs="Times New Roman"/>
        </w:rPr>
        <w:t xml:space="preserve">, K., Camprubí Subirana, R., y Galí </w:t>
      </w:r>
      <w:proofErr w:type="spellStart"/>
      <w:r w:rsidRPr="0014393E">
        <w:rPr>
          <w:rFonts w:ascii="Times New Roman" w:eastAsia="Times New Roman" w:hAnsi="Times New Roman" w:cs="Times New Roman"/>
        </w:rPr>
        <w:t>Espelt</w:t>
      </w:r>
      <w:proofErr w:type="spellEnd"/>
      <w:r w:rsidRPr="0014393E">
        <w:rPr>
          <w:rFonts w:ascii="Times New Roman" w:eastAsia="Times New Roman" w:hAnsi="Times New Roman" w:cs="Times New Roman"/>
        </w:rPr>
        <w:t xml:space="preserve">, N. (2025). </w:t>
      </w:r>
      <w:r w:rsidRPr="0014393E">
        <w:rPr>
          <w:rFonts w:ascii="Times New Roman" w:eastAsia="Times New Roman" w:hAnsi="Times New Roman" w:cs="Times New Roman"/>
          <w:i/>
          <w:iCs/>
        </w:rPr>
        <w:t>De la tiza al chip: el uso de la inteligencia artificial en las aulas</w:t>
      </w:r>
      <w:r w:rsidRPr="0014393E">
        <w:rPr>
          <w:rFonts w:ascii="Times New Roman" w:eastAsia="Times New Roman" w:hAnsi="Times New Roman" w:cs="Times New Roman"/>
        </w:rPr>
        <w:t>. Universidad de Girona</w:t>
      </w:r>
    </w:p>
    <w:p w14:paraId="354D8FC7"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Escario, I., García, A., Ripollés, M., Arriaga, C., González, P. A. C., y Cumbreras, M. Á. G. (2024). Impulsando la Educación Superior con </w:t>
      </w:r>
      <w:proofErr w:type="spellStart"/>
      <w:r w:rsidRPr="0014393E">
        <w:rPr>
          <w:rFonts w:ascii="Times New Roman" w:eastAsia="Times New Roman" w:hAnsi="Times New Roman" w:cs="Times New Roman"/>
        </w:rPr>
        <w:t>IAGen</w:t>
      </w:r>
      <w:proofErr w:type="spellEnd"/>
      <w:r w:rsidRPr="0014393E">
        <w:rPr>
          <w:rFonts w:ascii="Times New Roman" w:eastAsia="Times New Roman" w:hAnsi="Times New Roman" w:cs="Times New Roman"/>
        </w:rPr>
        <w:t xml:space="preserve">: oportunidades y retos para docentes. REDU. </w:t>
      </w:r>
      <w:r w:rsidRPr="0014393E">
        <w:rPr>
          <w:rFonts w:ascii="Times New Roman" w:eastAsia="Times New Roman" w:hAnsi="Times New Roman" w:cs="Times New Roman"/>
          <w:i/>
          <w:iCs/>
        </w:rPr>
        <w:t>Revista de Docencia Universitaria, 22</w:t>
      </w:r>
      <w:r w:rsidRPr="0014393E">
        <w:rPr>
          <w:rFonts w:ascii="Times New Roman" w:eastAsia="Times New Roman" w:hAnsi="Times New Roman" w:cs="Times New Roman"/>
        </w:rPr>
        <w:t xml:space="preserve">(2), 137-157. </w:t>
      </w:r>
      <w:hyperlink r:id="rId7">
        <w:r w:rsidRPr="0014393E">
          <w:rPr>
            <w:rFonts w:ascii="Times New Roman" w:eastAsia="Times New Roman" w:hAnsi="Times New Roman" w:cs="Times New Roman"/>
          </w:rPr>
          <w:t>https://doi.org/10.4995/redu.2024.22065</w:t>
        </w:r>
      </w:hyperlink>
    </w:p>
    <w:p w14:paraId="7B918F52"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Facultad de Humanidades y Ciencias de la Educación. (2026). </w:t>
      </w:r>
      <w:r w:rsidRPr="0014393E">
        <w:rPr>
          <w:rFonts w:ascii="Times New Roman" w:eastAsia="Times New Roman" w:hAnsi="Times New Roman" w:cs="Times New Roman"/>
          <w:i/>
          <w:iCs/>
        </w:rPr>
        <w:t>Guía para el uso de la Inteligencia Artificial en FHCE</w:t>
      </w:r>
      <w:r w:rsidRPr="0014393E">
        <w:rPr>
          <w:rFonts w:ascii="Times New Roman" w:eastAsia="Times New Roman" w:hAnsi="Times New Roman" w:cs="Times New Roman"/>
        </w:rPr>
        <w:t>. Universidad de la República.</w:t>
      </w:r>
    </w:p>
    <w:p w14:paraId="1A342850"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Facultad de Ingeniería. (2026). </w:t>
      </w:r>
      <w:r w:rsidRPr="0014393E">
        <w:rPr>
          <w:rFonts w:ascii="Times New Roman" w:eastAsia="Times New Roman" w:hAnsi="Times New Roman" w:cs="Times New Roman"/>
          <w:i/>
          <w:iCs/>
        </w:rPr>
        <w:t>Guía para el uso ético y crítico de inteligencia artificial en las unidades curriculares de Facultad de Ingeniería</w:t>
      </w:r>
      <w:r w:rsidRPr="0014393E">
        <w:rPr>
          <w:rFonts w:ascii="Times New Roman" w:eastAsia="Times New Roman" w:hAnsi="Times New Roman" w:cs="Times New Roman"/>
        </w:rPr>
        <w:t>. Universidad de la República.</w:t>
      </w:r>
    </w:p>
    <w:p w14:paraId="5DFB51B6" w14:textId="77777777" w:rsidR="00824921" w:rsidRPr="0014393E" w:rsidRDefault="00000000" w:rsidP="0014393E">
      <w:pPr>
        <w:spacing w:line="240" w:lineRule="auto"/>
        <w:jc w:val="both"/>
        <w:rPr>
          <w:rFonts w:ascii="Times New Roman" w:eastAsia="Times New Roman" w:hAnsi="Times New Roman" w:cs="Times New Roman"/>
        </w:rPr>
      </w:pPr>
      <w:proofErr w:type="spellStart"/>
      <w:r w:rsidRPr="0014393E">
        <w:rPr>
          <w:rFonts w:ascii="Times New Roman" w:eastAsia="Times New Roman" w:hAnsi="Times New Roman" w:cs="Times New Roman"/>
        </w:rPr>
        <w:t>Garcia</w:t>
      </w:r>
      <w:proofErr w:type="spellEnd"/>
      <w:r w:rsidRPr="0014393E">
        <w:rPr>
          <w:rFonts w:ascii="Times New Roman" w:eastAsia="Times New Roman" w:hAnsi="Times New Roman" w:cs="Times New Roman"/>
        </w:rPr>
        <w:t xml:space="preserve">-Peñalvo, F. J., Alier, M., Pereira, J., y </w:t>
      </w:r>
      <w:proofErr w:type="spellStart"/>
      <w:r w:rsidRPr="0014393E">
        <w:rPr>
          <w:rFonts w:ascii="Times New Roman" w:eastAsia="Times New Roman" w:hAnsi="Times New Roman" w:cs="Times New Roman"/>
        </w:rPr>
        <w:t>Casany</w:t>
      </w:r>
      <w:proofErr w:type="spellEnd"/>
      <w:r w:rsidRPr="0014393E">
        <w:rPr>
          <w:rFonts w:ascii="Times New Roman" w:eastAsia="Times New Roman" w:hAnsi="Times New Roman" w:cs="Times New Roman"/>
        </w:rPr>
        <w:t xml:space="preserve">, M. J. (2024). Inteligencia artificial segura, transparente y ética: Claves para una educación sostenible de calidad (ODS4). </w:t>
      </w:r>
      <w:r w:rsidRPr="0014393E">
        <w:rPr>
          <w:rFonts w:ascii="Times New Roman" w:eastAsia="Times New Roman" w:hAnsi="Times New Roman" w:cs="Times New Roman"/>
          <w:i/>
          <w:iCs/>
        </w:rPr>
        <w:t xml:space="preserve">International </w:t>
      </w:r>
      <w:proofErr w:type="spellStart"/>
      <w:r w:rsidRPr="0014393E">
        <w:rPr>
          <w:rFonts w:ascii="Times New Roman" w:eastAsia="Times New Roman" w:hAnsi="Times New Roman" w:cs="Times New Roman"/>
          <w:i/>
          <w:iCs/>
        </w:rPr>
        <w:t>Journal</w:t>
      </w:r>
      <w:proofErr w:type="spellEnd"/>
      <w:r w:rsidRPr="0014393E">
        <w:rPr>
          <w:rFonts w:ascii="Times New Roman" w:eastAsia="Times New Roman" w:hAnsi="Times New Roman" w:cs="Times New Roman"/>
          <w:i/>
          <w:iCs/>
        </w:rPr>
        <w:t xml:space="preserve"> </w:t>
      </w:r>
      <w:proofErr w:type="spellStart"/>
      <w:r w:rsidRPr="0014393E">
        <w:rPr>
          <w:rFonts w:ascii="Times New Roman" w:eastAsia="Times New Roman" w:hAnsi="Times New Roman" w:cs="Times New Roman"/>
          <w:i/>
          <w:iCs/>
        </w:rPr>
        <w:t>of</w:t>
      </w:r>
      <w:proofErr w:type="spellEnd"/>
      <w:r w:rsidRPr="0014393E">
        <w:rPr>
          <w:rFonts w:ascii="Times New Roman" w:eastAsia="Times New Roman" w:hAnsi="Times New Roman" w:cs="Times New Roman"/>
          <w:i/>
          <w:iCs/>
        </w:rPr>
        <w:t xml:space="preserve"> </w:t>
      </w:r>
      <w:proofErr w:type="spellStart"/>
      <w:r w:rsidRPr="0014393E">
        <w:rPr>
          <w:rFonts w:ascii="Times New Roman" w:eastAsia="Times New Roman" w:hAnsi="Times New Roman" w:cs="Times New Roman"/>
          <w:i/>
          <w:iCs/>
        </w:rPr>
        <w:t>Educational</w:t>
      </w:r>
      <w:proofErr w:type="spellEnd"/>
      <w:r w:rsidRPr="0014393E">
        <w:rPr>
          <w:rFonts w:ascii="Times New Roman" w:eastAsia="Times New Roman" w:hAnsi="Times New Roman" w:cs="Times New Roman"/>
          <w:i/>
          <w:iCs/>
        </w:rPr>
        <w:t xml:space="preserve"> </w:t>
      </w:r>
      <w:proofErr w:type="spellStart"/>
      <w:r w:rsidRPr="0014393E">
        <w:rPr>
          <w:rFonts w:ascii="Times New Roman" w:eastAsia="Times New Roman" w:hAnsi="Times New Roman" w:cs="Times New Roman"/>
          <w:i/>
          <w:iCs/>
        </w:rPr>
        <w:t>Research</w:t>
      </w:r>
      <w:proofErr w:type="spellEnd"/>
      <w:r w:rsidRPr="0014393E">
        <w:rPr>
          <w:rFonts w:ascii="Times New Roman" w:eastAsia="Times New Roman" w:hAnsi="Times New Roman" w:cs="Times New Roman"/>
          <w:i/>
          <w:iCs/>
        </w:rPr>
        <w:t xml:space="preserve"> and </w:t>
      </w:r>
      <w:proofErr w:type="spellStart"/>
      <w:r w:rsidRPr="0014393E">
        <w:rPr>
          <w:rFonts w:ascii="Times New Roman" w:eastAsia="Times New Roman" w:hAnsi="Times New Roman" w:cs="Times New Roman"/>
          <w:i/>
          <w:iCs/>
        </w:rPr>
        <w:t>Innovation</w:t>
      </w:r>
      <w:proofErr w:type="spellEnd"/>
      <w:r w:rsidRPr="0014393E">
        <w:rPr>
          <w:rFonts w:ascii="Times New Roman" w:eastAsia="Times New Roman" w:hAnsi="Times New Roman" w:cs="Times New Roman"/>
        </w:rPr>
        <w:t>, (22), 1-21. https://doi.org/10.46661/ijeri.11036</w:t>
      </w:r>
    </w:p>
    <w:p w14:paraId="0D7AAC5B"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t xml:space="preserve">Molina, E., y Medina, E. (2025). </w:t>
      </w:r>
      <w:r w:rsidRPr="0014393E">
        <w:rPr>
          <w:rFonts w:ascii="Times New Roman" w:eastAsia="Times New Roman" w:hAnsi="Times New Roman" w:cs="Times New Roman"/>
          <w:i/>
          <w:iCs/>
        </w:rPr>
        <w:t>Revolución de la IA en Educación Superior: Lo que hay que saber.</w:t>
      </w:r>
      <w:r w:rsidRPr="0014393E">
        <w:rPr>
          <w:rFonts w:ascii="Times New Roman" w:eastAsia="Times New Roman" w:hAnsi="Times New Roman" w:cs="Times New Roman"/>
        </w:rPr>
        <w:t xml:space="preserve"> </w:t>
      </w:r>
      <w:proofErr w:type="spellStart"/>
      <w:r w:rsidRPr="0014393E">
        <w:rPr>
          <w:rFonts w:ascii="Times New Roman" w:eastAsia="Times New Roman" w:hAnsi="Times New Roman" w:cs="Times New Roman"/>
        </w:rPr>
        <w:t>Brief</w:t>
      </w:r>
      <w:proofErr w:type="spellEnd"/>
      <w:r w:rsidRPr="0014393E">
        <w:rPr>
          <w:rFonts w:ascii="Times New Roman" w:eastAsia="Times New Roman" w:hAnsi="Times New Roman" w:cs="Times New Roman"/>
        </w:rPr>
        <w:t xml:space="preserve"> N°4, Innovaciones Digitales en Educación. Banco Mundial.</w:t>
      </w:r>
    </w:p>
    <w:p w14:paraId="3632CE7D" w14:textId="77777777" w:rsidR="00824921" w:rsidRPr="0014393E" w:rsidRDefault="00000000" w:rsidP="0014393E">
      <w:pPr>
        <w:spacing w:line="240" w:lineRule="auto"/>
        <w:jc w:val="both"/>
        <w:rPr>
          <w:rFonts w:ascii="Times New Roman" w:eastAsia="Times New Roman" w:hAnsi="Times New Roman" w:cs="Times New Roman"/>
        </w:rPr>
      </w:pPr>
      <w:proofErr w:type="spellStart"/>
      <w:r w:rsidRPr="0014393E">
        <w:rPr>
          <w:rFonts w:ascii="Times New Roman" w:eastAsia="Times New Roman" w:hAnsi="Times New Roman" w:cs="Times New Roman"/>
        </w:rPr>
        <w:t>Murdan</w:t>
      </w:r>
      <w:proofErr w:type="spellEnd"/>
      <w:r w:rsidRPr="0014393E">
        <w:rPr>
          <w:rFonts w:ascii="Times New Roman" w:eastAsia="Times New Roman" w:hAnsi="Times New Roman" w:cs="Times New Roman"/>
        </w:rPr>
        <w:t xml:space="preserve">, A. P., y </w:t>
      </w:r>
      <w:proofErr w:type="spellStart"/>
      <w:r w:rsidRPr="0014393E">
        <w:rPr>
          <w:rFonts w:ascii="Times New Roman" w:eastAsia="Times New Roman" w:hAnsi="Times New Roman" w:cs="Times New Roman"/>
        </w:rPr>
        <w:t>Halkhoree</w:t>
      </w:r>
      <w:proofErr w:type="spellEnd"/>
      <w:r w:rsidRPr="0014393E">
        <w:rPr>
          <w:rFonts w:ascii="Times New Roman" w:eastAsia="Times New Roman" w:hAnsi="Times New Roman" w:cs="Times New Roman"/>
        </w:rPr>
        <w:t xml:space="preserve">, R. (2024). </w:t>
      </w:r>
      <w:proofErr w:type="spellStart"/>
      <w:r w:rsidRPr="0014393E">
        <w:rPr>
          <w:rFonts w:ascii="Times New Roman" w:eastAsia="Times New Roman" w:hAnsi="Times New Roman" w:cs="Times New Roman"/>
        </w:rPr>
        <w:t>Integration</w:t>
      </w:r>
      <w:proofErr w:type="spellEnd"/>
      <w:r w:rsidRPr="0014393E">
        <w:rPr>
          <w:rFonts w:ascii="Times New Roman" w:eastAsia="Times New Roman" w:hAnsi="Times New Roman" w:cs="Times New Roman"/>
        </w:rPr>
        <w:t xml:space="preserve"> </w:t>
      </w:r>
      <w:proofErr w:type="spellStart"/>
      <w:r w:rsidRPr="0014393E">
        <w:rPr>
          <w:rFonts w:ascii="Times New Roman" w:eastAsia="Times New Roman" w:hAnsi="Times New Roman" w:cs="Times New Roman"/>
        </w:rPr>
        <w:t>of</w:t>
      </w:r>
      <w:proofErr w:type="spellEnd"/>
      <w:r w:rsidRPr="0014393E">
        <w:rPr>
          <w:rFonts w:ascii="Times New Roman" w:eastAsia="Times New Roman" w:hAnsi="Times New Roman" w:cs="Times New Roman"/>
        </w:rPr>
        <w:t xml:space="preserve"> Artificial </w:t>
      </w:r>
      <w:proofErr w:type="spellStart"/>
      <w:r w:rsidRPr="0014393E">
        <w:rPr>
          <w:rFonts w:ascii="Times New Roman" w:eastAsia="Times New Roman" w:hAnsi="Times New Roman" w:cs="Times New Roman"/>
        </w:rPr>
        <w:t>Intelligence</w:t>
      </w:r>
      <w:proofErr w:type="spellEnd"/>
      <w:r w:rsidRPr="0014393E">
        <w:rPr>
          <w:rFonts w:ascii="Times New Roman" w:eastAsia="Times New Roman" w:hAnsi="Times New Roman" w:cs="Times New Roman"/>
        </w:rPr>
        <w:t xml:space="preserve"> </w:t>
      </w:r>
      <w:proofErr w:type="spellStart"/>
      <w:r w:rsidRPr="0014393E">
        <w:rPr>
          <w:rFonts w:ascii="Times New Roman" w:eastAsia="Times New Roman" w:hAnsi="Times New Roman" w:cs="Times New Roman"/>
        </w:rPr>
        <w:t>for</w:t>
      </w:r>
      <w:proofErr w:type="spellEnd"/>
      <w:r w:rsidRPr="0014393E">
        <w:rPr>
          <w:rFonts w:ascii="Times New Roman" w:eastAsia="Times New Roman" w:hAnsi="Times New Roman" w:cs="Times New Roman"/>
        </w:rPr>
        <w:t xml:space="preserve"> </w:t>
      </w:r>
      <w:proofErr w:type="spellStart"/>
      <w:r w:rsidRPr="0014393E">
        <w:rPr>
          <w:rFonts w:ascii="Times New Roman" w:eastAsia="Times New Roman" w:hAnsi="Times New Roman" w:cs="Times New Roman"/>
        </w:rPr>
        <w:t>educational</w:t>
      </w:r>
      <w:proofErr w:type="spellEnd"/>
      <w:r w:rsidRPr="0014393E">
        <w:rPr>
          <w:rFonts w:ascii="Times New Roman" w:eastAsia="Times New Roman" w:hAnsi="Times New Roman" w:cs="Times New Roman"/>
        </w:rPr>
        <w:t xml:space="preserve"> </w:t>
      </w:r>
      <w:proofErr w:type="spellStart"/>
      <w:r w:rsidRPr="0014393E">
        <w:rPr>
          <w:rFonts w:ascii="Times New Roman" w:eastAsia="Times New Roman" w:hAnsi="Times New Roman" w:cs="Times New Roman"/>
        </w:rPr>
        <w:t>excellence</w:t>
      </w:r>
      <w:proofErr w:type="spellEnd"/>
      <w:r w:rsidRPr="0014393E">
        <w:rPr>
          <w:rFonts w:ascii="Times New Roman" w:eastAsia="Times New Roman" w:hAnsi="Times New Roman" w:cs="Times New Roman"/>
        </w:rPr>
        <w:t xml:space="preserve"> and </w:t>
      </w:r>
      <w:proofErr w:type="spellStart"/>
      <w:r w:rsidRPr="0014393E">
        <w:rPr>
          <w:rFonts w:ascii="Times New Roman" w:eastAsia="Times New Roman" w:hAnsi="Times New Roman" w:cs="Times New Roman"/>
        </w:rPr>
        <w:t>innovation</w:t>
      </w:r>
      <w:proofErr w:type="spellEnd"/>
      <w:r w:rsidRPr="0014393E">
        <w:rPr>
          <w:rFonts w:ascii="Times New Roman" w:eastAsia="Times New Roman" w:hAnsi="Times New Roman" w:cs="Times New Roman"/>
        </w:rPr>
        <w:t xml:space="preserve"> in </w:t>
      </w:r>
      <w:proofErr w:type="spellStart"/>
      <w:r w:rsidRPr="0014393E">
        <w:rPr>
          <w:rFonts w:ascii="Times New Roman" w:eastAsia="Times New Roman" w:hAnsi="Times New Roman" w:cs="Times New Roman"/>
        </w:rPr>
        <w:t>higher</w:t>
      </w:r>
      <w:proofErr w:type="spellEnd"/>
      <w:r w:rsidRPr="0014393E">
        <w:rPr>
          <w:rFonts w:ascii="Times New Roman" w:eastAsia="Times New Roman" w:hAnsi="Times New Roman" w:cs="Times New Roman"/>
        </w:rPr>
        <w:t xml:space="preserve"> </w:t>
      </w:r>
      <w:proofErr w:type="spellStart"/>
      <w:r w:rsidRPr="0014393E">
        <w:rPr>
          <w:rFonts w:ascii="Times New Roman" w:eastAsia="Times New Roman" w:hAnsi="Times New Roman" w:cs="Times New Roman"/>
        </w:rPr>
        <w:t>education</w:t>
      </w:r>
      <w:proofErr w:type="spellEnd"/>
      <w:r w:rsidRPr="0014393E">
        <w:rPr>
          <w:rFonts w:ascii="Times New Roman" w:eastAsia="Times New Roman" w:hAnsi="Times New Roman" w:cs="Times New Roman"/>
        </w:rPr>
        <w:t xml:space="preserve"> </w:t>
      </w:r>
      <w:proofErr w:type="spellStart"/>
      <w:r w:rsidRPr="0014393E">
        <w:rPr>
          <w:rFonts w:ascii="Times New Roman" w:eastAsia="Times New Roman" w:hAnsi="Times New Roman" w:cs="Times New Roman"/>
        </w:rPr>
        <w:t>institutions</w:t>
      </w:r>
      <w:proofErr w:type="spellEnd"/>
      <w:r w:rsidRPr="0014393E">
        <w:rPr>
          <w:rFonts w:ascii="Times New Roman" w:eastAsia="Times New Roman" w:hAnsi="Times New Roman" w:cs="Times New Roman"/>
        </w:rPr>
        <w:t xml:space="preserve">. </w:t>
      </w:r>
      <w:r w:rsidRPr="0014393E">
        <w:rPr>
          <w:rFonts w:ascii="Times New Roman" w:eastAsia="Times New Roman" w:hAnsi="Times New Roman" w:cs="Times New Roman"/>
          <w:i/>
          <w:iCs/>
        </w:rPr>
        <w:t xml:space="preserve">2024 1st International </w:t>
      </w:r>
      <w:proofErr w:type="spellStart"/>
      <w:r w:rsidRPr="0014393E">
        <w:rPr>
          <w:rFonts w:ascii="Times New Roman" w:eastAsia="Times New Roman" w:hAnsi="Times New Roman" w:cs="Times New Roman"/>
          <w:i/>
          <w:iCs/>
        </w:rPr>
        <w:t>Conference</w:t>
      </w:r>
      <w:proofErr w:type="spellEnd"/>
      <w:r w:rsidRPr="0014393E">
        <w:rPr>
          <w:rFonts w:ascii="Times New Roman" w:eastAsia="Times New Roman" w:hAnsi="Times New Roman" w:cs="Times New Roman"/>
          <w:i/>
          <w:iCs/>
        </w:rPr>
        <w:t xml:space="preserve"> </w:t>
      </w:r>
      <w:proofErr w:type="spellStart"/>
      <w:r w:rsidRPr="0014393E">
        <w:rPr>
          <w:rFonts w:ascii="Times New Roman" w:eastAsia="Times New Roman" w:hAnsi="Times New Roman" w:cs="Times New Roman"/>
          <w:i/>
          <w:iCs/>
        </w:rPr>
        <w:t>on</w:t>
      </w:r>
      <w:proofErr w:type="spellEnd"/>
      <w:r w:rsidRPr="0014393E">
        <w:rPr>
          <w:rFonts w:ascii="Times New Roman" w:eastAsia="Times New Roman" w:hAnsi="Times New Roman" w:cs="Times New Roman"/>
          <w:i/>
          <w:iCs/>
        </w:rPr>
        <w:t xml:space="preserve"> Smart Energy </w:t>
      </w:r>
      <w:proofErr w:type="spellStart"/>
      <w:r w:rsidRPr="0014393E">
        <w:rPr>
          <w:rFonts w:ascii="Times New Roman" w:eastAsia="Times New Roman" w:hAnsi="Times New Roman" w:cs="Times New Roman"/>
          <w:i/>
          <w:iCs/>
        </w:rPr>
        <w:t>Systems</w:t>
      </w:r>
      <w:proofErr w:type="spellEnd"/>
      <w:r w:rsidRPr="0014393E">
        <w:rPr>
          <w:rFonts w:ascii="Times New Roman" w:eastAsia="Times New Roman" w:hAnsi="Times New Roman" w:cs="Times New Roman"/>
          <w:i/>
          <w:iCs/>
        </w:rPr>
        <w:t xml:space="preserve"> and Artificial </w:t>
      </w:r>
      <w:proofErr w:type="spellStart"/>
      <w:r w:rsidRPr="0014393E">
        <w:rPr>
          <w:rFonts w:ascii="Times New Roman" w:eastAsia="Times New Roman" w:hAnsi="Times New Roman" w:cs="Times New Roman"/>
          <w:i/>
          <w:iCs/>
        </w:rPr>
        <w:t>Intelligence</w:t>
      </w:r>
      <w:proofErr w:type="spellEnd"/>
      <w:r w:rsidRPr="0014393E">
        <w:rPr>
          <w:rFonts w:ascii="Times New Roman" w:eastAsia="Times New Roman" w:hAnsi="Times New Roman" w:cs="Times New Roman"/>
          <w:i/>
          <w:iCs/>
        </w:rPr>
        <w:t xml:space="preserve"> (SESAI),</w:t>
      </w:r>
      <w:r w:rsidRPr="0014393E">
        <w:rPr>
          <w:rFonts w:ascii="Times New Roman" w:eastAsia="Times New Roman" w:hAnsi="Times New Roman" w:cs="Times New Roman"/>
        </w:rPr>
        <w:t xml:space="preserve"> (1-6). https://doi.org/10.1109/sesai61023.2024.10599402</w:t>
      </w:r>
    </w:p>
    <w:p w14:paraId="56286A6D" w14:textId="77777777" w:rsidR="00824921" w:rsidRPr="0014393E" w:rsidRDefault="00000000" w:rsidP="0014393E">
      <w:pPr>
        <w:spacing w:line="240" w:lineRule="auto"/>
        <w:jc w:val="both"/>
        <w:rPr>
          <w:rFonts w:ascii="Times New Roman" w:eastAsia="Times New Roman" w:hAnsi="Times New Roman" w:cs="Times New Roman"/>
        </w:rPr>
      </w:pPr>
      <w:r w:rsidRPr="0014393E">
        <w:rPr>
          <w:rFonts w:ascii="Times New Roman" w:eastAsia="Times New Roman" w:hAnsi="Times New Roman" w:cs="Times New Roman"/>
        </w:rPr>
        <w:lastRenderedPageBreak/>
        <w:t xml:space="preserve">Ramírez Armenta, M. O., y Solano Norzagaray, E. (2025). 13. Inteligencia artificial en la educación superior (2014-2024). </w:t>
      </w:r>
      <w:r w:rsidRPr="0014393E">
        <w:rPr>
          <w:rFonts w:ascii="Times New Roman" w:eastAsia="Times New Roman" w:hAnsi="Times New Roman" w:cs="Times New Roman"/>
          <w:i/>
          <w:iCs/>
        </w:rPr>
        <w:t>Cuadernos de Investigación Educativa, 16</w:t>
      </w:r>
      <w:r w:rsidRPr="0014393E">
        <w:rPr>
          <w:rFonts w:ascii="Times New Roman" w:eastAsia="Times New Roman" w:hAnsi="Times New Roman" w:cs="Times New Roman"/>
        </w:rPr>
        <w:t>(2) https://doi.org/10.52501/cc.330.13</w:t>
      </w:r>
    </w:p>
    <w:p w14:paraId="6787A958" w14:textId="77777777" w:rsidR="00824921" w:rsidRPr="0014393E" w:rsidRDefault="00000000" w:rsidP="0014393E">
      <w:pPr>
        <w:spacing w:line="240" w:lineRule="auto"/>
        <w:jc w:val="both"/>
        <w:rPr>
          <w:rFonts w:ascii="Times New Roman" w:eastAsia="Times New Roman" w:hAnsi="Times New Roman" w:cs="Times New Roman"/>
        </w:rPr>
      </w:pPr>
      <w:proofErr w:type="spellStart"/>
      <w:r w:rsidRPr="0014393E">
        <w:rPr>
          <w:rFonts w:ascii="Times New Roman" w:eastAsia="Times New Roman" w:hAnsi="Times New Roman" w:cs="Times New Roman"/>
        </w:rPr>
        <w:t>Sabzalieva</w:t>
      </w:r>
      <w:proofErr w:type="spellEnd"/>
      <w:r w:rsidRPr="0014393E">
        <w:rPr>
          <w:rFonts w:ascii="Times New Roman" w:eastAsia="Times New Roman" w:hAnsi="Times New Roman" w:cs="Times New Roman"/>
        </w:rPr>
        <w:t>, E., y Valentini, A. (2023).</w:t>
      </w:r>
      <w:r w:rsidRPr="0014393E">
        <w:rPr>
          <w:rFonts w:ascii="Times New Roman" w:eastAsia="Times New Roman" w:hAnsi="Times New Roman" w:cs="Times New Roman"/>
          <w:i/>
          <w:iCs/>
        </w:rPr>
        <w:t xml:space="preserve"> </w:t>
      </w:r>
      <w:proofErr w:type="spellStart"/>
      <w:r w:rsidRPr="0014393E">
        <w:rPr>
          <w:rFonts w:ascii="Times New Roman" w:eastAsia="Times New Roman" w:hAnsi="Times New Roman" w:cs="Times New Roman"/>
          <w:i/>
          <w:iCs/>
        </w:rPr>
        <w:t>ChatGPT</w:t>
      </w:r>
      <w:proofErr w:type="spellEnd"/>
      <w:r w:rsidRPr="0014393E">
        <w:rPr>
          <w:rFonts w:ascii="Times New Roman" w:eastAsia="Times New Roman" w:hAnsi="Times New Roman" w:cs="Times New Roman"/>
          <w:i/>
          <w:iCs/>
        </w:rPr>
        <w:t xml:space="preserve"> e inteligencia artificial en la educación superior: Guía de inicio rápido</w:t>
      </w:r>
      <w:r w:rsidRPr="0014393E">
        <w:rPr>
          <w:rFonts w:ascii="Times New Roman" w:eastAsia="Times New Roman" w:hAnsi="Times New Roman" w:cs="Times New Roman"/>
        </w:rPr>
        <w:t>. Organización de las Naciones Unidas para la Educación, la Ciencia y la Cultura; Instituto Internacional de la UNESCO para la Educación Superior en América Latina y el Caribe.</w:t>
      </w:r>
    </w:p>
    <w:p w14:paraId="5A787553" w14:textId="77777777" w:rsidR="00824921" w:rsidRPr="0014393E" w:rsidRDefault="00824921" w:rsidP="0014393E">
      <w:pPr>
        <w:spacing w:line="240" w:lineRule="auto"/>
        <w:rPr>
          <w:rFonts w:ascii="Times New Roman" w:eastAsia="Times New Roman" w:hAnsi="Times New Roman" w:cs="Times New Roman"/>
        </w:rPr>
      </w:pPr>
    </w:p>
    <w:sectPr w:rsidR="00824921" w:rsidRPr="0014393E">
      <w:headerReference w:type="default" r:id="rId8"/>
      <w:footerReference w:type="default" r:id="rId9"/>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0D516" w14:textId="77777777" w:rsidR="0055305B" w:rsidRDefault="0055305B">
      <w:pPr>
        <w:spacing w:after="0" w:line="240" w:lineRule="auto"/>
      </w:pPr>
      <w:r>
        <w:separator/>
      </w:r>
    </w:p>
  </w:endnote>
  <w:endnote w:type="continuationSeparator" w:id="0">
    <w:p w14:paraId="669E83F0" w14:textId="77777777" w:rsidR="0055305B" w:rsidRDefault="00553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FA957903-4F4A-49C5-A120-A4FEDEB0B127}"/>
    <w:embedItalic r:id="rId2" w:fontKey="{D9550AAB-C169-400B-A83F-003D72145C2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48822815-4291-47CE-9869-444F685B6E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77AD" w14:textId="77777777" w:rsidR="00824921"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17859631" wp14:editId="7ADF8693">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24BF507" w14:textId="77777777" w:rsidR="00824921" w:rsidRDefault="0082492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85E33" w14:textId="77777777" w:rsidR="0055305B" w:rsidRDefault="0055305B">
      <w:pPr>
        <w:spacing w:after="0" w:line="240" w:lineRule="auto"/>
      </w:pPr>
      <w:r>
        <w:separator/>
      </w:r>
    </w:p>
  </w:footnote>
  <w:footnote w:type="continuationSeparator" w:id="0">
    <w:p w14:paraId="720C0394" w14:textId="77777777" w:rsidR="0055305B" w:rsidRDefault="00553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3A6D" w14:textId="77777777" w:rsidR="00824921"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39A9E8C6" wp14:editId="4653CA52">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921"/>
    <w:rsid w:val="0014393E"/>
    <w:rsid w:val="0055305B"/>
    <w:rsid w:val="00824921"/>
    <w:rsid w:val="00BF1CE2"/>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2DCB5"/>
  <w15:docId w15:val="{B5F0D270-E84E-49E8-9E4C-0458A784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419" w:eastAsia="es-UY"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4995/redu.2024.2206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e9/lLagVLXfwNvuK3FEkwoDm8g==">CgMxLjA4AHIhMXlEU3NFdTBsakR3T3AyTVZOSWlVTEItRzBwRkxtT0FV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7458</Words>
  <Characters>41025</Characters>
  <Application>Microsoft Office Word</Application>
  <DocSecurity>0</DocSecurity>
  <Lines>341</Lines>
  <Paragraphs>96</Paragraphs>
  <ScaleCrop>false</ScaleCrop>
  <Company/>
  <LinksUpToDate>false</LinksUpToDate>
  <CharactersWithSpaces>48387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2</cp:revision>
  <dcterms:created xsi:type="dcterms:W3CDTF">2026-06-26T12:24:00Z</dcterms:created>
  <dcterms:modified xsi:type="dcterms:W3CDTF">2026-06-26T12:27:00Z</dcterms:modified>
</cp:coreProperties>
</file>