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B6802" w14:textId="77777777" w:rsidR="00642E31" w:rsidRDefault="00000000">
      <w:pPr>
        <w:jc w:val="center"/>
        <w:rPr>
          <w:rFonts w:ascii="Times New Roman" w:eastAsia="Times New Roman" w:hAnsi="Times New Roman" w:cs="Times New Roman"/>
        </w:rPr>
      </w:pPr>
      <w:r>
        <w:rPr>
          <w:rFonts w:ascii="Times New Roman" w:eastAsia="Times New Roman" w:hAnsi="Times New Roman" w:cs="Times New Roman"/>
          <w:b/>
          <w:bCs/>
        </w:rPr>
        <w:t>Cambios en los regímenes de carrera docente/académica de las universidades nacionales argentinas</w:t>
      </w:r>
    </w:p>
    <w:p w14:paraId="6AF1F96E" w14:textId="77777777" w:rsidR="00642E3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Rodera, Julieta</w:t>
      </w:r>
    </w:p>
    <w:p w14:paraId="5FFACF98" w14:textId="77777777" w:rsidR="00642E3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CONICET, Universidad Nacional del Sur</w:t>
      </w:r>
    </w:p>
    <w:p w14:paraId="33FAE3F2" w14:textId="77777777" w:rsidR="00642E3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juli.rodera@gmail.com</w:t>
      </w:r>
    </w:p>
    <w:p w14:paraId="3B0779B4" w14:textId="77777777" w:rsidR="00642E31" w:rsidRDefault="00642E31">
      <w:pPr>
        <w:rPr>
          <w:rFonts w:ascii="Times New Roman" w:eastAsia="Times New Roman" w:hAnsi="Times New Roman" w:cs="Times New Roman"/>
        </w:rPr>
      </w:pPr>
    </w:p>
    <w:p w14:paraId="28D4D079" w14:textId="77777777" w:rsidR="00642E3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Walker, Verónica</w:t>
      </w:r>
    </w:p>
    <w:p w14:paraId="074E82E2" w14:textId="77777777" w:rsidR="00642E3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CONICET, Universidad Nacional del Sur</w:t>
      </w:r>
    </w:p>
    <w:p w14:paraId="69FFD22B" w14:textId="77777777" w:rsidR="00642E31" w:rsidRDefault="00000000">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veroswalker@gmail.com</w:t>
      </w:r>
    </w:p>
    <w:p w14:paraId="162EB30F" w14:textId="77777777" w:rsidR="00642E31" w:rsidRDefault="00642E31">
      <w:pPr>
        <w:rPr>
          <w:rFonts w:ascii="Times New Roman" w:eastAsia="Times New Roman" w:hAnsi="Times New Roman" w:cs="Times New Roman"/>
          <w:b/>
          <w:bCs/>
        </w:rPr>
      </w:pPr>
    </w:p>
    <w:p w14:paraId="18980E75" w14:textId="77777777" w:rsidR="00642E31"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Resumen: </w:t>
      </w:r>
      <w:r>
        <w:rPr>
          <w:rFonts w:ascii="Times New Roman" w:eastAsia="Times New Roman" w:hAnsi="Times New Roman" w:cs="Times New Roman"/>
        </w:rPr>
        <w:t xml:space="preserve">En Argentina, las políticas de evaluación a nivel de las universidades han experimentado cambios a lo largo de los años y los regímenes de carrera docente/académica (CD/CA) no permanecieron al margen. Tanto en instituciones pioneras que reglamentaron la CD/CA durante la década de los noventa como en aquellas que lo diseñaron recientemente, los reglamentos han sufrido modificaciones de diversa índole. Del total de las universidades nacionales argentinas, 42 cuentan con reglamentos de CD/CA (utilizando distintas denominaciones). A partir del relevamiento y análisis de estos, se identificó que 29 han sido actualizados desde su creación y 11 de ellos lo han hecho en más de tres oportunidades. Esto indica que las políticas no se construyen de una vez y para siempre, sino que se hacen y se rehacen permanentemente, generando un ciclo continuo entre su formulación, puesta en acto y evaluación. Las principales razones de estas modificaciones refieren, por un lado, a acontecimientos o hitos que atravesaron a las distintas universidades como lo son el Convenio Colectivo de Trabajo (2015), que regula entre otras cuestiones la carrera docente, es decir, el ingreso, permanencia y promoción en los cargos docentes; la pandemia de COVID-19 (2020-2021), como crisis sanitaria mundial que repercutió en la vida de las instituciones e implicó transformaciones de distinto tipo, principalmente la migración forzada de las actividades hacia la modalidad virtual; y, </w:t>
      </w:r>
      <w:r>
        <w:rPr>
          <w:rFonts w:ascii="Times New Roman" w:eastAsia="Times New Roman" w:hAnsi="Times New Roman" w:cs="Times New Roman"/>
          <w:color w:val="212121"/>
        </w:rPr>
        <w:t>las iniciativas internacionales que promueven aspectos de la evaluación responsable.</w:t>
      </w:r>
      <w:r>
        <w:rPr>
          <w:rFonts w:ascii="Times New Roman" w:eastAsia="Times New Roman" w:hAnsi="Times New Roman" w:cs="Times New Roman"/>
        </w:rPr>
        <w:t xml:space="preserve"> Por otro lado, y en mayor medida, las modificaciones de los reglamentos devienen de la puesta en acto. La mayoría se fundamentan en adecuaciones procedimentales, además de aspectos instrumentales, revisión de criterios de distintas actividades y funciones docentes universitarias. También se encuentran modificaciones relativas al “para qué” de la evaluación. Hay universidades que readecuaron los reglamentos de CD/CA en función de los cambios de otras reglamentaciones institucionales, e incluso algunas decidieron unificar estos documentos entendiendo que forman parte de una misma regulación. En último lugar, una de las instituciones expone entre sus fundamentos las condiciones materiales existentes para implementar el régimen de carrera docente en cuestión. Asimismo, se ha observado entre los “considerandos” y “vistos” de las resoluciones que en los acuerdos de estas participaron distintos sectores de la comunidad universitaria: docentes y autoridades de las unidades académicas, estudiantes, graduados y actores gremiales. Conocer las razones de los cambios y las adecuaciones en las reglamentaciones permite comprender las distintas etapas del diseño de las políticas, que no solo incluye el momento de formulación, sino también otros, como </w:t>
      </w:r>
      <w:r>
        <w:rPr>
          <w:rFonts w:ascii="Times New Roman" w:eastAsia="Times New Roman" w:hAnsi="Times New Roman" w:cs="Times New Roman"/>
        </w:rPr>
        <w:lastRenderedPageBreak/>
        <w:t>el de implementación. Específicamente, el análisis de los regímenes de CD/CA a nivel micro posibilita interpretar</w:t>
      </w:r>
      <w:r>
        <w:rPr>
          <w:rFonts w:ascii="Times New Roman" w:eastAsia="Times New Roman" w:hAnsi="Times New Roman" w:cs="Times New Roman"/>
          <w:highlight w:val="white"/>
        </w:rPr>
        <w:t xml:space="preserve"> la calibración</w:t>
      </w:r>
      <w:r>
        <w:rPr>
          <w:rFonts w:ascii="Times New Roman" w:eastAsia="Times New Roman" w:hAnsi="Times New Roman" w:cs="Times New Roman"/>
        </w:rPr>
        <w:t xml:space="preserve"> de la política, es decir, al ajuste o revisión de lo reglamentado en función del terreno y la puesta en acto.</w:t>
      </w:r>
    </w:p>
    <w:p w14:paraId="1C6F6756" w14:textId="77777777" w:rsidR="00642E31" w:rsidRDefault="00000000">
      <w:pPr>
        <w:spacing w:line="240" w:lineRule="auto"/>
        <w:jc w:val="both"/>
      </w:pPr>
      <w:r>
        <w:rPr>
          <w:rFonts w:ascii="Times New Roman" w:eastAsia="Times New Roman" w:hAnsi="Times New Roman" w:cs="Times New Roman"/>
          <w:b/>
          <w:bCs/>
        </w:rPr>
        <w:t xml:space="preserve">Palabras clave: </w:t>
      </w:r>
      <w:r>
        <w:rPr>
          <w:rFonts w:ascii="Times New Roman" w:eastAsia="Times New Roman" w:hAnsi="Times New Roman" w:cs="Times New Roman"/>
        </w:rPr>
        <w:t xml:space="preserve">Carrera Docente/Académica, Políticas Educativas, Evaluación, Cambios. </w:t>
      </w:r>
    </w:p>
    <w:p w14:paraId="78DC16FF" w14:textId="77777777" w:rsidR="00642E3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2E6B1CCA"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Argentina, las políticas de evaluación a nivel de las universidades han experimentado cambios y readecuaciones a lo largo de los años, y los regímenes de carrera docente/académica (CD/CA) no fueron la excepción. Tanto en instituciones pioneras que lo reglamentaron durante la década de los 90, como en aquellas que lo diseñaron recientemente, los regímenes se han modificado y actualizado por diversas razones.</w:t>
      </w:r>
    </w:p>
    <w:p w14:paraId="5E3C3770"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 los 42 regímenes de carrera docente/académica</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29 han sido actualizados y 11 de ellos lo han hecho en más de tres oportunidades</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w:t>
      </w:r>
      <w:r>
        <w:rPr>
          <w:rFonts w:ascii="Times New Roman" w:eastAsia="Times New Roman" w:hAnsi="Times New Roman" w:cs="Times New Roman"/>
          <w:color w:val="C0504D"/>
        </w:rPr>
        <w:t xml:space="preserve"> </w:t>
      </w:r>
      <w:r>
        <w:rPr>
          <w:rFonts w:ascii="Times New Roman" w:eastAsia="Times New Roman" w:hAnsi="Times New Roman" w:cs="Times New Roman"/>
        </w:rPr>
        <w:t>Esto indica que “una política no se formula de una vez para siempre; se formula y se reformula constantemente” (Lindblom, 1959, p. 86), generando un ciclo continuo entre su formulación, puesta en acto y evaluación.</w:t>
      </w:r>
    </w:p>
    <w:p w14:paraId="4727BD85"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Para elaborar el escrito que se presenta a continuación, se analizaron los reglamentos de CD/CA de cada universidad con parte de sus modificatorias. Es decir, a fin de identificar los cambios acontecidos en estas reglamentaciones, se estudiaron los “vistos” y “considerandos” de las resoluciones vigentes y se revisaron los reglamentos previos </w:t>
      </w:r>
      <w:r>
        <w:rPr>
          <w:rFonts w:ascii="Times New Roman" w:eastAsia="Times New Roman" w:hAnsi="Times New Roman" w:cs="Times New Roman"/>
        </w:rPr>
        <w:lastRenderedPageBreak/>
        <w:t xml:space="preserve">disponibles en las páginas web institucionales o facilitados por las autoridades de las universidades. </w:t>
      </w:r>
    </w:p>
    <w:p w14:paraId="5A9E7E7E"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Se trabajó con un total de 66 documentos sistematizados a través del software </w:t>
      </w:r>
      <w:proofErr w:type="spellStart"/>
      <w:r>
        <w:rPr>
          <w:rFonts w:ascii="Times New Roman" w:eastAsia="Times New Roman" w:hAnsi="Times New Roman" w:cs="Times New Roman"/>
        </w:rPr>
        <w:t>Atlas.Ti</w:t>
      </w:r>
      <w:proofErr w:type="spellEnd"/>
      <w:r>
        <w:rPr>
          <w:rFonts w:ascii="Times New Roman" w:eastAsia="Times New Roman" w:hAnsi="Times New Roman" w:cs="Times New Roman"/>
        </w:rPr>
        <w:t>.</w:t>
      </w:r>
    </w:p>
    <w:p w14:paraId="0D678630"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Cuadro Nº1 se presenta una sistematización de las universidades nacionales (UUNN) argentinas que realizaron modificaciones en sus regímenes de CD/CA y el detalle de los textos analizados. </w:t>
      </w:r>
    </w:p>
    <w:p w14:paraId="57938DD1" w14:textId="77777777" w:rsidR="00642E31" w:rsidRDefault="00642E31">
      <w:pPr>
        <w:spacing w:after="0" w:line="240" w:lineRule="auto"/>
        <w:jc w:val="both"/>
        <w:rPr>
          <w:rFonts w:ascii="Times New Roman" w:eastAsia="Times New Roman" w:hAnsi="Times New Roman" w:cs="Times New Roman"/>
        </w:rPr>
      </w:pPr>
    </w:p>
    <w:p w14:paraId="52B47579" w14:textId="77777777" w:rsidR="00642E31" w:rsidRDefault="00000000">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Cuadro N º 1: Modificaciones en los regímenes de CD/CA de las UUNN argentinas</w:t>
      </w:r>
    </w:p>
    <w:p w14:paraId="700B880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tbl>
      <w:tblPr>
        <w:tblStyle w:val="a"/>
        <w:tblW w:w="8494" w:type="dxa"/>
        <w:tblInd w:w="0" w:type="dxa"/>
        <w:tblLayout w:type="fixed"/>
        <w:tblLook w:val="0400" w:firstRow="0" w:lastRow="0" w:firstColumn="0" w:lastColumn="0" w:noHBand="0" w:noVBand="1"/>
      </w:tblPr>
      <w:tblGrid>
        <w:gridCol w:w="2830"/>
        <w:gridCol w:w="1770"/>
        <w:gridCol w:w="1777"/>
        <w:gridCol w:w="2117"/>
      </w:tblGrid>
      <w:tr w:rsidR="00642E31" w14:paraId="123D4193" w14:textId="77777777">
        <w:trPr>
          <w:trHeight w:val="454"/>
        </w:trPr>
        <w:tc>
          <w:tcPr>
            <w:tcW w:w="2830" w:type="dxa"/>
            <w:tcBorders>
              <w:top w:val="single" w:sz="4" w:space="0" w:color="000000"/>
              <w:left w:val="single" w:sz="4" w:space="0" w:color="000000"/>
              <w:bottom w:val="single" w:sz="4" w:space="0" w:color="000000"/>
              <w:right w:val="single" w:sz="4" w:space="0" w:color="000000"/>
            </w:tcBorders>
            <w:shd w:val="clear" w:color="auto" w:fill="F3F3F3"/>
            <w:tcMar>
              <w:top w:w="40" w:type="dxa"/>
              <w:left w:w="40" w:type="dxa"/>
              <w:bottom w:w="40" w:type="dxa"/>
              <w:right w:w="40" w:type="dxa"/>
            </w:tcMar>
            <w:vAlign w:val="center"/>
          </w:tcPr>
          <w:p w14:paraId="056E9C63" w14:textId="77777777" w:rsidR="00642E31" w:rsidRDefault="00000000">
            <w:pPr>
              <w:spacing w:after="0" w:line="259" w:lineRule="auto"/>
              <w:jc w:val="center"/>
              <w:rPr>
                <w:rFonts w:ascii="Times New Roman" w:eastAsia="Times New Roman" w:hAnsi="Times New Roman" w:cs="Times New Roman"/>
                <w:b/>
                <w:bCs/>
              </w:rPr>
            </w:pPr>
            <w:r>
              <w:rPr>
                <w:rFonts w:ascii="Times New Roman" w:eastAsia="Times New Roman" w:hAnsi="Times New Roman" w:cs="Times New Roman"/>
                <w:b/>
                <w:bCs/>
              </w:rPr>
              <w:t>UUNN que modificaron sus regímenes de CD/CA</w:t>
            </w:r>
          </w:p>
        </w:tc>
        <w:tc>
          <w:tcPr>
            <w:tcW w:w="1770" w:type="dxa"/>
            <w:tcBorders>
              <w:top w:val="single" w:sz="4" w:space="0" w:color="000000"/>
              <w:left w:val="single" w:sz="4" w:space="0" w:color="000000"/>
              <w:bottom w:val="single" w:sz="4" w:space="0" w:color="000000"/>
              <w:right w:val="single" w:sz="4" w:space="0" w:color="000000"/>
            </w:tcBorders>
            <w:shd w:val="clear" w:color="auto" w:fill="F3F3F3"/>
            <w:tcMar>
              <w:top w:w="40" w:type="dxa"/>
              <w:left w:w="40" w:type="dxa"/>
              <w:bottom w:w="40" w:type="dxa"/>
              <w:right w:w="40" w:type="dxa"/>
            </w:tcMar>
            <w:vAlign w:val="center"/>
          </w:tcPr>
          <w:p w14:paraId="7F7230A4" w14:textId="77777777" w:rsidR="00642E31" w:rsidRDefault="00000000">
            <w:pPr>
              <w:spacing w:after="0" w:line="259" w:lineRule="auto"/>
              <w:jc w:val="center"/>
              <w:rPr>
                <w:rFonts w:ascii="Times New Roman" w:eastAsia="Times New Roman" w:hAnsi="Times New Roman" w:cs="Times New Roman"/>
                <w:b/>
                <w:bCs/>
              </w:rPr>
            </w:pPr>
            <w:r>
              <w:rPr>
                <w:rFonts w:ascii="Times New Roman" w:eastAsia="Times New Roman" w:hAnsi="Times New Roman" w:cs="Times New Roman"/>
                <w:b/>
                <w:bCs/>
              </w:rPr>
              <w:t>Año de reglamentación</w:t>
            </w:r>
          </w:p>
        </w:tc>
        <w:tc>
          <w:tcPr>
            <w:tcW w:w="1777" w:type="dxa"/>
            <w:tcBorders>
              <w:top w:val="single" w:sz="4" w:space="0" w:color="000000"/>
              <w:left w:val="single" w:sz="4" w:space="0" w:color="000000"/>
              <w:bottom w:val="single" w:sz="4" w:space="0" w:color="000000"/>
              <w:right w:val="single" w:sz="4" w:space="0" w:color="000000"/>
            </w:tcBorders>
            <w:shd w:val="clear" w:color="auto" w:fill="F3F3F3"/>
            <w:tcMar>
              <w:top w:w="40" w:type="dxa"/>
              <w:left w:w="40" w:type="dxa"/>
              <w:bottom w:w="40" w:type="dxa"/>
              <w:right w:w="40" w:type="dxa"/>
            </w:tcMar>
            <w:vAlign w:val="center"/>
          </w:tcPr>
          <w:p w14:paraId="5AC10A00" w14:textId="77777777" w:rsidR="00642E31" w:rsidRDefault="00000000">
            <w:pPr>
              <w:spacing w:after="0" w:line="259" w:lineRule="auto"/>
              <w:jc w:val="center"/>
              <w:rPr>
                <w:rFonts w:ascii="Times New Roman" w:eastAsia="Times New Roman" w:hAnsi="Times New Roman" w:cs="Times New Roman"/>
                <w:b/>
                <w:bCs/>
              </w:rPr>
            </w:pPr>
            <w:r>
              <w:rPr>
                <w:rFonts w:ascii="Times New Roman" w:eastAsia="Times New Roman" w:hAnsi="Times New Roman" w:cs="Times New Roman"/>
                <w:b/>
                <w:bCs/>
              </w:rPr>
              <w:t>Cantidad de modificaciones</w:t>
            </w:r>
          </w:p>
        </w:tc>
        <w:tc>
          <w:tcPr>
            <w:tcW w:w="2117" w:type="dxa"/>
            <w:tcBorders>
              <w:top w:val="single" w:sz="4" w:space="0" w:color="000000"/>
              <w:left w:val="single" w:sz="4" w:space="0" w:color="000000"/>
              <w:bottom w:val="single" w:sz="4" w:space="0" w:color="000000"/>
              <w:right w:val="single" w:sz="4" w:space="0" w:color="000000"/>
            </w:tcBorders>
            <w:shd w:val="clear" w:color="auto" w:fill="F3F3F3"/>
            <w:tcMar>
              <w:top w:w="40" w:type="dxa"/>
              <w:left w:w="40" w:type="dxa"/>
              <w:bottom w:w="40" w:type="dxa"/>
              <w:right w:w="40" w:type="dxa"/>
            </w:tcMar>
            <w:vAlign w:val="center"/>
          </w:tcPr>
          <w:p w14:paraId="3AA976BF" w14:textId="77777777" w:rsidR="00642E31" w:rsidRDefault="00000000">
            <w:pPr>
              <w:spacing w:after="0" w:line="259" w:lineRule="auto"/>
              <w:jc w:val="center"/>
              <w:rPr>
                <w:rFonts w:ascii="Times New Roman" w:eastAsia="Times New Roman" w:hAnsi="Times New Roman" w:cs="Times New Roman"/>
                <w:b/>
                <w:bCs/>
              </w:rPr>
            </w:pPr>
            <w:r>
              <w:rPr>
                <w:rFonts w:ascii="Times New Roman" w:eastAsia="Times New Roman" w:hAnsi="Times New Roman" w:cs="Times New Roman"/>
                <w:b/>
                <w:bCs/>
              </w:rPr>
              <w:t>Cantidad y año de los documentos analizados</w:t>
            </w:r>
          </w:p>
        </w:tc>
      </w:tr>
      <w:tr w:rsidR="00642E31" w14:paraId="142EC5BE"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309631E"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UNQ</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2C510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2005</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12CB52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B2DB96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(2015 y 2023)</w:t>
            </w:r>
          </w:p>
        </w:tc>
      </w:tr>
      <w:tr w:rsidR="00642E31" w14:paraId="41A4FCF0"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164CBC5" w14:textId="77777777" w:rsidR="00642E31" w:rsidRDefault="00000000">
            <w:pPr>
              <w:spacing w:after="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UNLPam</w:t>
            </w:r>
            <w:proofErr w:type="spellEnd"/>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EA4088"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2004</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BAA296"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5FC0DA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(2014 y 2023)</w:t>
            </w:r>
          </w:p>
        </w:tc>
      </w:tr>
      <w:tr w:rsidR="00642E31" w14:paraId="25EA5B5B"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1885648" w14:textId="77777777" w:rsidR="00642E31" w:rsidRDefault="00000000">
            <w:pPr>
              <w:spacing w:after="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UNaM</w:t>
            </w:r>
            <w:proofErr w:type="spellEnd"/>
          </w:p>
        </w:tc>
        <w:tc>
          <w:tcPr>
            <w:tcW w:w="177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662F2DB"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1997</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0B883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E75527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(2004 y 2017)</w:t>
            </w:r>
          </w:p>
        </w:tc>
      </w:tr>
      <w:tr w:rsidR="00642E31" w14:paraId="64A4637D"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BF72B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UNICEN</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DA0F3A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2011/2012</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B1373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9F62F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(2012 y 2023)</w:t>
            </w:r>
          </w:p>
        </w:tc>
      </w:tr>
      <w:tr w:rsidR="00642E31" w14:paraId="5D9BD43E"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189906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UNMDP</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5745DC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1993</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C3FAB1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194340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3 (2005, 2019 y 2020)</w:t>
            </w:r>
          </w:p>
        </w:tc>
      </w:tr>
      <w:tr w:rsidR="00642E31" w14:paraId="21CB4CAF"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E2A2C4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UNJU</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F0C2BB"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2012</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6B6936"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8AFF80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3 (2012, 2014 y 2016)</w:t>
            </w:r>
          </w:p>
        </w:tc>
      </w:tr>
      <w:tr w:rsidR="00642E31" w14:paraId="0B248AF7"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F49A02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UNR</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690E191"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1992</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F2A2768"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368F4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(2008 y 2019)</w:t>
            </w:r>
          </w:p>
        </w:tc>
      </w:tr>
      <w:tr w:rsidR="00642E31" w14:paraId="0526FA74"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F3E13A"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UNC</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E142A1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2008</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9F7ACA"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36675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3 (2008, 2017 y 2018)</w:t>
            </w:r>
          </w:p>
        </w:tc>
      </w:tr>
      <w:tr w:rsidR="00642E31" w14:paraId="3C0C526D"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362EE0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UNRC</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5539EF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1993</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405A08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EC231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 (2009)</w:t>
            </w:r>
          </w:p>
        </w:tc>
      </w:tr>
      <w:tr w:rsidR="00642E31" w14:paraId="330FEDB6"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C2E43B"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UNSM</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2BA93F6"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2002</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ACB06C1"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CEF168"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 (2006)</w:t>
            </w:r>
          </w:p>
        </w:tc>
      </w:tr>
      <w:tr w:rsidR="00642E31" w14:paraId="2C4195D3"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51F2B2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UNRN</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7C7F87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2014</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940A5A"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5E1B1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5 (2016, 2017, 2018, 2019 y 2021)</w:t>
            </w:r>
          </w:p>
        </w:tc>
      </w:tr>
      <w:tr w:rsidR="00642E31" w14:paraId="17C10EB9"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B1D8509" w14:textId="77777777" w:rsidR="00642E31" w:rsidRDefault="00000000">
            <w:pPr>
              <w:spacing w:after="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UNCuyo</w:t>
            </w:r>
            <w:proofErr w:type="spellEnd"/>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6858BC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1993</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4F2ABB"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427039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 (2014)</w:t>
            </w:r>
          </w:p>
        </w:tc>
      </w:tr>
      <w:tr w:rsidR="00642E31" w14:paraId="67EA8DB4"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45E8D78" w14:textId="77777777" w:rsidR="00642E31" w:rsidRDefault="00000000">
            <w:pPr>
              <w:spacing w:after="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UNMo</w:t>
            </w:r>
            <w:proofErr w:type="spellEnd"/>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A6632A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2010</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B0EB88"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7489E3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(2017 y 2023)</w:t>
            </w:r>
          </w:p>
        </w:tc>
      </w:tr>
      <w:tr w:rsidR="00642E31" w14:paraId="11441096"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4B178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UNLu</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7D3119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2009</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7562BB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D6DF5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5 (2009, 2014, 2016, 2017 y 2021)</w:t>
            </w:r>
          </w:p>
        </w:tc>
      </w:tr>
      <w:tr w:rsidR="00642E31" w14:paraId="5A77D137"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B3D127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UNSJ</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0FB8154"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2018</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B9D62A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FDDC91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(2018 y 2019)</w:t>
            </w:r>
          </w:p>
        </w:tc>
      </w:tr>
      <w:tr w:rsidR="00642E31" w14:paraId="52158B18"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A219BA"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lastRenderedPageBreak/>
              <w:t>UNTDF</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2C1B9E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2019</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04C74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B5CCC4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(2019 y 2023)</w:t>
            </w:r>
          </w:p>
        </w:tc>
      </w:tr>
      <w:tr w:rsidR="00642E31" w14:paraId="68D133DF"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86069D"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UNVM</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B8884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2019</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951046E"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423B486"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(2019 y 2024)</w:t>
            </w:r>
          </w:p>
        </w:tc>
      </w:tr>
      <w:tr w:rsidR="00642E31" w14:paraId="4FC42166"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CBFDEE2" w14:textId="77777777" w:rsidR="00642E31" w:rsidRDefault="00000000">
            <w:pPr>
              <w:spacing w:after="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UNLaR</w:t>
            </w:r>
            <w:proofErr w:type="spellEnd"/>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D65B0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2014</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56E9D44"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F941A5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(2014 y 2019)</w:t>
            </w:r>
          </w:p>
        </w:tc>
      </w:tr>
      <w:tr w:rsidR="00642E31" w14:paraId="7CC12EDF"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242281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UNAJ</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F07B7C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2011</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21BEC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79FE92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(2015 y 2025)</w:t>
            </w:r>
          </w:p>
        </w:tc>
      </w:tr>
      <w:tr w:rsidR="00642E31" w14:paraId="0AD13F98"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A3024D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UNPA</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01068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1998</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63F6AD"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FB4D4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3 (1998, 2019 y 2025)</w:t>
            </w:r>
          </w:p>
        </w:tc>
      </w:tr>
      <w:tr w:rsidR="00642E31" w14:paraId="418E8B6D"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8815BC0" w14:textId="77777777" w:rsidR="00642E31" w:rsidRDefault="00000000">
            <w:pPr>
              <w:spacing w:after="0" w:line="259" w:lineRule="auto"/>
              <w:jc w:val="center"/>
              <w:rPr>
                <w:rFonts w:ascii="Times New Roman" w:eastAsia="Times New Roman" w:hAnsi="Times New Roman" w:cs="Times New Roman"/>
              </w:rPr>
            </w:pPr>
            <w:proofErr w:type="spellStart"/>
            <w:r>
              <w:rPr>
                <w:rFonts w:ascii="Times New Roman" w:eastAsia="Times New Roman" w:hAnsi="Times New Roman" w:cs="Times New Roman"/>
                <w:b/>
                <w:bCs/>
              </w:rPr>
              <w:t>UNCAus</w:t>
            </w:r>
            <w:proofErr w:type="spellEnd"/>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5A98AB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2010</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3AC67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DDCFAC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 (2017)</w:t>
            </w:r>
          </w:p>
        </w:tc>
      </w:tr>
      <w:tr w:rsidR="00642E31" w14:paraId="3EBE003B"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4879F3B"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UNSE</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1F44A9D"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2012</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3DF3B0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E78AA1"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4 (2012, 2015, 2021 y 2022)</w:t>
            </w:r>
          </w:p>
        </w:tc>
      </w:tr>
      <w:tr w:rsidR="00642E31" w14:paraId="1775DCDC"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A1BA4B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UNNE</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189B1D4"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2005</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A77ED3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Más de 3</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5D3BFE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3 (2009, 2024 y 2025)</w:t>
            </w:r>
          </w:p>
        </w:tc>
      </w:tr>
      <w:tr w:rsidR="00642E31" w14:paraId="7F2943FC"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A69288"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UNO</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501E2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2011</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0A0D71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567836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 (2013)</w:t>
            </w:r>
          </w:p>
        </w:tc>
      </w:tr>
      <w:tr w:rsidR="00642E31" w14:paraId="2700A0AD"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22098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UTN</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DD3E73E"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2004</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55B0AB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0B6FC7A"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(2004 y 2008)</w:t>
            </w:r>
          </w:p>
        </w:tc>
      </w:tr>
      <w:tr w:rsidR="00642E31" w14:paraId="59DA41CD"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20C3D8"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UNT</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061BB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1999</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6345E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67D8EC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(1999 y 2023)</w:t>
            </w:r>
          </w:p>
        </w:tc>
      </w:tr>
      <w:tr w:rsidR="00642E31" w14:paraId="28790F8D"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1B3E7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UNGS</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37879D"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2010</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A5A5099"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D2F120"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(2014 y 2015)</w:t>
            </w:r>
          </w:p>
        </w:tc>
      </w:tr>
      <w:tr w:rsidR="00642E31" w14:paraId="105B46D9"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564D2B"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UNAHUR</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DB4642"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2017</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B23316F"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02C58E7"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(2017 y 2023)</w:t>
            </w:r>
          </w:p>
        </w:tc>
      </w:tr>
      <w:tr w:rsidR="00642E31" w14:paraId="75D630B0" w14:textId="77777777">
        <w:trPr>
          <w:trHeight w:val="454"/>
        </w:trPr>
        <w:tc>
          <w:tcPr>
            <w:tcW w:w="28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8B9BDC3"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b/>
                <w:bCs/>
              </w:rPr>
              <w:t>UNPSJB</w:t>
            </w:r>
          </w:p>
        </w:tc>
        <w:tc>
          <w:tcPr>
            <w:tcW w:w="177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8B1ADE5"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2012</w:t>
            </w:r>
          </w:p>
        </w:tc>
        <w:tc>
          <w:tcPr>
            <w:tcW w:w="17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368EBAE"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Entre 1 y 2</w:t>
            </w:r>
          </w:p>
        </w:tc>
        <w:tc>
          <w:tcPr>
            <w:tcW w:w="211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B26429C" w14:textId="77777777" w:rsidR="00642E31" w:rsidRDefault="00000000">
            <w:pPr>
              <w:spacing w:after="0" w:line="259" w:lineRule="auto"/>
              <w:jc w:val="center"/>
              <w:rPr>
                <w:rFonts w:ascii="Times New Roman" w:eastAsia="Times New Roman" w:hAnsi="Times New Roman" w:cs="Times New Roman"/>
              </w:rPr>
            </w:pPr>
            <w:r>
              <w:rPr>
                <w:rFonts w:ascii="Times New Roman" w:eastAsia="Times New Roman" w:hAnsi="Times New Roman" w:cs="Times New Roman"/>
              </w:rPr>
              <w:t>2 (2012 y 2016)</w:t>
            </w:r>
          </w:p>
        </w:tc>
      </w:tr>
    </w:tbl>
    <w:p w14:paraId="3516BDDC" w14:textId="77777777" w:rsidR="00642E31" w:rsidRDefault="00000000">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*Elaboración propia a partir de lo indagado en las páginas web institucionales y del contacto con autoridades.</w:t>
      </w:r>
    </w:p>
    <w:p w14:paraId="447E6661"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estos se buscó identificar cuáles fueron los principales cambios en los regímenes, a qué tipo u orden correspondían, cuándo sucedieron y qué razones los impulsaron. A partir del análisis se construyeron las siguientes categorías: cambios introducidos por el CCT, incorporación de la virtualidad producto de la pandemia, necesidad de unificar/aunar reglamentaciones, participación/representación de distintos sectores, revisión de criterios, incorporación de aspectos de evaluación responsable, revisión de instrumentos, adecuaciones procedimentales, revisión del ‘para qué’ y sobre las condiciones para llevar adelante la evaluación. </w:t>
      </w:r>
    </w:p>
    <w:p w14:paraId="402A7FB0"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los fines de compartir parte de estos resultados que son producto de investigaciones en curso</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en el presente texto se desarrollan los principales cambios y adecuaciones de los regímenes de CD/CA que tienen orígenes y causas diversas.</w:t>
      </w:r>
    </w:p>
    <w:p w14:paraId="397164B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un primer momento, se mencionan un conjunto de cambios que derivan de hitos o acontecimientos que atravesaron a las distintas universidades como lo son: el Convenio Colectivo de Trabajo (2015), que regula entre otras cuestiones la carrera docente, es decir, el ingreso, permanencia y promoción en los cargos docentes; la pandemia de COVID-19 (2020-2021), como suceso global que repercutió en la vida de todas las instituciones e implicó cambios de distintas índoles, principalmente el traslado de todas las actividades académicas a lo remoto; </w:t>
      </w:r>
      <w:r>
        <w:rPr>
          <w:rFonts w:ascii="Times New Roman" w:eastAsia="Times New Roman" w:hAnsi="Times New Roman" w:cs="Times New Roman"/>
          <w:color w:val="212121"/>
        </w:rPr>
        <w:t>y, las iniciativas internacionales que promueven aspectos de la evaluación responsable y que muchos regímenes han incorporado.</w:t>
      </w:r>
    </w:p>
    <w:p w14:paraId="4E31C241"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un segundo momento, se desarrollan los cambios que surgen de la puesta en acto. Gran parte de las modificaciones se fundamentan en adecuaciones procedimentales y en la especificidad de asuntos instrumentales. Asimismo, se retoma lo que algunas universidades señalan en torno a las condiciones materiales existentes para llevar adelante los regímenes de CD/CA.</w:t>
      </w:r>
    </w:p>
    <w:p w14:paraId="65F62887"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último, se presentan las modificaciones que refieren a la revisión de criterios de las distintas actividades y funciones universitarias y del “para qué” de la evaluación. También se incluyen los cambios acontecidos en función de otras reglamentaciones institucionales, que ha llevado en algunas universidades a la unificación de los documentos entendiendo que forman parte de una misma regulación.</w:t>
      </w:r>
    </w:p>
    <w:p w14:paraId="2F7DB8FB"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y de manera transversal al escrito, se hace mención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los distintos actores de la comunidad universitaria que participaron en las negociaciones de estas modificaciones: docentes y autoridades de las unidades académicas, estudiantes y graduados, y actores gremiales.</w:t>
      </w:r>
    </w:p>
    <w:p w14:paraId="052E4B4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Conocer las razones de los cambios y las adecuaciones en las reglamentaciones permite comprender las distintas etapas del diseño de las políticas, que no solo incluye el momento de formulación, sino también otros, como el de implementación. Siguiendo a Capano y Howlett (2024), el análisis de los regímenes de CD/CA a nivel micro posibilita interpretar la calibración de la política, es decir, al ajuste o revisión de lo reglamentado en función del terreno y la puesta en acto. Los autores mencionados retoman siete dimensiones, resultado de diversos estudios anteriores</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para dar cuenta de las características de calibración de las herramientas de política. Entre estas se encuentran el rigor, es decir, el grado de coerción que ejerce el instrumento adoptado para moldear la autonomía conductual del destinatario; la visibilidad pública, si la calibración del instrumento es visible para el público y en qué medida; la automatización, si los instrumentos pueden ser aplicados de forma inmediata por un organismo existente sin necesidad de recurrir a otros medios de ejecución y de qué manera; la intensidad de recursos, es decir, el nivel de recursos organizativos y financieros asociados; los organismos responsables de la implementación, si hay un único organismo público, o si hay más, incluso privados, encargados de la implementación; las disposiciones de seguimiento y auditoría, es decir, </w:t>
      </w:r>
      <w:r>
        <w:rPr>
          <w:rFonts w:ascii="Times New Roman" w:eastAsia="Times New Roman" w:hAnsi="Times New Roman" w:cs="Times New Roman"/>
        </w:rPr>
        <w:lastRenderedPageBreak/>
        <w:t xml:space="preserve">el establecimiento de procedimientos planificados de seguimiento y auditoría; y, las normas de rendición de cuentas, las normas que se espera que activen mecanismos que conduzcan a implementaciones efectivas. Esta caracterización será de utilidad para analizar los cambios acontecidos en los regímenes de CD/CA de las UUNN argentinas. </w:t>
      </w:r>
    </w:p>
    <w:p w14:paraId="5C0AB151" w14:textId="77777777" w:rsidR="00642E31" w:rsidRDefault="00642E31">
      <w:pPr>
        <w:spacing w:after="0" w:line="240" w:lineRule="auto"/>
        <w:jc w:val="both"/>
        <w:rPr>
          <w:rFonts w:ascii="Times New Roman" w:eastAsia="Times New Roman" w:hAnsi="Times New Roman" w:cs="Times New Roman"/>
          <w:b/>
          <w:bCs/>
        </w:rPr>
      </w:pPr>
    </w:p>
    <w:p w14:paraId="2141580E"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Hitos y acontecimientos </w:t>
      </w:r>
      <w:proofErr w:type="spellStart"/>
      <w:r>
        <w:rPr>
          <w:rFonts w:ascii="Times New Roman" w:eastAsia="Times New Roman" w:hAnsi="Times New Roman" w:cs="Times New Roman"/>
          <w:b/>
          <w:bCs/>
        </w:rPr>
        <w:t>suprainstitucionales</w:t>
      </w:r>
      <w:proofErr w:type="spellEnd"/>
      <w:r>
        <w:rPr>
          <w:rFonts w:ascii="Times New Roman" w:eastAsia="Times New Roman" w:hAnsi="Times New Roman" w:cs="Times New Roman"/>
          <w:b/>
          <w:bCs/>
        </w:rPr>
        <w:t xml:space="preserve"> que inciden en los regímenes de CD/CA</w:t>
      </w:r>
    </w:p>
    <w:p w14:paraId="62DBCC94"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primer lugar, cabe mencionar dos hitos de distinta índole que atravesaron a todas las UUNN y conllevaron cambios en sus reglamentaciones. Estos son: el primer Convenio Colectivo de Trabajo (2015), como regulación </w:t>
      </w:r>
      <w:proofErr w:type="spellStart"/>
      <w:r>
        <w:rPr>
          <w:rFonts w:ascii="Times New Roman" w:eastAsia="Times New Roman" w:hAnsi="Times New Roman" w:cs="Times New Roman"/>
        </w:rPr>
        <w:t>suprainstitucional</w:t>
      </w:r>
      <w:proofErr w:type="spellEnd"/>
      <w:r>
        <w:rPr>
          <w:rFonts w:ascii="Times New Roman" w:eastAsia="Times New Roman" w:hAnsi="Times New Roman" w:cs="Times New Roman"/>
        </w:rPr>
        <w:t xml:space="preserve"> que exigió a las instituciones universitarias revisar y/o establecer normas que se adecúen a los acuerdos alcanzados, y la pandemia de COVID-19 (2020-2021), como suceso global que modificó las condiciones, formas de organización, tiempos, procesos y contenido del trabajo docente universitario (Walker, 2023) y con ello las reglamentaciones que lo regulan. En segundo lugar, se presentan las adecuaciones que se fundamentan en un cambio de paradigma producto de iniciativas internacionales que promueven la inclusión de aspectos de la evaluación responsable.</w:t>
      </w:r>
    </w:p>
    <w:p w14:paraId="25442C26"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año 2015, por iniciativa del sector gremial y en conjunto con los rectores, se sanciona el Convenio Colectivo de Trabajo (CCT) para docentes de UUNN argentinas que regula las condiciones de trabajo y reconoce los derechos laborales de la docencia universitaria a través de un instrumento que alcanza en Argentina rango de Ley. En cuanto a la evaluación, incluye una fórmula general de carrera docente. Este colocó nuevamente a la evaluación de la docencia en un lugar destacado en la agenda universitaria argentina, aunque con algunos matices en comparación con los debates de las décadas anteriores. El sector gremial emergió con fuerza como un nuevo actor en la discusión por la definición de las políticas de evaluación; lo que se define como objeto de evaluación excede las actividades de investigación y busca abarcar el conjunto de tareas que desempeña el profesorado universitario, adquiriendo la actividad docente mayor visibilidad; y, la cuestión de la evaluación aparece subsumida a la discusión por la estabilidad laboral de los docentes universitarios en el marco de una concepción de la docencia entendida como trabajo (Walker, 2022). </w:t>
      </w:r>
    </w:p>
    <w:p w14:paraId="435E743D"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Entre las universidades que modificaron sus regímenes de CD/CA con la necesidad de adecuarlos a lo establecido por el CCT se encuentran la </w:t>
      </w:r>
      <w:proofErr w:type="spellStart"/>
      <w:r>
        <w:rPr>
          <w:rFonts w:ascii="Times New Roman" w:eastAsia="Times New Roman" w:hAnsi="Times New Roman" w:cs="Times New Roman"/>
        </w:rPr>
        <w:t>UNLPam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UNaM</w:t>
      </w:r>
      <w:proofErr w:type="spellEnd"/>
      <w:r>
        <w:rPr>
          <w:rFonts w:ascii="Times New Roman" w:eastAsia="Times New Roman" w:hAnsi="Times New Roman" w:cs="Times New Roman"/>
        </w:rPr>
        <w:t>, UNICEN, UNLU, UNPA</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UNNE, UNT, UNGS, UNSJ y UNJU. </w:t>
      </w:r>
    </w:p>
    <w:p w14:paraId="199E181C"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Las principales adecuaciones se vinculan, por un lado, con la periodicidad de las evaluaciones de desempeño para la permanencia (y en algunos casos, promoción). En este sentido, cabe mencionar que, si bien muchas universidades modificaron este requisito a partir de la sanción del CCT, hay otras (10 en total) que aún cuentan con evaluaciones anuales, </w:t>
      </w:r>
      <w:proofErr w:type="spellStart"/>
      <w:r>
        <w:rPr>
          <w:rFonts w:ascii="Times New Roman" w:eastAsia="Times New Roman" w:hAnsi="Times New Roman" w:cs="Times New Roman"/>
        </w:rPr>
        <w:t>bi</w:t>
      </w:r>
      <w:proofErr w:type="spellEnd"/>
      <w:r>
        <w:rPr>
          <w:rFonts w:ascii="Times New Roman" w:eastAsia="Times New Roman" w:hAnsi="Times New Roman" w:cs="Times New Roman"/>
        </w:rPr>
        <w:t xml:space="preserve"> o trianuales. </w:t>
      </w:r>
    </w:p>
    <w:p w14:paraId="610FBCBE"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otro lado, a partir del convenio muchas universidades incorporan en la carrera a aquellas/os docentes con cargos interinos que a la fecha de sanción del CCT contaban con </w:t>
      </w:r>
      <w:r>
        <w:rPr>
          <w:rFonts w:ascii="Times New Roman" w:eastAsia="Times New Roman" w:hAnsi="Times New Roman" w:cs="Times New Roman"/>
        </w:rPr>
        <w:lastRenderedPageBreak/>
        <w:t>5 o más años de antigüedad. A pesar de esta iniciativa, solo el 30% de las universidades que cuentan con la reglamentación incluyen a docentes con cargos interinos. </w:t>
      </w:r>
    </w:p>
    <w:p w14:paraId="33C8A54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último, otro de los cambios que se señala en relación con esta regulación refiere a la incorporación de un veedor gremial en las distintas instancias de evaluación. Cada una de las asociaciones sindicales docentes con ámbito de actuación en las UUNN en la que se lleve adelante la evaluación periódica podrá designar un veedor gremial, y esto fue incorporado en gran parte de los regímenes de CD/CA. </w:t>
      </w:r>
    </w:p>
    <w:p w14:paraId="337A8AD6"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Otro acontecimiento de carácter global que generó profundas transformaciones en las distintas esferas de la vida social es la propagación mundial del Coronavirus SARS-CoV-2. En el ámbito de la educación superior -como en los demás niveles educativos- se asistió a una migración forzada de todas las actividades hacia la modalidad virtual. El trabajo docente universitario asumió la forma de “teletrabajo”, las/os docentes desarrollaron sus tareas desde sus hogares con la mediación de las tecnologías de la información y la comunicación (</w:t>
      </w:r>
      <w:proofErr w:type="spellStart"/>
      <w:r>
        <w:rPr>
          <w:rFonts w:ascii="Times New Roman" w:eastAsia="Times New Roman" w:hAnsi="Times New Roman" w:cs="Times New Roman"/>
        </w:rPr>
        <w:t>TICs</w:t>
      </w:r>
      <w:proofErr w:type="spellEnd"/>
      <w:r>
        <w:rPr>
          <w:rFonts w:ascii="Times New Roman" w:eastAsia="Times New Roman" w:hAnsi="Times New Roman" w:cs="Times New Roman"/>
        </w:rPr>
        <w:t>). Esta modalidad, que durante el año 2020 se intensificó significativamente, no fue nueva en el mundo del trabajo en general ni en el trabajo universitario en particular ya que por diversos motivos, como el trabajo colaborativo entre colegas de distintas instituciones y países, la falta de espacios físicos en las instituciones y la intensificación del trabajo y extensión de la jornada laboral, la virtualización de las actividades académicas está provocando desde hace tiempo cambios cualitativos en los procesos y condiciones de trabajo y en los modos de comunicación entre docentes (Castillo y Moré, 2018; Gill, 2015; 2018). </w:t>
      </w:r>
    </w:p>
    <w:p w14:paraId="7F2D03FD"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inmediatez con la que surgió este hecho hizo que debieran adecuarse las reglamentaciones y algunos modos de funcionamiento que hasta ese entonces se llevaban adelante. En este sentido, los regímenes de CD/CA fueron readecuados y en muchos casos, las modificaciones se instalaron como nuevas modalidades. Algunos de estos cambios refieren a la incorporación de trámites digitales y presentación de documentación digital; la adecuación de los procesos administrativos a entornos virtuales para posibilitar la gestión de trámites, lo que conllevó en muchos casos a una mayor transparencia y </w:t>
      </w:r>
      <w:proofErr w:type="spellStart"/>
      <w:r>
        <w:rPr>
          <w:rFonts w:ascii="Times New Roman" w:eastAsia="Times New Roman" w:hAnsi="Times New Roman" w:cs="Times New Roman"/>
        </w:rPr>
        <w:t>visibilización</w:t>
      </w:r>
      <w:proofErr w:type="spellEnd"/>
      <w:r>
        <w:rPr>
          <w:rFonts w:ascii="Times New Roman" w:eastAsia="Times New Roman" w:hAnsi="Times New Roman" w:cs="Times New Roman"/>
        </w:rPr>
        <w:t xml:space="preserve"> de procedimientos y criterios en las páginas web oficiales; la posibilidad de que todos los integrantes del tribunal evaluador pueda desempeñarse de manera remota mediado por tecnologías y manteniéndose en la actualidad que al menos uno pueda hacerlo; realizar evaluaciones por videoconferencia; y, la posibilidad de tramitar el acceso a la carrera docente como a las evaluaciones de desempeño (para permanencia y/o promoción) completamente online.</w:t>
      </w:r>
    </w:p>
    <w:p w14:paraId="7CFEEF5A"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una línea distinta a las ya planteadas, se encuentra otro conjunto de modificaciones, principalmente en los regímenes de CD/CA que fueron actualizados recientemente, que refieren a un cambio de paradigma en torno a la evaluación, esto es la inclusión de aspectos de la evaluación responsable. Esta iniciativa surge a nivel internacional a través de documentos como la </w:t>
      </w:r>
      <w:proofErr w:type="spellStart"/>
      <w:r>
        <w:rPr>
          <w:rFonts w:ascii="Times New Roman" w:eastAsia="Times New Roman" w:hAnsi="Times New Roman" w:cs="Times New Roman"/>
        </w:rPr>
        <w:t>Declaration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Research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Assessment</w:t>
      </w:r>
      <w:proofErr w:type="spellEnd"/>
      <w:r>
        <w:rPr>
          <w:rFonts w:ascii="Times New Roman" w:eastAsia="Times New Roman" w:hAnsi="Times New Roman" w:cs="Times New Roman"/>
        </w:rPr>
        <w:t xml:space="preserve"> (DORA, 2013) y el Leiden </w:t>
      </w:r>
      <w:proofErr w:type="spellStart"/>
      <w:r>
        <w:rPr>
          <w:rFonts w:ascii="Times New Roman" w:eastAsia="Times New Roman" w:hAnsi="Times New Roman" w:cs="Times New Roman"/>
        </w:rPr>
        <w:t>Manifesto</w:t>
      </w:r>
      <w:proofErr w:type="spellEnd"/>
      <w:r>
        <w:rPr>
          <w:rFonts w:ascii="Times New Roman" w:eastAsia="Times New Roman" w:hAnsi="Times New Roman" w:cs="Times New Roman"/>
        </w:rPr>
        <w:t xml:space="preserve"> (2015), sumado al Acuerdo sobre la Reforma de la Evaluación en Investigación impulsado por la Comisión Europea en el año 2022 y la consiguiente “coalición” por llevar adelante dicho acuerdo (</w:t>
      </w:r>
      <w:proofErr w:type="spellStart"/>
      <w:r>
        <w:rPr>
          <w:rFonts w:ascii="Times New Roman" w:eastAsia="Times New Roman" w:hAnsi="Times New Roman" w:cs="Times New Roman"/>
        </w:rPr>
        <w:t>CoARA</w:t>
      </w:r>
      <w:proofErr w:type="spellEnd"/>
      <w:r>
        <w:rPr>
          <w:rFonts w:ascii="Times New Roman" w:eastAsia="Times New Roman" w:hAnsi="Times New Roman" w:cs="Times New Roman"/>
        </w:rPr>
        <w:t xml:space="preserve">). También en 2022 se realizó el Tercer Seminario Internacional CLACSO-FOLEC en el que se logró un consenso en torno a una agenda común de reformas de la evaluación académica y científica en la región, en relación con los valores y principios de la ciencia abierta, y se aprobó la Declaración de Principios y </w:t>
      </w:r>
      <w:r>
        <w:rPr>
          <w:rFonts w:ascii="Times New Roman" w:eastAsia="Times New Roman" w:hAnsi="Times New Roman" w:cs="Times New Roman"/>
        </w:rPr>
        <w:lastRenderedPageBreak/>
        <w:t xml:space="preserve">Propuestas “Una nueva evaluación académica y científica para una ciencia con relevancia social en América Latina y el Caribe”, que cuenta con adhesiones de editoriales académicas, universidades y de agencias de ciencia y tecnología de la región (Batthyány y </w:t>
      </w:r>
      <w:proofErr w:type="spellStart"/>
      <w:r>
        <w:rPr>
          <w:rFonts w:ascii="Times New Roman" w:eastAsia="Times New Roman" w:hAnsi="Times New Roman" w:cs="Times New Roman"/>
        </w:rPr>
        <w:t>Vommaro</w:t>
      </w:r>
      <w:proofErr w:type="spellEnd"/>
      <w:r>
        <w:rPr>
          <w:rFonts w:ascii="Times New Roman" w:eastAsia="Times New Roman" w:hAnsi="Times New Roman" w:cs="Times New Roman"/>
        </w:rPr>
        <w:t>, 2024).</w:t>
      </w:r>
    </w:p>
    <w:p w14:paraId="5B314601"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Buscando superar las dinámicas evaluativas instaladas en el campo científico-académico, que en nuestro país se implementaron mayormente en la década de los 90, estas promueven un cambio en el sistema de las prácticas evaluativas que no solo tiene que ver con un giro procedimental, “sino que requieren un cambio profundo en el sistema de gobernanza de la ciencia” (Molas, 2023, p. 34). Las nuevas propuestas apuestan a fortalecer la valoración cualitativa realizada por especialistas en los procesos de evaluación, el uso responsable de indicadores y adecuados al contexto de aplicación, la inclusión de grupos tradicionalmente excluidos o con trayectorias menos consolidadas y procesos de evaluación de pares más transparentes y confiables (Rovelli y González, 2024). </w:t>
      </w:r>
    </w:p>
    <w:p w14:paraId="0C578D60"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este sentido, entre los cambios de los regímenes se observan modificaciones relacionadas con reconocer, habilitar y promover el uso del lenguaje no sexista e inclusivo tanto en la normativa como en producciones escritas u orales por parte de todas las personas que integran la comunidad universitaria (URN y UNPA); respetar el derecho a la igualdad y el principio de presencia equilibrada de mujeres y varones en el plantel docente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y, la adherencia a las leyes y acuerdos internacionales referentes a la materia (UNTDF).</w:t>
      </w:r>
    </w:p>
    <w:p w14:paraId="15D75CC4"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se presenta una valoración explícita de la formación docente universitaria en perspectiva intercultural que tengan en cuenta las demandas, visiones y finalidades educativas de pueblos indígenas. A la vez que se plantea la promoción permanente del ingreso y ejercicio de la docencia universitaria en </w:t>
      </w:r>
      <w:proofErr w:type="spellStart"/>
      <w:r>
        <w:rPr>
          <w:rFonts w:ascii="Times New Roman" w:eastAsia="Times New Roman" w:hAnsi="Times New Roman" w:cs="Times New Roman"/>
        </w:rPr>
        <w:t>pos</w:t>
      </w:r>
      <w:proofErr w:type="spellEnd"/>
      <w:r>
        <w:rPr>
          <w:rFonts w:ascii="Times New Roman" w:eastAsia="Times New Roman" w:hAnsi="Times New Roman" w:cs="Times New Roman"/>
        </w:rPr>
        <w:t xml:space="preserve"> de la construcción de una Universidad Pública inclusiva, democrática, igualitaria y libre de violencia de género y toda discriminación, y la defensa de la Educación Superior como un bien público social, un derecho humano y universal y un deber del Estado (UNNE). </w:t>
      </w:r>
    </w:p>
    <w:p w14:paraId="020E8A39"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También se ha puesto énfasis en la visibilidad de los procedimientos de la evaluación en las páginas web institucionales: publicación de la convocatoria, fecha y hora de la entrevista, datos de acceso a la plataforma de videoconferencia para quien desee presenciarla y nombres de quienes integran las comisiones evaluadoras durante tres días mínimo (UNSE). Del mismo modo, se plantea que en caso de que el/la postulante o el/la Jurado manifieste problemas de conectividad, deberá solicitar formalmente desempeñar su rol de manera presencial (UNNE).</w:t>
      </w:r>
    </w:p>
    <w:p w14:paraId="02D956F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Respecto de los dictámenes, señalan que la Comisión Evaluadora los elaborará en forma de Acta donde emitirá los argumentos explícitos y fundados, indicando detalladamente la valoración cualitativa y cuantitativa de las partes constitutivas de la Evaluación (UNNE). El contenido del legajo académico será confidencial y sólo se utilizará con fines estrictamente académicos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w:t>
      </w:r>
    </w:p>
    <w:p w14:paraId="66EA2CA7"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Estos tres procesos, que responden a lógicas y orígenes distintos, han permeado y configurado los regímenes de CD/CA en </w:t>
      </w:r>
      <w:proofErr w:type="spellStart"/>
      <w:r>
        <w:rPr>
          <w:rFonts w:ascii="Times New Roman" w:eastAsia="Times New Roman" w:hAnsi="Times New Roman" w:cs="Times New Roman"/>
        </w:rPr>
        <w:t>pos</w:t>
      </w:r>
      <w:proofErr w:type="spellEnd"/>
      <w:r>
        <w:rPr>
          <w:rFonts w:ascii="Times New Roman" w:eastAsia="Times New Roman" w:hAnsi="Times New Roman" w:cs="Times New Roman"/>
        </w:rPr>
        <w:t xml:space="preserve"> de las negociaciones y contextos vigentes. En términos amplios, podría decirse que se trata de cambios que han sido promovidos e impulsados siguiendo un proceso de definición de la política de arriba hacia abajo (top-</w:t>
      </w:r>
      <w:proofErr w:type="spellStart"/>
      <w:r>
        <w:rPr>
          <w:rFonts w:ascii="Times New Roman" w:eastAsia="Times New Roman" w:hAnsi="Times New Roman" w:cs="Times New Roman"/>
        </w:rPr>
        <w:lastRenderedPageBreak/>
        <w:t>down</w:t>
      </w:r>
      <w:proofErr w:type="spellEnd"/>
      <w:r>
        <w:rPr>
          <w:rFonts w:ascii="Times New Roman" w:eastAsia="Times New Roman" w:hAnsi="Times New Roman" w:cs="Times New Roman"/>
        </w:rPr>
        <w:t>)</w:t>
      </w:r>
      <w:r>
        <w:rPr>
          <w:rFonts w:ascii="Times New Roman" w:eastAsia="Times New Roman" w:hAnsi="Times New Roman" w:cs="Times New Roman"/>
          <w:vertAlign w:val="superscript"/>
        </w:rPr>
        <w:footnoteReference w:id="6"/>
      </w:r>
      <w:r>
        <w:rPr>
          <w:rFonts w:ascii="Times New Roman" w:eastAsia="Times New Roman" w:hAnsi="Times New Roman" w:cs="Times New Roman"/>
        </w:rPr>
        <w:t>. Esto, en el caso del CCT conllevó a poner en cuestión y debatir la autonomía de las instituciones universitarias. Asimismo, y por el modo en que emergieron, su implementación y posibilidades de concretarlo supusieron discusiones al interior de las universidades y de las distintas unidades académicas, como así también demoras en la definición de los alcances, procedimientos, instrumentos y demás componentes de toda política evaluativa.</w:t>
      </w:r>
    </w:p>
    <w:p w14:paraId="40BFFB39" w14:textId="77777777" w:rsidR="00642E31" w:rsidRDefault="00642E31">
      <w:pPr>
        <w:spacing w:after="0" w:line="240" w:lineRule="auto"/>
        <w:jc w:val="both"/>
        <w:rPr>
          <w:rFonts w:ascii="Times New Roman" w:eastAsia="Times New Roman" w:hAnsi="Times New Roman" w:cs="Times New Roman"/>
        </w:rPr>
      </w:pPr>
    </w:p>
    <w:p w14:paraId="201595D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Sobre la puesta en marcha de los regímenes de carrera docente/académica: adecuaciones de los procedimientos e instrumentos de evaluación </w:t>
      </w:r>
    </w:p>
    <w:p w14:paraId="77234F85"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Ahora bien, como se anticipó al comienzo del escrito la amplia mayoría de los cambios devienen de la puesta en acto y responden a la calibración de la política. Es decir, aquellos ajustes que fueron necesarios realizar a partir de la implementación de estos dispositivos de evaluación. </w:t>
      </w:r>
    </w:p>
    <w:p w14:paraId="20AE9469"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Uno de los aspectos que se incluyeron entre las adecuaciones procedimentales refiere a la visibilidad de criterios, es decir, establecer los puntos mínimos necesarios de actividades y productos que deben ser acumulados por el personal docente para lograr su permanencia (UNQ). Así también se ha señalado la distinción entre los procesos de evaluación periódica de desempeño y de evaluación para la promoción de cargos docentes (UNQ, </w:t>
      </w:r>
      <w:proofErr w:type="spellStart"/>
      <w:r>
        <w:rPr>
          <w:rFonts w:ascii="Times New Roman" w:eastAsia="Times New Roman" w:hAnsi="Times New Roman" w:cs="Times New Roman"/>
        </w:rPr>
        <w:t>UNMo</w:t>
      </w:r>
      <w:proofErr w:type="spellEnd"/>
      <w:r>
        <w:rPr>
          <w:rFonts w:ascii="Times New Roman" w:eastAsia="Times New Roman" w:hAnsi="Times New Roman" w:cs="Times New Roman"/>
        </w:rPr>
        <w:t>, UNLU, UNICEN y UNSE).</w:t>
      </w:r>
    </w:p>
    <w:p w14:paraId="6480339E"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otro lado, se han realizado aclaraciones respecto de su obligatoriedad (UNICEN y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y las consecuencias ante el incumplimiento del régimen de carrera docente, tanto por parte de las/os docentes (</w:t>
      </w:r>
      <w:proofErr w:type="spellStart"/>
      <w:r>
        <w:rPr>
          <w:rFonts w:ascii="Times New Roman" w:eastAsia="Times New Roman" w:hAnsi="Times New Roman" w:cs="Times New Roman"/>
        </w:rPr>
        <w:t>UNLPam</w:t>
      </w:r>
      <w:proofErr w:type="spellEnd"/>
      <w:r>
        <w:rPr>
          <w:rFonts w:ascii="Times New Roman" w:eastAsia="Times New Roman" w:hAnsi="Times New Roman" w:cs="Times New Roman"/>
        </w:rPr>
        <w:t xml:space="preserve">, UNICEN y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como de la unidad académica encargada de su cumplimiento (UNMDP). Asimismo, se incorporaron las justificaciones posibles de inasistencia a las distintas instancias de evaluación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y los pasos a seguir en caso de que resultara insatisfactoria la evaluación (UNGS, UNT, UNNE, UNMDP, UNC, UNJU y UNRC). En este último caso, hay universidades que facilitan los mecanismos para corregir los aspectos que resultaron insatisfactorios y plantean una nueva evaluación previa a la próxima convocatoria. Si hubiera dos evaluaciones consecutivas insatisfactorias o tres alternadas se convoca a un concurso público y abierto de títulos, antecedentes y oposición para cubrir el cargo.</w:t>
      </w:r>
    </w:p>
    <w:p w14:paraId="25492C6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relación con los modos de llevar adelante la evaluación, muchas universidades han incorporado en las últimas modificaciones mayores especificaciones para su implementación. La UNMDP explicita la modalidad y el cronograma de incorporación gradual de su planta docente al Régimen de Carrera Docente. Indica cómo se realizarán las primeras evaluaciones (al igual que la UNR), por qué grupo de docentes comenzar, cuándo, qué antecedentes considerar y cómo se conformarán las Comisiones Evaluadoras, ya que hay requisitos que en principio no podrán cumplir.</w:t>
      </w:r>
    </w:p>
    <w:p w14:paraId="033A77B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en las revisiones se ha incluido la delimitación del año académico para los informes anuales (UNAHUR) y las autoridades responsables de llevar a cabo cada instancia de la evaluación (llamado de convocatoria, recepción de informes y antecedentes, solicitud de la información requerida y evaluación de esta). En algunos casos las distintas instancias recaen en la misma autoridad u organismo y en otras se encuentran desagregadas entre el Consejo Superior, el </w:t>
      </w:r>
      <w:proofErr w:type="gramStart"/>
      <w:r>
        <w:rPr>
          <w:rFonts w:ascii="Times New Roman" w:eastAsia="Times New Roman" w:hAnsi="Times New Roman" w:cs="Times New Roman"/>
        </w:rPr>
        <w:t>Director</w:t>
      </w:r>
      <w:proofErr w:type="gramEnd"/>
      <w:r>
        <w:rPr>
          <w:rFonts w:ascii="Times New Roman" w:eastAsia="Times New Roman" w:hAnsi="Times New Roman" w:cs="Times New Roman"/>
        </w:rPr>
        <w:t xml:space="preserve">/Decano, el Consejo y la </w:t>
      </w:r>
      <w:r>
        <w:rPr>
          <w:rFonts w:ascii="Times New Roman" w:eastAsia="Times New Roman" w:hAnsi="Times New Roman" w:cs="Times New Roman"/>
        </w:rPr>
        <w:lastRenderedPageBreak/>
        <w:t>Secretaría Académica de cada unidad académica y la Comisión Evaluadora (UNMDP). También se detalla quiénes formarán parte de la Comisión Evaluadora, distinguiendo en su mayoría por categoría y dedicación del cargo a evaluar (UNJU, UNICEN, UNNE y UNT) e incluyendo el claustro estudiantil, de graduados y la participación sindical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w:t>
      </w:r>
    </w:p>
    <w:p w14:paraId="750F75B4"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Gran parte de las adecuaciones detallan con mayor precisión el accionar de las Comisiones Evaluadoras. Mayor especificidad en los resultados de los dictámenes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xml:space="preserve"> y UNICEN), en la comunicación con las/os evaluadas/os (UNNE) y en los plazos destinados a cada una de las distintas instancias (UNAHUR, UNICEN y UNJU). </w:t>
      </w:r>
    </w:p>
    <w:p w14:paraId="6D236C82"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caso de la UNSAM, fueron las Comisiones Evaluadoras quienes han sugerido modificaciones en algunos procedimientos con la necesidad de ajustar los procedimientos a las condiciones y posibilidades de la puesta en marcha. Por ejemplo, que la entrevista sea optativa sólo en aquellos casos que la estime conveniente.</w:t>
      </w:r>
    </w:p>
    <w:p w14:paraId="03069A36"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cuanto a las situaciones de licencias, ya sea por cargos de mayor jerarquía, cargos de gestión universitaria o gremial, estudio, enfermedad, maternidad o en proceso disciplinario, la UNC, UNNE,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xml:space="preserve"> y UNLU han incorporado nuevos artículos que incluyen mayores precisiones. </w:t>
      </w:r>
    </w:p>
    <w:p w14:paraId="2F56BB25"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torno a cuándo y a quiénes evaluar, la UNICEN en su último reglamento incorpora que quienes se encuentren previo a los 4 años de jubilarse podrán ser exceptuados de la misma. Y también amplía los recursos que cuentan las/os aspirantes docentes, quienes poseen el derecho de presentar un recurso contra el orden de mérito del Jurado o el dictamen de la Comisión Evaluadora.</w:t>
      </w:r>
    </w:p>
    <w:p w14:paraId="2D5656C2"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Otro conjunto de cambios producto de la puesta en marcha de los dispositivos de evaluación hace alusión a los instrumentos, gran parte de las adecuaciones en las últimas reglamentaciones fijan y delimitan aún más los mecanismos para obtener información de las/os docentes a evaluar. Según se menciona en las resoluciones, la mayoría de estos cambios son resultado de discusiones al interior de las instituciones y de decisiones conjuntas. Principalmente son iniciativas de quienes están a cargo de la gestión e implementación de estos dispositivos.</w:t>
      </w:r>
    </w:p>
    <w:p w14:paraId="644B1290"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caso de la UNMDP, en su último reglamento aprueba el formato de los instrumentos, fija cronograma anual para la implementación de la encuesta estudiantil y autoriza la utilización de los formatos Currículum Vitae Argentina y Sistema Integral de Gestión y Evaluación de Currículum Vitae. La UNVM, por su parte, plantea la distinción de instrumentos según categoría del cargo a evaluar. </w:t>
      </w:r>
    </w:p>
    <w:p w14:paraId="2F14001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UNNE añade entre los instrumentos una copia del acta de la última evaluación docente con el dictamen y las recomendaciones efectuadas por la Comisión Evaluadora y en los casos de mayores dedicaciones los informes parciales del período correspondiente y el informe final del período anterior. Asimismo, en la última modificación del reglamento se añade que la/el docente deberá presentar la manifestación de no estar inhabilitado para el desempeño de cargos públicos o docentes y acreditar formación fehaciente (certificación) sobre la Ley Nº27499/19 “Capacitación obligatoria en la temática de género y violencia contra las mujeres”.</w:t>
      </w:r>
    </w:p>
    <w:p w14:paraId="2D547422"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con la revisión de instrumentos, hay universidades que han incorporado instancias cualitativas y/o superadoras a la carga de antecedentes en las plataformas. La UNQ, por ejemplo, plantea contar con un sistema que articule un componente cuantitativo </w:t>
      </w:r>
      <w:r>
        <w:rPr>
          <w:rFonts w:ascii="Times New Roman" w:eastAsia="Times New Roman" w:hAnsi="Times New Roman" w:cs="Times New Roman"/>
        </w:rPr>
        <w:lastRenderedPageBreak/>
        <w:t>que defina puntajes para las actividades y/o productos académicos, mediante rangos y puntajes para cada actividad y/o producto, con un componente cualitativo en el que se valore la calidad y el tiempo invertidos en las actividades y los productos académicos. La UNAJ y la UNNE añaden que la/el docente podrá agregar un informe de ampliación de información si así lo quisiera, a fin de abundar en los antecedentes y brindar datos aclaratorios vinculados al cumplimiento de sus deberes y obligaciones inherentes al cargo.</w:t>
      </w:r>
    </w:p>
    <w:p w14:paraId="1BF806E8"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línea con esta iniciativa, la UNT incorpora la autoevaluación como insumo que se suma al informe del superior académico en referencia al cumplimiento del plan de trabajo propuesto y el informe final presentado. Y la UNJU, que antes planteaba como responsabilidad de la Secretaría Académica “la elaboración de un resumen estadístico de los resultados” de las encuestas, lo revisó y modificó por “la elaboración de un breve informe”.</w:t>
      </w:r>
    </w:p>
    <w:p w14:paraId="152DC1DC"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Además de las ya mencionadas, entre las universidades que en las modificatorias de sus reglamentos incluyeron aspectos instrumentales se encuentran la UNR, UNPA, </w:t>
      </w:r>
      <w:proofErr w:type="spellStart"/>
      <w:r>
        <w:rPr>
          <w:rFonts w:ascii="Times New Roman" w:eastAsia="Times New Roman" w:hAnsi="Times New Roman" w:cs="Times New Roman"/>
        </w:rPr>
        <w:t>UNCAus</w:t>
      </w:r>
      <w:proofErr w:type="spellEnd"/>
      <w:r>
        <w:rPr>
          <w:rFonts w:ascii="Times New Roman" w:eastAsia="Times New Roman" w:hAnsi="Times New Roman" w:cs="Times New Roman"/>
        </w:rPr>
        <w:t xml:space="preserve">, UNGS, UNO y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En estas, las adecuaciones refieren principalmente a la inclusión de nuevos instrumentos como resultados de encuesta a estudiantes y el dictamen de la evaluación anterior, y mayor especificidad en los ya existentes incorporados en los Anexos de cada reglamentación.</w:t>
      </w:r>
    </w:p>
    <w:p w14:paraId="1772C4A7"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el caso de la </w:t>
      </w:r>
      <w:proofErr w:type="spellStart"/>
      <w:r>
        <w:rPr>
          <w:rFonts w:ascii="Times New Roman" w:eastAsia="Times New Roman" w:hAnsi="Times New Roman" w:cs="Times New Roman"/>
        </w:rPr>
        <w:t>UNCAus</w:t>
      </w:r>
      <w:proofErr w:type="spellEnd"/>
      <w:r>
        <w:rPr>
          <w:rFonts w:ascii="Times New Roman" w:eastAsia="Times New Roman" w:hAnsi="Times New Roman" w:cs="Times New Roman"/>
        </w:rPr>
        <w:t>, en la última de sus reglamentaciones, incluye encuestas a las/os estudiantes ingresantes y solicita actualizar las existentes teniendo en cuenta las características particulares de cada asignatura. La UNPA, por su parte, aprueba las planillas de Sondeo de Opinión destinadas a alumnos, Plan Anual de Actividades, Plan Anual de Actividades Ejecutado, Plan Anual de Actividades Ejecutado, Verificado y Observado, Informe de Desempeño Docente y Evaluación de Desempeño. </w:t>
      </w:r>
    </w:p>
    <w:p w14:paraId="28EF0932"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UNJU, en su modificatoria del reglamento, incluye un proyecto prospectivo de acuerdo con la categoría, cargo y dedicación del período evaluado.</w:t>
      </w:r>
    </w:p>
    <w:p w14:paraId="7540846C"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como se revisaron los instrumentos para la evaluación de permanencia, la UNAJ revisó y amplió los mecanismos para ascender y/o promocionar en la carrera docente. </w:t>
      </w:r>
    </w:p>
    <w:p w14:paraId="47252B74"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otro orden de cambios efectuados, se observó que una de las universidades hizo mención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las condiciones materiales para llevar adelante el proceso de evaluación. La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en el artículo 57° del título IV acerca del financiamiento, menciona que para atender el funcionamiento de la carrera docente anualmente deberá efectuarse una reserva presupuestaria destinada a solventar los gastos que demanden las distintas actividades. Para ello, en el artículo 58°, presenta que anualmente se preverá un porcentaje del presupuesto de personal docente para atender las erogaciones que surjan para la aplicación del régimen de carrera docente e incentivos. </w:t>
      </w:r>
    </w:p>
    <w:p w14:paraId="7800E3AB"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Producto del análisis de las reglamentaciones y los cambios introducidos en estas, se puede dar cuenta que gran parte de estos devienen de la puesta en marcha, de las adecuaciones y ajustes que resultan necesarios para agilizar y efectivizar el proceso de evaluación. </w:t>
      </w:r>
    </w:p>
    <w:p w14:paraId="552B11DA"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Siguiendo las dimensiones planteadas por Capano y Howlett (2024), la calibración de esta política evaluativa se ha centrado principalmente en los siguientes aspectos. En primer lugar, la visibilidad de los instrumentos y procedimientos a partir de incluirlos en </w:t>
      </w:r>
      <w:r>
        <w:rPr>
          <w:rFonts w:ascii="Times New Roman" w:eastAsia="Times New Roman" w:hAnsi="Times New Roman" w:cs="Times New Roman"/>
        </w:rPr>
        <w:lastRenderedPageBreak/>
        <w:t>los Anexos de las reglamentaciones, publicarlos en las páginas web institucionales y darlos en conocimiento a las/os docentes evaluadas/os. En segundo lugar, la automatización de su implementación y los órganos responsables de llevarla adelante, si bien el “cómo” es uno de los asuntos más difíciles de lograr -ya que por ejemplo para los cargos de profesor se requieren jurados externos- los cambios incorporados buscan ajustar estas cuestiones facilitando el acceso (de manera virtual), ajustando los procedimientos (como realizar la entrevista sólo si es necesario) y modos de funcionamiento (por qué docentes comenzar, con quiénes continuar, etc.). En tercer lugar, se ha puesto énfasis en los agentes encargados de las mismas delegando responsabilidades a las unidades académicas y a las comisiones evaluadoras. En cuarto lugar, en cuanto a las disposiciones de seguimiento también se han incorporado mayor precisión en los plazos para cada instancia, desde el llamado o convocatoria para la evaluación hasta el dictamen final. En menor medida, algunos reglamentos abordan las posibilidades materiales y los recursos para llevarlo adelante. Sin embargo, en el marco de los regímenes de CD/CA aún no ha sido ampliamente estudiado y/o revisado el rigor que asume la política, como así tampoco las normas de rendición de cuentas, lo que en su mayoría termina generando que la política no asuma consecuencias y/o los efectos esperados, funcionando como un “como sí”. Esto se debe a distintas razones. Una de ellas es la presupuestaria, por ejemplo, sucede que muchas reglamentaciones regulan la promoción en los cargos; sin embargo, aunque la evaluación sea positiva esta no puede ser efectivizada por falta de financiamiento. </w:t>
      </w:r>
    </w:p>
    <w:p w14:paraId="7058C66A" w14:textId="77777777" w:rsidR="00642E31" w:rsidRDefault="00642E31">
      <w:pPr>
        <w:spacing w:after="0" w:line="240" w:lineRule="auto"/>
        <w:jc w:val="both"/>
        <w:rPr>
          <w:rFonts w:ascii="Times New Roman" w:eastAsia="Times New Roman" w:hAnsi="Times New Roman" w:cs="Times New Roman"/>
        </w:rPr>
      </w:pPr>
    </w:p>
    <w:p w14:paraId="18C0B1C4" w14:textId="77777777" w:rsidR="00642E31" w:rsidRDefault="00000000">
      <w:pPr>
        <w:spacing w:after="0" w:line="240" w:lineRule="auto"/>
        <w:jc w:val="both"/>
        <w:rPr>
          <w:b/>
          <w:bCs/>
        </w:rPr>
      </w:pPr>
      <w:r>
        <w:rPr>
          <w:rFonts w:ascii="Times New Roman" w:eastAsia="Times New Roman" w:hAnsi="Times New Roman" w:cs="Times New Roman"/>
          <w:b/>
          <w:bCs/>
        </w:rPr>
        <w:t>Revisión de propósitos y criterios de evaluación en los regímenes de carrera docente/académica</w:t>
      </w:r>
    </w:p>
    <w:p w14:paraId="33707D5A"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parte de los cambios implementados en las reglamentaciones se encuentran aquellos vinculados con la revisión de criterios de evaluación. Esto es, la ponderación de las tareas de docencia (UNQ), que como se manifiesta en muchos de los reglamentos es de naturaleza obligatoria y por lo tanto requiere especial atención; el equilibrio en la valoración y desarrollo de las tres funciones centrales de la universidad que son docencia, investigación y extensión; y, un reconocimiento particular a la actividad de extensión -que incluye transferencia, servicio o prácticas socio-comunitarias- como institución educativa que produce conocimientos con sentido social (UNRC). En esta línea, la UNAJ que en el reglamento anterior evaluaba las actividades de investigación y vinculación de manera conjunta, lo reformó considerándolos criterios independientes. </w:t>
      </w:r>
    </w:p>
    <w:p w14:paraId="7D85B4AB"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Por otro lado, hay universidades que sumaron mayores especificidades en los criterios de evaluación vigentes. La UNRC incorpora los aspectos a ser evaluados en la encuesta a estudiantes y en los informes del docente responsable de la cátedra y del equipo de trabajo. La UNVM, en su grilla para la evaluación periódica de profesores, suma como aspectos a evaluar la adecuación temática y metodológica de las actividades de investigación, la pertinencia y factibilidad de las actividades de extensión y la participación en actividades institucionales. Asimismo, añade el plan de trabajo para docentes de las demás categorías, que no son responsables de espacios curriculares.</w:t>
      </w:r>
    </w:p>
    <w:p w14:paraId="0D70EF32"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su parte, la </w:t>
      </w:r>
      <w:proofErr w:type="spellStart"/>
      <w:r>
        <w:rPr>
          <w:rFonts w:ascii="Times New Roman" w:eastAsia="Times New Roman" w:hAnsi="Times New Roman" w:cs="Times New Roman"/>
        </w:rPr>
        <w:t>UNLPam</w:t>
      </w:r>
      <w:proofErr w:type="spellEnd"/>
      <w:r>
        <w:rPr>
          <w:rFonts w:ascii="Times New Roman" w:eastAsia="Times New Roman" w:hAnsi="Times New Roman" w:cs="Times New Roman"/>
        </w:rPr>
        <w:t xml:space="preserve">, dentro de estas adecuaciones define que la actividad gremial debe considerarse como una actividad política-institucional a evaluar en el marco del régimen de Carrera Docente. A la vez que plantea poner en valor particularmente la </w:t>
      </w:r>
      <w:r>
        <w:rPr>
          <w:rFonts w:ascii="Times New Roman" w:eastAsia="Times New Roman" w:hAnsi="Times New Roman" w:cs="Times New Roman"/>
        </w:rPr>
        <w:lastRenderedPageBreak/>
        <w:t>actividad docente en el primer año de las carreras, en la modalidad de educación a distancia, y en el marco de los procesos de internacionalización. </w:t>
      </w:r>
    </w:p>
    <w:p w14:paraId="40951A5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Como parte de otro conjunto de modificaciones se encuentran aquellas que han revisado el ‘para qué’ de la evaluación, y esto se pudo observar en los vistos y considerandos de cada resolución. Se menciona que las reformas propuestas son condiciones para el crecimiento académico y la mejora de la calidad del sistema (</w:t>
      </w:r>
      <w:proofErr w:type="spellStart"/>
      <w:r>
        <w:rPr>
          <w:rFonts w:ascii="Times New Roman" w:eastAsia="Times New Roman" w:hAnsi="Times New Roman" w:cs="Times New Roman"/>
        </w:rPr>
        <w:t>UNCAus</w:t>
      </w:r>
      <w:proofErr w:type="spellEnd"/>
      <w:r>
        <w:rPr>
          <w:rFonts w:ascii="Times New Roman" w:eastAsia="Times New Roman" w:hAnsi="Times New Roman" w:cs="Times New Roman"/>
        </w:rPr>
        <w:t>, UNT y UNSJ), a la vez que se lo considera un instrumento pedagógico y de gestión que estimula el fortalecimiento de la tarea del docente (UNT y UNAJ). Como mecanismo de defensa y mejoramiento de los recursos docentes que se hace imprescindible para brindar las condiciones mínimas para el desarrollo de las distintas actividad académica, científica, extensión, tecnológico, cultural, gestión académica y de gobierno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xml:space="preserve">), estimulando el desarrollo equilibrado y la superación permanente de las actividades esenciales de la universidad (UNSJ, UNTDF y </w:t>
      </w:r>
      <w:proofErr w:type="spellStart"/>
      <w:r>
        <w:rPr>
          <w:rFonts w:ascii="Times New Roman" w:eastAsia="Times New Roman" w:hAnsi="Times New Roman" w:cs="Times New Roman"/>
        </w:rPr>
        <w:t>UNCuyo</w:t>
      </w:r>
      <w:proofErr w:type="spellEnd"/>
      <w:r>
        <w:rPr>
          <w:rFonts w:ascii="Times New Roman" w:eastAsia="Times New Roman" w:hAnsi="Times New Roman" w:cs="Times New Roman"/>
        </w:rPr>
        <w:t>). Asimismo, se lo entiende como instrumento clave para la planificación institucional y el perfeccionamiento permanente de los trabajadores docentes (UNTDF y UNGS). Como instancia de reflexión sobre las propias prácticas y, por tanto, de mejora cualitativa de la educación (</w:t>
      </w:r>
      <w:proofErr w:type="spellStart"/>
      <w:r>
        <w:rPr>
          <w:rFonts w:ascii="Times New Roman" w:eastAsia="Times New Roman" w:hAnsi="Times New Roman" w:cs="Times New Roman"/>
        </w:rPr>
        <w:t>UNCuyo</w:t>
      </w:r>
      <w:proofErr w:type="spellEnd"/>
      <w:r>
        <w:rPr>
          <w:rFonts w:ascii="Times New Roman" w:eastAsia="Times New Roman" w:hAnsi="Times New Roman" w:cs="Times New Roman"/>
        </w:rPr>
        <w:t>). </w:t>
      </w:r>
    </w:p>
    <w:p w14:paraId="332173B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Así también, hay universidades que lo reconocen en términos de derechos y estabilidad laboral del personal docente (</w:t>
      </w:r>
      <w:proofErr w:type="spellStart"/>
      <w:r>
        <w:rPr>
          <w:rFonts w:ascii="Times New Roman" w:eastAsia="Times New Roman" w:hAnsi="Times New Roman" w:cs="Times New Roman"/>
        </w:rPr>
        <w:t>UNCuyo</w:t>
      </w:r>
      <w:proofErr w:type="spellEnd"/>
      <w:r>
        <w:rPr>
          <w:rFonts w:ascii="Times New Roman" w:eastAsia="Times New Roman" w:hAnsi="Times New Roman" w:cs="Times New Roman"/>
        </w:rPr>
        <w:t>, UNGS, UNNE y UNSJ), que debe contemplar las condiciones institucionales y el ambiente de trabajo en las que se desarrollan las prácticas evaluadas (</w:t>
      </w:r>
      <w:proofErr w:type="spellStart"/>
      <w:r>
        <w:rPr>
          <w:rFonts w:ascii="Times New Roman" w:eastAsia="Times New Roman" w:hAnsi="Times New Roman" w:cs="Times New Roman"/>
        </w:rPr>
        <w:t>UNCuyo</w:t>
      </w:r>
      <w:proofErr w:type="spellEnd"/>
      <w:r>
        <w:rPr>
          <w:rFonts w:ascii="Times New Roman" w:eastAsia="Times New Roman" w:hAnsi="Times New Roman" w:cs="Times New Roman"/>
        </w:rPr>
        <w:t xml:space="preserve"> y UNTDF). </w:t>
      </w:r>
    </w:p>
    <w:p w14:paraId="256239E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Asimismo, entre los argumentos que fundamentan los cambios impulsados en los regímenes se encuentran aquellos que tienen por objeto simplificar y agilizar el proceso evaluativo, ya que “se advierten algunas dificultades como endogamia, rémora administrativa y disímiles interpretaciones a la hora de implementar el Régimen de Carrera Docente en las diferentes facultades” (UNRC). En este sentido, se entiende que los cambios impulsados “contribuirían a dar mayor celeridad al proceso de evaluación docente” (UNSAM).</w:t>
      </w:r>
    </w:p>
    <w:p w14:paraId="44554D9B"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Otra de las adecuaciones en los reglamentos se fundamenta en unificar los distintos documentos que regulan el accionar de las/os docentes en la universidad, de manera que haya una única reglamentación que contemple integralmente los distintos derechos y obligaciones docentes. Es así como la UNVM, UNNE, UNAHUR, UNT, UNRC, UNTDF, en sus últimas modificatorias, plantearon un texto único que regula -dependiendo cada caso- la Carrera Docente integrando los reglamentos de concursos, de la función docente y mayores dedicaciones, en función de lo también desarrollado en los Estatutos y Planes Institucionales.</w:t>
      </w:r>
    </w:p>
    <w:p w14:paraId="178F0D9A" w14:textId="77777777" w:rsidR="00642E31" w:rsidRDefault="00000000">
      <w:pPr>
        <w:spacing w:after="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 xml:space="preserve">Los regímenes de CD/CA como mecanismo de regulación y evaluación constituyen una arena de debates en donde intervienen diferentes actores universitarios representando sus intereses. Como se ha visto en el análisis de las reglamentaciones, la mayoría de los cambios acontecidos han demandado años de discusión en tanto que “los grupos y actores de interés generan presiones que implican una lenta negociación hasta llegar a delimitar las acciones sobre las que hay acuerdos básicos” </w:t>
      </w:r>
      <w:r>
        <w:rPr>
          <w:rFonts w:ascii="Times New Roman" w:eastAsia="Times New Roman" w:hAnsi="Times New Roman" w:cs="Times New Roman"/>
          <w:highlight w:val="white"/>
        </w:rPr>
        <w:t>(</w:t>
      </w:r>
      <w:proofErr w:type="spellStart"/>
      <w:r>
        <w:rPr>
          <w:rFonts w:ascii="Times New Roman" w:eastAsia="Times New Roman" w:hAnsi="Times New Roman" w:cs="Times New Roman"/>
          <w:highlight w:val="white"/>
        </w:rPr>
        <w:t>Chiroleu</w:t>
      </w:r>
      <w:proofErr w:type="spellEnd"/>
      <w:r>
        <w:rPr>
          <w:rFonts w:ascii="Times New Roman" w:eastAsia="Times New Roman" w:hAnsi="Times New Roman" w:cs="Times New Roman"/>
          <w:highlight w:val="white"/>
        </w:rPr>
        <w:t>, Suasnábar y Rovelli, 2012, p. 16).</w:t>
      </w:r>
    </w:p>
    <w:p w14:paraId="66097BB3"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torno a las negociaciones que se llevaron adelante para impulsar los cambios en los regímenes, se comparten algunos argumentos que se mencionan en los vistos y considerandos de las resoluciones analizadas. Que en vista a una evaluación democrática, </w:t>
      </w:r>
      <w:r>
        <w:rPr>
          <w:rFonts w:ascii="Times New Roman" w:eastAsia="Times New Roman" w:hAnsi="Times New Roman" w:cs="Times New Roman"/>
        </w:rPr>
        <w:lastRenderedPageBreak/>
        <w:t>es necesario prever mecanismos que aseguren la participación de diferentes actores como fuente de información para la evaluación y control de gestión: docentes, autoridades departamentales y estudiantes (UNRC); que en estas constan los aportes y participación de distintos espacios de representación docente a fin de consensuar un nuevo Régimen General de Carrera Docente (</w:t>
      </w:r>
      <w:proofErr w:type="spellStart"/>
      <w:r>
        <w:rPr>
          <w:rFonts w:ascii="Times New Roman" w:eastAsia="Times New Roman" w:hAnsi="Times New Roman" w:cs="Times New Roman"/>
        </w:rPr>
        <w:t>UNaM</w:t>
      </w:r>
      <w:proofErr w:type="spellEnd"/>
      <w:r>
        <w:rPr>
          <w:rFonts w:ascii="Times New Roman" w:eastAsia="Times New Roman" w:hAnsi="Times New Roman" w:cs="Times New Roman"/>
        </w:rPr>
        <w:t>); que la misma es fruto del texto plural y democrático de sus distintos actores, conforme la amplia participación otorgada en el ámbito de la Comisión conformada por el Consejo Superior (UNTDF); que el consejo superior hasta el año 2012, analizó, discutió y acordó parte de un proyecto presentado sobre carrera académica y posteriormente se conformó la comisión ad hoc encargada de estudiar el estado actual del proyecto de "carrera académica", a fin de retomar su discusión en el cuerpo, con representantes del rectorado, de las cinco facultades y de los estamentos alumnos, egresados y personal de apoyo universitario (UNSJ); que luego de la propuesta de base de la presente modificación, se formó una comisión designada a tal efecto de la que participó el Consejo Asesor de Asuntos Académicos, integrado por la secretaría Académica, los Secretarios de Áreas de todas las Unidades Académicas y Representantes Gremiales (</w:t>
      </w:r>
      <w:proofErr w:type="spellStart"/>
      <w:r>
        <w:rPr>
          <w:rFonts w:ascii="Times New Roman" w:eastAsia="Times New Roman" w:hAnsi="Times New Roman" w:cs="Times New Roman"/>
        </w:rPr>
        <w:t>UNCuyo</w:t>
      </w:r>
      <w:proofErr w:type="spellEnd"/>
      <w:r>
        <w:rPr>
          <w:rFonts w:ascii="Times New Roman" w:eastAsia="Times New Roman" w:hAnsi="Times New Roman" w:cs="Times New Roman"/>
        </w:rPr>
        <w:t>).</w:t>
      </w:r>
    </w:p>
    <w:p w14:paraId="14DB690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Como parte de los distintos actores que integran los debates en torno a la temática, se observa gran presencia del sector gremial-sindical, principalmente en el último tiempo. Cabe destacar que este sector formó parte de las discusiones que se dieron hasta alcanzar el Convenio Colectivo de Trabajo homologado en 2015, el cual, siguiendo los aportes de </w:t>
      </w:r>
      <w:proofErr w:type="spellStart"/>
      <w:r>
        <w:rPr>
          <w:rFonts w:ascii="Times New Roman" w:eastAsia="Times New Roman" w:hAnsi="Times New Roman" w:cs="Times New Roman"/>
        </w:rPr>
        <w:t>Nosiglia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Trippano</w:t>
      </w:r>
      <w:proofErr w:type="spellEnd"/>
      <w:r>
        <w:rPr>
          <w:rFonts w:ascii="Times New Roman" w:eastAsia="Times New Roman" w:hAnsi="Times New Roman" w:cs="Times New Roman"/>
        </w:rPr>
        <w:t xml:space="preserve"> y Mulle (2018), “constituye un antecedente que parece indicar que la lógica gremial se ha instalado en el ámbito universitario” (p. 59).</w:t>
      </w:r>
    </w:p>
    <w:p w14:paraId="405A0E8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De las resoluciones analizadas, hay algunas que mencionan las negociaciones, con acuerdos y desacuerdos, que han llevado adelante con la parte gremial. En el caso de la UNT, la asociación de docentes e investigadores llamó a reconsiderar e impugnar algunos de los artículos del reglamento de evaluación periódica; sin embargo, ante la falta de acuerdos y la demora en aprobar la reglamentación, se decidió hacer lugar solo a dos de los planteos</w:t>
      </w:r>
      <w:r>
        <w:rPr>
          <w:rFonts w:ascii="Times New Roman" w:eastAsia="Times New Roman" w:hAnsi="Times New Roman" w:cs="Times New Roman"/>
          <w:vertAlign w:val="superscript"/>
        </w:rPr>
        <w:footnoteReference w:id="7"/>
      </w:r>
      <w:r>
        <w:rPr>
          <w:rFonts w:ascii="Times New Roman" w:eastAsia="Times New Roman" w:hAnsi="Times New Roman" w:cs="Times New Roman"/>
        </w:rPr>
        <w:t xml:space="preserve">. </w:t>
      </w:r>
    </w:p>
    <w:p w14:paraId="59ED60EF"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Asimismo, en otras se menciona la participación que tuvieron las asociaciones gremiales dentro de las modificaciones de los reglamentos, por ejemplo, la UNGS abrió la discusión de las propuestas de "Pautas y Criterios de Evaluación" así como de los "Instrumentos de Evaluación", mientras que la </w:t>
      </w:r>
      <w:proofErr w:type="spellStart"/>
      <w:r>
        <w:rPr>
          <w:rFonts w:ascii="Times New Roman" w:eastAsia="Times New Roman" w:hAnsi="Times New Roman" w:cs="Times New Roman"/>
        </w:rPr>
        <w:t>UNLaR</w:t>
      </w:r>
      <w:proofErr w:type="spellEnd"/>
      <w:r>
        <w:rPr>
          <w:rFonts w:ascii="Times New Roman" w:eastAsia="Times New Roman" w:hAnsi="Times New Roman" w:cs="Times New Roman"/>
        </w:rPr>
        <w:t xml:space="preserve">, la UNSJ y la </w:t>
      </w:r>
      <w:proofErr w:type="spellStart"/>
      <w:r>
        <w:rPr>
          <w:rFonts w:ascii="Times New Roman" w:eastAsia="Times New Roman" w:hAnsi="Times New Roman" w:cs="Times New Roman"/>
        </w:rPr>
        <w:t>UNCuyo</w:t>
      </w:r>
      <w:proofErr w:type="spellEnd"/>
      <w:r>
        <w:rPr>
          <w:rFonts w:ascii="Times New Roman" w:eastAsia="Times New Roman" w:hAnsi="Times New Roman" w:cs="Times New Roman"/>
        </w:rPr>
        <w:t xml:space="preserve"> aclaran que el proyecto fue sometido a negociación en el seno de reuniones paritarias docentes locales. </w:t>
      </w:r>
    </w:p>
    <w:p w14:paraId="02AC9AA1"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cambios analizados responden a revisiones del para qué de la evaluación, sus criterios y propósitos. Se ha observado que estos no surgen abruptamente, sino que forman parte </w:t>
      </w:r>
      <w:r>
        <w:rPr>
          <w:rFonts w:ascii="Times New Roman" w:eastAsia="Times New Roman" w:hAnsi="Times New Roman" w:cs="Times New Roman"/>
        </w:rPr>
        <w:lastRenderedPageBreak/>
        <w:t>de negociaciones y debates entre los distintos actores del ámbito universitario, con especial presencia del sector gremial. </w:t>
      </w:r>
    </w:p>
    <w:p w14:paraId="32B4B1E2" w14:textId="77777777" w:rsidR="00642E31" w:rsidRDefault="00642E31">
      <w:pPr>
        <w:spacing w:after="0" w:line="240" w:lineRule="auto"/>
        <w:jc w:val="both"/>
        <w:rPr>
          <w:rFonts w:ascii="Times New Roman" w:eastAsia="Times New Roman" w:hAnsi="Times New Roman" w:cs="Times New Roman"/>
        </w:rPr>
      </w:pPr>
    </w:p>
    <w:p w14:paraId="59190910" w14:textId="77777777" w:rsidR="00642E31"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Conclusiones</w:t>
      </w:r>
    </w:p>
    <w:p w14:paraId="307D931D" w14:textId="5AB9C865"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 lo largo </w:t>
      </w:r>
      <w:r>
        <w:rPr>
          <w:rFonts w:ascii="Times New Roman" w:eastAsia="Times New Roman" w:hAnsi="Times New Roman" w:cs="Times New Roman"/>
        </w:rPr>
        <w:t xml:space="preserve">del </w:t>
      </w:r>
      <w:r>
        <w:rPr>
          <w:rFonts w:ascii="Times New Roman" w:eastAsia="Times New Roman" w:hAnsi="Times New Roman" w:cs="Times New Roman"/>
        </w:rPr>
        <w:t>texto se desarrollaron algunos de los cambios acontecidos en los regímenes de CD/CA desde su creación hasta el año 2025. Se trabajó con las 29 universidades que impulsaron cambios en sus reglamentos de CD/CA, lo que conllevó a analizar un total de 66 reglamentos. En estos se identificaron los principales hitos, razones y actores que impulsaron las modificaciones, como así también se señalaron los componentes de evaluación que fueron objeto de estos cambios (procedimientos, instrumentos, propósitos y criterios). </w:t>
      </w:r>
    </w:p>
    <w:p w14:paraId="5C819361" w14:textId="7BC91E88"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Del análisis pudo observarse, en primer lugar, que los cambios tienen orígenes distintos. Por un lado, se encuentran aquellos que fueron motivados por factores </w:t>
      </w:r>
      <w:proofErr w:type="spellStart"/>
      <w:r>
        <w:rPr>
          <w:rFonts w:ascii="Times New Roman" w:eastAsia="Times New Roman" w:hAnsi="Times New Roman" w:cs="Times New Roman"/>
        </w:rPr>
        <w:t>suprainstitucionales</w:t>
      </w:r>
      <w:proofErr w:type="spellEnd"/>
      <w:r>
        <w:rPr>
          <w:rFonts w:ascii="Times New Roman" w:eastAsia="Times New Roman" w:hAnsi="Times New Roman" w:cs="Times New Roman"/>
        </w:rPr>
        <w:t xml:space="preserve"> y que en general responden a una política “de arriba hacia abajo” (top-</w:t>
      </w:r>
      <w:proofErr w:type="spellStart"/>
      <w:r>
        <w:rPr>
          <w:rFonts w:ascii="Times New Roman" w:eastAsia="Times New Roman" w:hAnsi="Times New Roman" w:cs="Times New Roman"/>
        </w:rPr>
        <w:t>down</w:t>
      </w:r>
      <w:proofErr w:type="spellEnd"/>
      <w:r>
        <w:rPr>
          <w:rFonts w:ascii="Times New Roman" w:eastAsia="Times New Roman" w:hAnsi="Times New Roman" w:cs="Times New Roman"/>
        </w:rPr>
        <w:t>), como lo es el Convenio Colectivo de Trabajo y los cambios acontecidos a partir de la pandemia de COVID-19; sumado a las iniciativas de organismos internacionales que promueven y recomiendan la inclusión de aspectos de la evaluación responsable. Por otro lado, los que surgen de la puesta en marcha de los dispositivos; en este caso, los cambios de la política se efectúan “de abajo hacia arriba” (bottom-up) y hacen referencia a adecuaciones procedimentales, instrumentales y de criterios, entre otras ya señaladas.</w:t>
      </w:r>
    </w:p>
    <w:p w14:paraId="71FFD3E4"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segundo lugar, se pudo reconocer que si bien gran parte de estos cambios tienen propósitos específicos e intereses particulares; hay otros que devienen de situaciones contextuales, como el caso de las adecuaciones realizadas a partir de la pandemia de COVID-19.</w:t>
      </w:r>
    </w:p>
    <w:p w14:paraId="7E70C1FE"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Asimismo, se identificaron distintos actores intervinientes en estos cambios. Y aquí se pueden distinguir las/os agentes encargadas/os de la implementación, aquellas/os que conforman la gestión de cada universidad, las/os representantes sindicales y organismos externos a la universidad (tema que pone en discusión y conlleva a repensar la autonomía universitaria).</w:t>
      </w:r>
    </w:p>
    <w:p w14:paraId="46CF2A54"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Gran parte de las modificaciones señaladas tienen por objeto simplificar, dinamizar y economizar el proceso de evaluación para que la puesta en marcha de los dispositivos se haga efectiva. Sin embargo, también se reconocen universidades que entre sus actualizaciones se replantean el propósito de la evaluación.</w:t>
      </w:r>
    </w:p>
    <w:p w14:paraId="1497B880" w14:textId="77777777"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relación con ello, y alejándose del “como sí” de la evaluación, en varios de los reglamentos analizados se expresa que las reformas propuestas son necesarias para el crecimiento académico, la mejora de la calidad del sistema, el fortalecimiento de la tarea docente y como instrumento de gestión clave para la planificación institucional. A la vez que se lo reconoce en términos de derechos y estabilidad laboral del personal docente. </w:t>
      </w:r>
    </w:p>
    <w:p w14:paraId="1B8DD421" w14:textId="43F38F82" w:rsidR="00642E31"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síntesis, se puede afirmar que la mayoría de las actualizaciones en los regímenes de CD/CA responden a cambios incrementales de la política</w:t>
      </w:r>
      <w:r>
        <w:rPr>
          <w:rFonts w:ascii="Times New Roman" w:eastAsia="Times New Roman" w:hAnsi="Times New Roman" w:cs="Times New Roman"/>
        </w:rPr>
        <w:t>.</w:t>
      </w:r>
      <w:r w:rsidR="00F36090">
        <w:rPr>
          <w:rFonts w:ascii="Times New Roman" w:eastAsia="Times New Roman" w:hAnsi="Times New Roman" w:cs="Times New Roman"/>
        </w:rPr>
        <w:t xml:space="preserve"> E</w:t>
      </w:r>
      <w:r>
        <w:rPr>
          <w:rFonts w:ascii="Times New Roman" w:eastAsia="Times New Roman" w:hAnsi="Times New Roman" w:cs="Times New Roman"/>
        </w:rPr>
        <w:t xml:space="preserve">n términos de Lindblom (1959) “la formulación de una política es un proceso de aproximación sucesiva hacia objetivos deseados, en el que lo que se desea en sí mismo va cambiando según se va reconsiderando” (p. 86). Y en vinculación con esto cabe señalar que a pesar de los intentos y esfuerzos por adecuar los regímenes de CD/CA a las necesidades de la puesta en </w:t>
      </w:r>
      <w:r>
        <w:rPr>
          <w:rFonts w:ascii="Times New Roman" w:eastAsia="Times New Roman" w:hAnsi="Times New Roman" w:cs="Times New Roman"/>
        </w:rPr>
        <w:lastRenderedPageBreak/>
        <w:t>marcha, las prácticas universitarias, el trabajo docente, las/os estudiantes, los avances en el ámbito académico y las circunstancias contextuales, no siempre resulta posible su implementación. “El sentido común tiende a pensar que, hecha la ley, hecha la política” (Fontaine, 2015, p. 46); sin embargo, como se ha señalado a lo largo del escrito, hay distintas variables que en la práctica dificultan la puesta en marcha de los mecanismos que regulan la CD/CA en las UUNN argentinas.</w:t>
      </w:r>
    </w:p>
    <w:p w14:paraId="2B0FB05C" w14:textId="77777777" w:rsidR="00642E31" w:rsidRDefault="00642E31">
      <w:pPr>
        <w:spacing w:line="240" w:lineRule="auto"/>
        <w:jc w:val="both"/>
        <w:rPr>
          <w:rFonts w:ascii="Times New Roman" w:eastAsia="Times New Roman" w:hAnsi="Times New Roman" w:cs="Times New Roman"/>
        </w:rPr>
      </w:pPr>
    </w:p>
    <w:p w14:paraId="13ED8002" w14:textId="77777777" w:rsidR="00642E31" w:rsidRDefault="00000000">
      <w:pPr>
        <w:spacing w:line="240" w:lineRule="auto"/>
        <w:rPr>
          <w:rFonts w:ascii="Times New Roman" w:eastAsia="Times New Roman" w:hAnsi="Times New Roman" w:cs="Times New Roman"/>
        </w:rPr>
      </w:pPr>
      <w:r>
        <w:rPr>
          <w:rFonts w:ascii="Times New Roman" w:eastAsia="Times New Roman" w:hAnsi="Times New Roman" w:cs="Times New Roman"/>
          <w:b/>
          <w:bCs/>
        </w:rPr>
        <w:t xml:space="preserve">Referencias Bibliográficas </w:t>
      </w:r>
    </w:p>
    <w:p w14:paraId="19548440"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Batthyány K. y </w:t>
      </w:r>
      <w:proofErr w:type="spellStart"/>
      <w:r>
        <w:rPr>
          <w:rFonts w:ascii="Times New Roman" w:eastAsia="Times New Roman" w:hAnsi="Times New Roman" w:cs="Times New Roman"/>
        </w:rPr>
        <w:t>Vommaro</w:t>
      </w:r>
      <w:proofErr w:type="spellEnd"/>
      <w:r>
        <w:rPr>
          <w:rFonts w:ascii="Times New Roman" w:eastAsia="Times New Roman" w:hAnsi="Times New Roman" w:cs="Times New Roman"/>
        </w:rPr>
        <w:t xml:space="preserve">, P. (2024). Introducción. En L. Rovelli y P. </w:t>
      </w:r>
      <w:proofErr w:type="spellStart"/>
      <w:r>
        <w:rPr>
          <w:rFonts w:ascii="Times New Roman" w:eastAsia="Times New Roman" w:hAnsi="Times New Roman" w:cs="Times New Roman"/>
        </w:rPr>
        <w:t>Vommaro</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Coords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Evaluación académica situada y relevante. Aportes y desafíos en América Latina y el Caribe</w:t>
      </w:r>
      <w:r>
        <w:rPr>
          <w:rFonts w:ascii="Times New Roman" w:eastAsia="Times New Roman" w:hAnsi="Times New Roman" w:cs="Times New Roman"/>
        </w:rPr>
        <w:t xml:space="preserve"> (pp. 9-16). CLACSO. </w:t>
      </w:r>
    </w:p>
    <w:p w14:paraId="5A625594"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Capano, G. &amp; Howlett, M. (2024). </w:t>
      </w:r>
      <w:proofErr w:type="spellStart"/>
      <w:r>
        <w:rPr>
          <w:rFonts w:ascii="Times New Roman" w:eastAsia="Times New Roman" w:hAnsi="Times New Roman" w:cs="Times New Roman"/>
        </w:rPr>
        <w:t>Calibration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specification</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policy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practice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Micro-dimensions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design</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Policy </w:t>
      </w:r>
      <w:proofErr w:type="spellStart"/>
      <w:r>
        <w:rPr>
          <w:rFonts w:ascii="Times New Roman" w:eastAsia="Times New Roman" w:hAnsi="Times New Roman" w:cs="Times New Roman"/>
          <w:i/>
          <w:iCs/>
        </w:rPr>
        <w:t>Design</w:t>
      </w:r>
      <w:proofErr w:type="spellEnd"/>
      <w:r>
        <w:rPr>
          <w:rFonts w:ascii="Times New Roman" w:eastAsia="Times New Roman" w:hAnsi="Times New Roman" w:cs="Times New Roman"/>
          <w:i/>
          <w:iCs/>
        </w:rPr>
        <w:t xml:space="preserve"> and </w:t>
      </w:r>
      <w:proofErr w:type="spellStart"/>
      <w:r>
        <w:rPr>
          <w:rFonts w:ascii="Times New Roman" w:eastAsia="Times New Roman" w:hAnsi="Times New Roman" w:cs="Times New Roman"/>
          <w:i/>
          <w:iCs/>
        </w:rPr>
        <w:t>Practice</w:t>
      </w:r>
      <w:proofErr w:type="spellEnd"/>
      <w:r>
        <w:rPr>
          <w:rFonts w:ascii="Times New Roman" w:eastAsia="Times New Roman" w:hAnsi="Times New Roman" w:cs="Times New Roman"/>
          <w:i/>
          <w:iCs/>
        </w:rPr>
        <w:t>, 7</w:t>
      </w:r>
      <w:r>
        <w:rPr>
          <w:rFonts w:ascii="Times New Roman" w:eastAsia="Times New Roman" w:hAnsi="Times New Roman" w:cs="Times New Roman"/>
        </w:rPr>
        <w:t>(2), 115-128</w:t>
      </w:r>
    </w:p>
    <w:p w14:paraId="0979EFCD"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Castillo, J. J. y Moré, P. (2018). Universidad precaria, universidad sin futuro [En liquidación]. </w:t>
      </w:r>
      <w:r>
        <w:rPr>
          <w:rFonts w:ascii="Times New Roman" w:eastAsia="Times New Roman" w:hAnsi="Times New Roman" w:cs="Times New Roman"/>
          <w:i/>
          <w:iCs/>
        </w:rPr>
        <w:t xml:space="preserve">Sociología del Trabajo, </w:t>
      </w:r>
      <w:r>
        <w:rPr>
          <w:rFonts w:ascii="Times New Roman" w:eastAsia="Times New Roman" w:hAnsi="Times New Roman" w:cs="Times New Roman"/>
        </w:rPr>
        <w:t>(92), 147-158.</w:t>
      </w:r>
    </w:p>
    <w:p w14:paraId="25F14791" w14:textId="77777777" w:rsidR="00642E31" w:rsidRDefault="00000000">
      <w:pPr>
        <w:spacing w:after="0" w:line="240" w:lineRule="auto"/>
        <w:ind w:left="709" w:hanging="709"/>
        <w:jc w:val="both"/>
        <w:rPr>
          <w:rFonts w:ascii="Times New Roman" w:eastAsia="Times New Roman" w:hAnsi="Times New Roman" w:cs="Times New Roman"/>
        </w:rPr>
      </w:pPr>
      <w:proofErr w:type="spellStart"/>
      <w:r>
        <w:rPr>
          <w:rFonts w:ascii="Times New Roman" w:eastAsia="Times New Roman" w:hAnsi="Times New Roman" w:cs="Times New Roman"/>
        </w:rPr>
        <w:t>Chiroleu</w:t>
      </w:r>
      <w:proofErr w:type="spellEnd"/>
      <w:r>
        <w:rPr>
          <w:rFonts w:ascii="Times New Roman" w:eastAsia="Times New Roman" w:hAnsi="Times New Roman" w:cs="Times New Roman"/>
        </w:rPr>
        <w:t xml:space="preserve">, A., Suasnábar, C. y Rovelli, L. (2012). </w:t>
      </w:r>
      <w:r>
        <w:rPr>
          <w:rFonts w:ascii="Times New Roman" w:eastAsia="Times New Roman" w:hAnsi="Times New Roman" w:cs="Times New Roman"/>
          <w:i/>
          <w:iCs/>
        </w:rPr>
        <w:t>Política universitaria en la Argentina: revisando viejos legados en busca de nuevos horizontes</w:t>
      </w:r>
      <w:r>
        <w:rPr>
          <w:rFonts w:ascii="Times New Roman" w:eastAsia="Times New Roman" w:hAnsi="Times New Roman" w:cs="Times New Roman"/>
        </w:rPr>
        <w:t>. Universidad Nacional de General Sarmiento. IEC – CONADU.</w:t>
      </w:r>
    </w:p>
    <w:p w14:paraId="34535314"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Fontaine, G. (2015). </w:t>
      </w:r>
      <w:r>
        <w:rPr>
          <w:rFonts w:ascii="Times New Roman" w:eastAsia="Times New Roman" w:hAnsi="Times New Roman" w:cs="Times New Roman"/>
          <w:i/>
          <w:iCs/>
        </w:rPr>
        <w:t>El análisis de políticas públicas: Conceptos, teorías y métodos</w:t>
      </w:r>
      <w:r>
        <w:rPr>
          <w:rFonts w:ascii="Times New Roman" w:eastAsia="Times New Roman" w:hAnsi="Times New Roman" w:cs="Times New Roman"/>
        </w:rPr>
        <w:t xml:space="preserve">. </w:t>
      </w:r>
      <w:proofErr w:type="spellStart"/>
      <w:r>
        <w:rPr>
          <w:rFonts w:ascii="Times New Roman" w:eastAsia="Times New Roman" w:hAnsi="Times New Roman" w:cs="Times New Roman"/>
        </w:rPr>
        <w:t>Anthropos</w:t>
      </w:r>
      <w:proofErr w:type="spellEnd"/>
      <w:r>
        <w:rPr>
          <w:rFonts w:ascii="Times New Roman" w:eastAsia="Times New Roman" w:hAnsi="Times New Roman" w:cs="Times New Roman"/>
        </w:rPr>
        <w:t xml:space="preserve"> Editorial. FLACSO.</w:t>
      </w:r>
    </w:p>
    <w:p w14:paraId="7BA6F217"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Gill, R. (2015). Rompiendo el silencio. Las heridas ocultas de la universidad neoliberal. </w:t>
      </w:r>
      <w:proofErr w:type="spellStart"/>
      <w:r>
        <w:rPr>
          <w:rFonts w:ascii="Times New Roman" w:eastAsia="Times New Roman" w:hAnsi="Times New Roman" w:cs="Times New Roman"/>
          <w:i/>
          <w:iCs/>
        </w:rPr>
        <w:t>Arxius</w:t>
      </w:r>
      <w:proofErr w:type="spellEnd"/>
      <w:r>
        <w:rPr>
          <w:rFonts w:ascii="Times New Roman" w:eastAsia="Times New Roman" w:hAnsi="Times New Roman" w:cs="Times New Roman"/>
          <w:i/>
          <w:iCs/>
        </w:rPr>
        <w:t xml:space="preserve"> de Ciencias Sociales</w:t>
      </w:r>
      <w:r>
        <w:rPr>
          <w:rFonts w:ascii="Times New Roman" w:eastAsia="Times New Roman" w:hAnsi="Times New Roman" w:cs="Times New Roman"/>
        </w:rPr>
        <w:t>, (32), 45-58.</w:t>
      </w:r>
    </w:p>
    <w:p w14:paraId="4EA255AA"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Gill, R. (2018). </w:t>
      </w:r>
      <w:proofErr w:type="spellStart"/>
      <w:r>
        <w:rPr>
          <w:rFonts w:ascii="Times New Roman" w:eastAsia="Times New Roman" w:hAnsi="Times New Roman" w:cs="Times New Roman"/>
        </w:rPr>
        <w:t>Beyond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individualism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psychosocial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life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neoliberal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In M. Spooner &amp; J. McNinch. (Ed.), </w:t>
      </w:r>
      <w:proofErr w:type="spellStart"/>
      <w:r>
        <w:rPr>
          <w:rFonts w:ascii="Times New Roman" w:eastAsia="Times New Roman" w:hAnsi="Times New Roman" w:cs="Times New Roman"/>
          <w:i/>
          <w:iCs/>
        </w:rPr>
        <w:t>Dissident</w:t>
      </w:r>
      <w:proofErr w:type="spellEnd"/>
      <w:r>
        <w:rPr>
          <w:rFonts w:ascii="Times New Roman" w:eastAsia="Times New Roman" w:hAnsi="Times New Roman" w:cs="Times New Roman"/>
          <w:i/>
          <w:iCs/>
        </w:rPr>
        <w:t xml:space="preserve"> Knowledge in </w:t>
      </w:r>
      <w:proofErr w:type="spellStart"/>
      <w:r>
        <w:rPr>
          <w:rFonts w:ascii="Times New Roman" w:eastAsia="Times New Roman" w:hAnsi="Times New Roman" w:cs="Times New Roman"/>
          <w:i/>
          <w:iCs/>
        </w:rPr>
        <w:t>Higher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Education</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 xml:space="preserve">(pp. 193-216).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Regina Press.</w:t>
      </w:r>
    </w:p>
    <w:p w14:paraId="44BD3798"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Lindblom, Ch. (1959). The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Muddling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Through</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Public </w:t>
      </w:r>
      <w:proofErr w:type="spellStart"/>
      <w:r>
        <w:rPr>
          <w:rFonts w:ascii="Times New Roman" w:eastAsia="Times New Roman" w:hAnsi="Times New Roman" w:cs="Times New Roman"/>
          <w:i/>
          <w:iCs/>
        </w:rPr>
        <w:t>Administration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Review</w:t>
      </w:r>
      <w:proofErr w:type="spellEnd"/>
      <w:r>
        <w:rPr>
          <w:rFonts w:ascii="Times New Roman" w:eastAsia="Times New Roman" w:hAnsi="Times New Roman" w:cs="Times New Roman"/>
          <w:i/>
          <w:iCs/>
        </w:rPr>
        <w:t>, 19</w:t>
      </w:r>
      <w:r>
        <w:rPr>
          <w:rFonts w:ascii="Times New Roman" w:eastAsia="Times New Roman" w:hAnsi="Times New Roman" w:cs="Times New Roman"/>
        </w:rPr>
        <w:t xml:space="preserve">, 79-88.  </w:t>
      </w:r>
    </w:p>
    <w:p w14:paraId="2A0A9E15"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Molas Gallart, J. (2023). </w:t>
      </w:r>
      <w:proofErr w:type="spellStart"/>
      <w:r>
        <w:rPr>
          <w:rFonts w:ascii="Times New Roman" w:eastAsia="Times New Roman" w:hAnsi="Times New Roman" w:cs="Times New Roman"/>
        </w:rPr>
        <w:t>CoARA</w:t>
      </w:r>
      <w:proofErr w:type="spellEnd"/>
      <w:r>
        <w:rPr>
          <w:rFonts w:ascii="Times New Roman" w:eastAsia="Times New Roman" w:hAnsi="Times New Roman" w:cs="Times New Roman"/>
        </w:rPr>
        <w:t xml:space="preserve"> y la gobernanza de la evaluación. Enredadera. </w:t>
      </w:r>
      <w:r>
        <w:rPr>
          <w:rFonts w:ascii="Times New Roman" w:eastAsia="Times New Roman" w:hAnsi="Times New Roman" w:cs="Times New Roman"/>
          <w:i/>
          <w:iCs/>
        </w:rPr>
        <w:t>Revista de la Red de Bibliotecas y Archivos del CSIC</w:t>
      </w:r>
      <w:r>
        <w:rPr>
          <w:rFonts w:ascii="Times New Roman" w:eastAsia="Times New Roman" w:hAnsi="Times New Roman" w:cs="Times New Roman"/>
        </w:rPr>
        <w:t xml:space="preserve">, (39), 33-37. </w:t>
      </w:r>
    </w:p>
    <w:p w14:paraId="745F59A0" w14:textId="77777777" w:rsidR="00642E31" w:rsidRDefault="00000000">
      <w:pPr>
        <w:spacing w:after="0" w:line="240" w:lineRule="auto"/>
        <w:ind w:left="709" w:hanging="709"/>
        <w:jc w:val="both"/>
        <w:rPr>
          <w:rFonts w:ascii="Times New Roman" w:eastAsia="Times New Roman" w:hAnsi="Times New Roman" w:cs="Times New Roman"/>
        </w:rPr>
      </w:pPr>
      <w:proofErr w:type="spellStart"/>
      <w:r>
        <w:rPr>
          <w:rFonts w:ascii="Times New Roman" w:eastAsia="Times New Roman" w:hAnsi="Times New Roman" w:cs="Times New Roman"/>
        </w:rPr>
        <w:t>Nosiglia</w:t>
      </w:r>
      <w:proofErr w:type="spellEnd"/>
      <w:r>
        <w:rPr>
          <w:rFonts w:ascii="Times New Roman" w:eastAsia="Times New Roman" w:hAnsi="Times New Roman" w:cs="Times New Roman"/>
        </w:rPr>
        <w:t xml:space="preserve">, M. C., </w:t>
      </w:r>
      <w:proofErr w:type="spellStart"/>
      <w:r>
        <w:rPr>
          <w:rFonts w:ascii="Times New Roman" w:eastAsia="Times New Roman" w:hAnsi="Times New Roman" w:cs="Times New Roman"/>
        </w:rPr>
        <w:t>Trippano</w:t>
      </w:r>
      <w:proofErr w:type="spellEnd"/>
      <w:r>
        <w:rPr>
          <w:rFonts w:ascii="Times New Roman" w:eastAsia="Times New Roman" w:hAnsi="Times New Roman" w:cs="Times New Roman"/>
        </w:rPr>
        <w:t xml:space="preserve">, S. y Mulle, V. (2018). La gobernabilidad universitaria en Argentina y los nuevos desafíos: el rol de los gremios docentes en la definición de la carrera académica. </w:t>
      </w:r>
      <w:r>
        <w:rPr>
          <w:rFonts w:ascii="Times New Roman" w:eastAsia="Times New Roman" w:hAnsi="Times New Roman" w:cs="Times New Roman"/>
          <w:i/>
          <w:iCs/>
        </w:rPr>
        <w:t>Revista de la Escuela de Ciencias de la Educación, 1</w:t>
      </w:r>
      <w:r>
        <w:rPr>
          <w:rFonts w:ascii="Times New Roman" w:eastAsia="Times New Roman" w:hAnsi="Times New Roman" w:cs="Times New Roman"/>
        </w:rPr>
        <w:t>(13), 41-63.</w:t>
      </w:r>
    </w:p>
    <w:p w14:paraId="08FE52B4"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Rovelli, L. y González, A. L. (2024). Reformas en la evaluación responsable de la investigación Un estudio de tres casos de programas de I+D+i orientados a problemas de desarrollo en Argentina. En L. Rovelli y P. </w:t>
      </w:r>
      <w:proofErr w:type="spellStart"/>
      <w:r>
        <w:rPr>
          <w:rFonts w:ascii="Times New Roman" w:eastAsia="Times New Roman" w:hAnsi="Times New Roman" w:cs="Times New Roman"/>
        </w:rPr>
        <w:t>Vommaro</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Coords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Evaluación académica situada y relevante. Aportes y desafíos en América Latina y el Caribe </w:t>
      </w:r>
      <w:r>
        <w:rPr>
          <w:rFonts w:ascii="Times New Roman" w:eastAsia="Times New Roman" w:hAnsi="Times New Roman" w:cs="Times New Roman"/>
        </w:rPr>
        <w:t xml:space="preserve">(pp. 89-125). CLACSO. </w:t>
      </w:r>
    </w:p>
    <w:p w14:paraId="1FB7755F"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Walker, V. (2022). Universidad pública y evaluación de la carrera docente/académica: supuestos, dilemas y desafíos. En S. Araujo y L. García (</w:t>
      </w:r>
      <w:proofErr w:type="spellStart"/>
      <w:r>
        <w:rPr>
          <w:rFonts w:ascii="Times New Roman" w:eastAsia="Times New Roman" w:hAnsi="Times New Roman" w:cs="Times New Roman"/>
        </w:rPr>
        <w:t>Orgs</w:t>
      </w:r>
      <w:proofErr w:type="spellEnd"/>
      <w:r>
        <w:rPr>
          <w:rFonts w:ascii="Times New Roman" w:eastAsia="Times New Roman" w:hAnsi="Times New Roman" w:cs="Times New Roman"/>
        </w:rPr>
        <w:t xml:space="preserve">.), </w:t>
      </w:r>
      <w:r>
        <w:rPr>
          <w:rFonts w:ascii="Times New Roman" w:eastAsia="Times New Roman" w:hAnsi="Times New Roman" w:cs="Times New Roman"/>
          <w:i/>
          <w:iCs/>
        </w:rPr>
        <w:t xml:space="preserve">Educación pública: procesos, sujetos y prácticas </w:t>
      </w:r>
      <w:r>
        <w:rPr>
          <w:rFonts w:ascii="Times New Roman" w:eastAsia="Times New Roman" w:hAnsi="Times New Roman" w:cs="Times New Roman"/>
        </w:rPr>
        <w:t>(pp. 301-329). Universidad Nacional del Centro de la Provincia.</w:t>
      </w:r>
    </w:p>
    <w:p w14:paraId="5C1E76E8" w14:textId="77777777" w:rsidR="00642E31" w:rsidRDefault="00000000">
      <w:pPr>
        <w:spacing w:after="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lastRenderedPageBreak/>
        <w:t xml:space="preserve">Walker, V. (2023). Configuraciones del trabajo docente universitario en Argentina:  tendencias de largo plazo y cambios recientes. </w:t>
      </w:r>
      <w:r>
        <w:rPr>
          <w:rFonts w:ascii="Times New Roman" w:eastAsia="Times New Roman" w:hAnsi="Times New Roman" w:cs="Times New Roman"/>
          <w:i/>
          <w:iCs/>
        </w:rPr>
        <w:t>Pensamiento Universitario</w:t>
      </w:r>
      <w:r>
        <w:rPr>
          <w:rFonts w:ascii="Times New Roman" w:eastAsia="Times New Roman" w:hAnsi="Times New Roman" w:cs="Times New Roman"/>
        </w:rPr>
        <w:t>, (21), 23-37.</w:t>
      </w:r>
    </w:p>
    <w:sectPr w:rsidR="00642E31">
      <w:headerReference w:type="default" r:id="rId7"/>
      <w:footerReference w:type="default" r:id="rId8"/>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A955" w14:textId="77777777" w:rsidR="00F74953" w:rsidRDefault="00F74953">
      <w:pPr>
        <w:spacing w:after="0" w:line="240" w:lineRule="auto"/>
      </w:pPr>
      <w:r>
        <w:separator/>
      </w:r>
    </w:p>
  </w:endnote>
  <w:endnote w:type="continuationSeparator" w:id="0">
    <w:p w14:paraId="7CFFE75F" w14:textId="77777777" w:rsidR="00F74953" w:rsidRDefault="00F74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574098B-D0F6-4085-A777-8BB9728A19AA}"/>
    <w:embedBold r:id="rId2" w:fontKey="{A38ED3E8-8071-4885-8494-B45836307A30}"/>
    <w:embedItalic r:id="rId3" w:fontKey="{B0523EE3-0A0A-42DB-BC10-CA45B9FC8D7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83AC09AB-50D5-4812-950B-6A6AA5B6E2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CF70A" w14:textId="77777777" w:rsidR="00642E31"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2922FA04" wp14:editId="3DDE4777">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5B8E239B" w14:textId="77777777" w:rsidR="00642E31" w:rsidRDefault="00642E3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A34C1" w14:textId="77777777" w:rsidR="00F74953" w:rsidRDefault="00F74953">
      <w:pPr>
        <w:spacing w:after="0" w:line="240" w:lineRule="auto"/>
      </w:pPr>
      <w:r>
        <w:separator/>
      </w:r>
    </w:p>
  </w:footnote>
  <w:footnote w:type="continuationSeparator" w:id="0">
    <w:p w14:paraId="649C5FAE" w14:textId="77777777" w:rsidR="00F74953" w:rsidRDefault="00F74953">
      <w:pPr>
        <w:spacing w:after="0" w:line="240" w:lineRule="auto"/>
      </w:pPr>
      <w:r>
        <w:continuationSeparator/>
      </w:r>
    </w:p>
  </w:footnote>
  <w:footnote w:id="1">
    <w:p w14:paraId="13687C2C" w14:textId="77777777" w:rsidR="00642E3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Que corresponden a la Universidad Nacional de Quilmes (UNQ), Universidad Nacional de La Pampa (</w:t>
      </w:r>
      <w:proofErr w:type="spellStart"/>
      <w:r>
        <w:rPr>
          <w:rFonts w:ascii="Times New Roman" w:eastAsia="Times New Roman" w:hAnsi="Times New Roman" w:cs="Times New Roman"/>
          <w:color w:val="000000"/>
          <w:sz w:val="20"/>
          <w:szCs w:val="20"/>
        </w:rPr>
        <w:t>UNLPam</w:t>
      </w:r>
      <w:proofErr w:type="spellEnd"/>
      <w:r>
        <w:rPr>
          <w:rFonts w:ascii="Times New Roman" w:eastAsia="Times New Roman" w:hAnsi="Times New Roman" w:cs="Times New Roman"/>
          <w:color w:val="000000"/>
          <w:sz w:val="20"/>
          <w:szCs w:val="20"/>
        </w:rPr>
        <w:t>), Universidad Nacional de San Luis (UNSL), Universidad Nacional de Misiones (</w:t>
      </w:r>
      <w:proofErr w:type="spellStart"/>
      <w:r>
        <w:rPr>
          <w:rFonts w:ascii="Times New Roman" w:eastAsia="Times New Roman" w:hAnsi="Times New Roman" w:cs="Times New Roman"/>
          <w:color w:val="000000"/>
          <w:sz w:val="20"/>
          <w:szCs w:val="20"/>
        </w:rPr>
        <w:t>UNaM</w:t>
      </w:r>
      <w:proofErr w:type="spellEnd"/>
      <w:r>
        <w:rPr>
          <w:rFonts w:ascii="Times New Roman" w:eastAsia="Times New Roman" w:hAnsi="Times New Roman" w:cs="Times New Roman"/>
          <w:color w:val="000000"/>
          <w:sz w:val="20"/>
          <w:szCs w:val="20"/>
        </w:rPr>
        <w:t>), Universidad Nacional del Centro de la Provincia de Buenos Aires (UNICEN), Universidad Nacional de Mar del Plata (UNMDP), Universidad Nacional de Jujuy (</w:t>
      </w:r>
      <w:proofErr w:type="spellStart"/>
      <w:r>
        <w:rPr>
          <w:rFonts w:ascii="Times New Roman" w:eastAsia="Times New Roman" w:hAnsi="Times New Roman" w:cs="Times New Roman"/>
          <w:color w:val="000000"/>
          <w:sz w:val="20"/>
          <w:szCs w:val="20"/>
        </w:rPr>
        <w:t>UNJu</w:t>
      </w:r>
      <w:proofErr w:type="spellEnd"/>
      <w:r>
        <w:rPr>
          <w:rFonts w:ascii="Times New Roman" w:eastAsia="Times New Roman" w:hAnsi="Times New Roman" w:cs="Times New Roman"/>
          <w:color w:val="000000"/>
          <w:sz w:val="20"/>
          <w:szCs w:val="20"/>
        </w:rPr>
        <w:t>), Universidad Nacional de Catamarca (</w:t>
      </w:r>
      <w:proofErr w:type="spellStart"/>
      <w:r>
        <w:rPr>
          <w:rFonts w:ascii="Times New Roman" w:eastAsia="Times New Roman" w:hAnsi="Times New Roman" w:cs="Times New Roman"/>
          <w:color w:val="000000"/>
          <w:sz w:val="20"/>
          <w:szCs w:val="20"/>
        </w:rPr>
        <w:t>UNCa</w:t>
      </w:r>
      <w:proofErr w:type="spellEnd"/>
      <w:r>
        <w:rPr>
          <w:rFonts w:ascii="Times New Roman" w:eastAsia="Times New Roman" w:hAnsi="Times New Roman" w:cs="Times New Roman"/>
          <w:color w:val="000000"/>
          <w:sz w:val="20"/>
          <w:szCs w:val="20"/>
        </w:rPr>
        <w:t>), Universidad Nacional de Rosario (UNR), Universidad Nacional de Córdoba (UNC), Universidad Nacional de Rio Cuarto (UNRC), Universidad Nacional de Villa Mercedes de la Provincia de San Luis (</w:t>
      </w:r>
      <w:proofErr w:type="spellStart"/>
      <w:r>
        <w:rPr>
          <w:rFonts w:ascii="Times New Roman" w:eastAsia="Times New Roman" w:hAnsi="Times New Roman" w:cs="Times New Roman"/>
          <w:color w:val="000000"/>
          <w:sz w:val="20"/>
          <w:szCs w:val="20"/>
        </w:rPr>
        <w:t>UNViMe</w:t>
      </w:r>
      <w:proofErr w:type="spellEnd"/>
      <w:r>
        <w:rPr>
          <w:rFonts w:ascii="Times New Roman" w:eastAsia="Times New Roman" w:hAnsi="Times New Roman" w:cs="Times New Roman"/>
          <w:color w:val="000000"/>
          <w:sz w:val="20"/>
          <w:szCs w:val="20"/>
        </w:rPr>
        <w:t>), Universidad Nacional del Comahue (UNCOMA), Universidad Nacional de General San Martín (UNSM), Universidad Nacional del Sur (UNS), Universidad Nacional de Río Negro (UNRN), Universidad Nacional de Cuyo (</w:t>
      </w:r>
      <w:proofErr w:type="spellStart"/>
      <w:r>
        <w:rPr>
          <w:rFonts w:ascii="Times New Roman" w:eastAsia="Times New Roman" w:hAnsi="Times New Roman" w:cs="Times New Roman"/>
          <w:color w:val="000000"/>
          <w:sz w:val="20"/>
          <w:szCs w:val="20"/>
        </w:rPr>
        <w:t>UNCu</w:t>
      </w:r>
      <w:proofErr w:type="spellEnd"/>
      <w:r>
        <w:rPr>
          <w:rFonts w:ascii="Times New Roman" w:eastAsia="Times New Roman" w:hAnsi="Times New Roman" w:cs="Times New Roman"/>
          <w:color w:val="000000"/>
          <w:sz w:val="20"/>
          <w:szCs w:val="20"/>
        </w:rPr>
        <w:t>), Universidad Nacional de Formosa (UNF),  Universidad Nacional de Moreno (</w:t>
      </w:r>
      <w:proofErr w:type="spellStart"/>
      <w:r>
        <w:rPr>
          <w:rFonts w:ascii="Times New Roman" w:eastAsia="Times New Roman" w:hAnsi="Times New Roman" w:cs="Times New Roman"/>
          <w:color w:val="000000"/>
          <w:sz w:val="20"/>
          <w:szCs w:val="20"/>
        </w:rPr>
        <w:t>UNMo</w:t>
      </w:r>
      <w:proofErr w:type="spellEnd"/>
      <w:r>
        <w:rPr>
          <w:rFonts w:ascii="Times New Roman" w:eastAsia="Times New Roman" w:hAnsi="Times New Roman" w:cs="Times New Roman"/>
          <w:color w:val="000000"/>
          <w:sz w:val="20"/>
          <w:szCs w:val="20"/>
        </w:rPr>
        <w:t>), Universidad Nacional de Luján (UNLu), Universidad Nacional San Juan (UNSJ), Universidad Nacional de Tierra del Fuego, Antártida e Islas del Atlántico Sur (UNTDF), Universidad Nacional de Villa María (UNVM), Universidad Nacional de Entre Ríos (UNER), Universidad Nacional de La Rioja (</w:t>
      </w:r>
      <w:proofErr w:type="spellStart"/>
      <w:r>
        <w:rPr>
          <w:rFonts w:ascii="Times New Roman" w:eastAsia="Times New Roman" w:hAnsi="Times New Roman" w:cs="Times New Roman"/>
          <w:color w:val="000000"/>
          <w:sz w:val="20"/>
          <w:szCs w:val="20"/>
        </w:rPr>
        <w:t>UNLaR</w:t>
      </w:r>
      <w:proofErr w:type="spellEnd"/>
      <w:r>
        <w:rPr>
          <w:rFonts w:ascii="Times New Roman" w:eastAsia="Times New Roman" w:hAnsi="Times New Roman" w:cs="Times New Roman"/>
          <w:color w:val="000000"/>
          <w:sz w:val="20"/>
          <w:szCs w:val="20"/>
        </w:rPr>
        <w:t>), Universidad Nacional de Avellaneda de la Provincia de Buenos Aires (UNDAV), Universidad Nacional Arturo Jauretche (UNAJ), Universidad Nacional de la Patagonia Austral (UNPA), Universidad Nacional del Chaco Austral (</w:t>
      </w:r>
      <w:proofErr w:type="spellStart"/>
      <w:r>
        <w:rPr>
          <w:rFonts w:ascii="Times New Roman" w:eastAsia="Times New Roman" w:hAnsi="Times New Roman" w:cs="Times New Roman"/>
          <w:color w:val="000000"/>
          <w:sz w:val="20"/>
          <w:szCs w:val="20"/>
        </w:rPr>
        <w:t>UNCAus</w:t>
      </w:r>
      <w:proofErr w:type="spellEnd"/>
      <w:r>
        <w:rPr>
          <w:rFonts w:ascii="Times New Roman" w:eastAsia="Times New Roman" w:hAnsi="Times New Roman" w:cs="Times New Roman"/>
          <w:color w:val="000000"/>
          <w:sz w:val="20"/>
          <w:szCs w:val="20"/>
        </w:rPr>
        <w:t>), Universidad Nacional de Santiago del Estero (UNSE), Universidad Nacional del Nordeste (UNNE), Universidad Nacional del Oeste de la Provincia de Buenos Aires (UNO), Universidad Tecnológica Nacional (UTN), Universidad Pedagógica Nacional (UNIPE),  Universidad Nacional de Tucumán (UNT), Universidad Nacional de General Sarmiento (UNGS), Universidad Nacional de Hurlingham (UNAHUR), Universidad Nacional de la Patagonia San Juan Bosco (UNPSJB), Universidad Nacional de José Clemente Paz (UNPAZ), Universidad Nacional de Rafaela (</w:t>
      </w:r>
      <w:proofErr w:type="spellStart"/>
      <w:r>
        <w:rPr>
          <w:rFonts w:ascii="Times New Roman" w:eastAsia="Times New Roman" w:hAnsi="Times New Roman" w:cs="Times New Roman"/>
          <w:color w:val="000000"/>
          <w:sz w:val="20"/>
          <w:szCs w:val="20"/>
        </w:rPr>
        <w:t>UNRaF</w:t>
      </w:r>
      <w:proofErr w:type="spellEnd"/>
      <w:r>
        <w:rPr>
          <w:rFonts w:ascii="Times New Roman" w:eastAsia="Times New Roman" w:hAnsi="Times New Roman" w:cs="Times New Roman"/>
          <w:color w:val="000000"/>
          <w:sz w:val="20"/>
          <w:szCs w:val="20"/>
        </w:rPr>
        <w:t>), Universidad Nacional Raúl Scalabrini Ortiz (UNSO) y Universidad Nacional de los Comechingones (UNLC).</w:t>
      </w:r>
    </w:p>
  </w:footnote>
  <w:footnote w:id="2">
    <w:p w14:paraId="2A705297" w14:textId="77777777" w:rsidR="00642E3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 mayor parte de las universidades que no actualizaron sus reglamentos, han sido aquellas que institucionalizaron estos dispositivos luego del 2015. A excepción de la Universidad Nacional del Comahue (1997), Universidad Nacional de San Luis (1997), Universidad Nacional de Formosa (2005) y Universidad Nacional de Villa Mercedes (2012).</w:t>
      </w:r>
    </w:p>
  </w:footnote>
  <w:footnote w:id="3">
    <w:p w14:paraId="321D43F2" w14:textId="77777777" w:rsidR="00642E3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trata de investigaciones realizadas en el marco del Proyecto de investigación de ingreso a carrera de investigador CONICET y Programa de Formación Posdoctoral FHCE-UNLP "Formación y evaluación del trabajo docente universitario: políticas y dispositivos institucionales en las universidades nacionales argentinas", del Proyecto Doctoral CONICET “La evaluación del trabajo docente universitario: tendencias y cambios en los regímenes de carrera docente/académica de las universidades nacionales argentinas” y del Proyecto Grupal de Investigación UNS “Evaluación, formación y condiciones del trabajo docente universitario: tendencias de largo plazo y cambios recientes”.</w:t>
      </w:r>
    </w:p>
  </w:footnote>
  <w:footnote w:id="4">
    <w:p w14:paraId="27C473A2" w14:textId="77777777" w:rsidR="00642E3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Salamon (1989; 2001; 2002), Linder y Peters (1989), </w:t>
      </w:r>
      <w:proofErr w:type="spellStart"/>
      <w:r>
        <w:rPr>
          <w:rFonts w:ascii="Times New Roman" w:eastAsia="Times New Roman" w:hAnsi="Times New Roman" w:cs="Times New Roman"/>
          <w:color w:val="000000"/>
          <w:sz w:val="20"/>
          <w:szCs w:val="20"/>
        </w:rPr>
        <w:t>Schaffrin</w:t>
      </w:r>
      <w:proofErr w:type="spellEnd"/>
      <w:r>
        <w:rPr>
          <w:rFonts w:ascii="Times New Roman" w:eastAsia="Times New Roman" w:hAnsi="Times New Roman" w:cs="Times New Roman"/>
          <w:color w:val="000000"/>
          <w:sz w:val="20"/>
          <w:szCs w:val="20"/>
        </w:rPr>
        <w:t xml:space="preserve"> et al. (2014), Capano y Toth (2023), Ostrom (2005; 2010)</w:t>
      </w:r>
    </w:p>
  </w:footnote>
  <w:footnote w:id="5">
    <w:p w14:paraId="3694C3BA" w14:textId="77777777" w:rsidR="00642E31"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En su última reglamentación, del año 2025, el Capítulo V: De la evaluación queda suspendido por aplicación de la Ordenanza 171-CS-UNPA que adhiere al CCT-DOCENTE y por lo tanto requiere adecuarlo al Capítulo III, Artículo 12 del mismo.</w:t>
      </w:r>
    </w:p>
  </w:footnote>
  <w:footnote w:id="6">
    <w:p w14:paraId="0425810E" w14:textId="77777777" w:rsidR="00642E3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Fontaine (2015), retomando los aportes de Kingdon (1995) y Sabatier (1986).</w:t>
      </w:r>
    </w:p>
  </w:footnote>
  <w:footnote w:id="7">
    <w:p w14:paraId="2DD49854" w14:textId="77777777" w:rsidR="00642E31"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Los que se reconsideraron refieren a la posibilidad de justificar en caso de no presentar la documentación respaldatoria (antes de que se declare negativa la evaluación) y el plazo de 4 años para realizar la nueva evaluación por resultar ‘inviable materialmente’ (en un comienzo se planteó 12 meses y ante lo solicitado por el gremio, se resolvió otorgar un plazo de 3 años). Y los que rechazaron se vinculan con la solicitud de participación del veedor en el dictamen de la Comisión Evaluadora, con que el dictamen sea explícito, con determinación concreta del criterio evaluativo, argumentación conforme con el cargo y condiciones de trabajo y, que en caso de prosperar una impugnación del dictamen de la comisión evaluadora se considere positiva la evaluación, en lugar de conformar un nuevo órgano evaluador. Asimismo, se rechazaron aquellos artículos que impugnaban la inclusión de estudiantes en la Comisión Evaluadora, el sistema de notificación vía correo electrónico y la </w:t>
      </w:r>
      <w:proofErr w:type="spellStart"/>
      <w:r>
        <w:rPr>
          <w:rFonts w:ascii="Times New Roman" w:eastAsia="Times New Roman" w:hAnsi="Times New Roman" w:cs="Times New Roman"/>
          <w:color w:val="000000"/>
          <w:sz w:val="20"/>
          <w:szCs w:val="20"/>
        </w:rPr>
        <w:t>irrecurribilidad</w:t>
      </w:r>
      <w:proofErr w:type="spellEnd"/>
      <w:r>
        <w:rPr>
          <w:rFonts w:ascii="Times New Roman" w:eastAsia="Times New Roman" w:hAnsi="Times New Roman" w:cs="Times New Roman"/>
          <w:color w:val="000000"/>
          <w:sz w:val="20"/>
          <w:szCs w:val="20"/>
        </w:rPr>
        <w:t xml:space="preserve"> de decisiones que resuelvan planteos de recusación y la falta de contemplación de recusación.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9E46" w14:textId="77777777" w:rsidR="00642E31"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45E472FF" wp14:editId="681C84E3">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E31"/>
    <w:rsid w:val="002819D9"/>
    <w:rsid w:val="00642E31"/>
    <w:rsid w:val="00F14E8F"/>
    <w:rsid w:val="00F36090"/>
    <w:rsid w:val="00F749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CFCC6"/>
  <w15:docId w15:val="{8F3542FF-9542-4566-83E8-1C3D6E63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Revisin">
    <w:name w:val="Revision"/>
    <w:hidden/>
    <w:uiPriority w:val="99"/>
    <w:semiHidden/>
    <w:rsid w:val="00F360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rLZKykNOEjh1A9d5LKiAxu8w2A==">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17</Pages>
  <Words>7248</Words>
  <Characters>39864</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Usuario</cp:lastModifiedBy>
  <cp:revision>2</cp:revision>
  <dcterms:created xsi:type="dcterms:W3CDTF">2026-06-30T14:22:00Z</dcterms:created>
  <dcterms:modified xsi:type="dcterms:W3CDTF">2026-06-30T15:49:00Z</dcterms:modified>
</cp:coreProperties>
</file>