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Expectativas y elecciones sobre el nivel superior en estudiantes repitentes de la provincia de Buenos Aires </w:t>
      </w:r>
    </w:p>
    <w:p w:rsidR="00000000" w:rsidDel="00000000" w:rsidP="00000000" w:rsidRDefault="00000000" w:rsidRPr="00000000" w14:paraId="00000003">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Massigoge, Josefina</w:t>
      </w:r>
    </w:p>
    <w:p w:rsidR="00000000" w:rsidDel="00000000" w:rsidP="00000000" w:rsidRDefault="00000000" w:rsidRPr="00000000" w14:paraId="00000005">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GESDES - CInvEduc - IdIHCS (UNLP/CONICET)</w:t>
      </w:r>
    </w:p>
    <w:p w:rsidR="00000000" w:rsidDel="00000000" w:rsidP="00000000" w:rsidRDefault="00000000" w:rsidRPr="00000000" w14:paraId="00000006">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josefinamassigoge@gmail.com</w:t>
      </w:r>
    </w:p>
    <w:p w:rsidR="00000000" w:rsidDel="00000000" w:rsidP="00000000" w:rsidRDefault="00000000" w:rsidRPr="00000000" w14:paraId="00000007">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Burgos García, Anaclara</w:t>
      </w:r>
    </w:p>
    <w:p w:rsidR="00000000" w:rsidDel="00000000" w:rsidP="00000000" w:rsidRDefault="00000000" w:rsidRPr="00000000" w14:paraId="00000009">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GESDES - CInvEduc - IdIHCS (UNLP/CONICET)</w:t>
      </w:r>
    </w:p>
    <w:p w:rsidR="00000000" w:rsidDel="00000000" w:rsidP="00000000" w:rsidRDefault="00000000" w:rsidRPr="00000000" w14:paraId="0000000A">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anaclaraburg@gmail.com</w:t>
      </w:r>
    </w:p>
    <w:p w:rsidR="00000000" w:rsidDel="00000000" w:rsidP="00000000" w:rsidRDefault="00000000" w:rsidRPr="00000000" w14:paraId="0000000B">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tabs>
          <w:tab w:val="center" w:leader="none" w:pos="4252"/>
          <w:tab w:val="right" w:leader="none" w:pos="8504"/>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 xml:space="preserve">Belloso Gonzalez, Juan Tomás</w:t>
      </w:r>
    </w:p>
    <w:p w:rsidR="00000000" w:rsidDel="00000000" w:rsidP="00000000" w:rsidRDefault="00000000" w:rsidRPr="00000000" w14:paraId="0000000D">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GESDES - CInvEduc - IdIHCS (UNLP/CONICET)</w:t>
      </w:r>
    </w:p>
    <w:p w:rsidR="00000000" w:rsidDel="00000000" w:rsidP="00000000" w:rsidRDefault="00000000" w:rsidRPr="00000000" w14:paraId="0000000E">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juanbelloso97@gmail.com</w:t>
      </w:r>
    </w:p>
    <w:p w:rsidR="00000000" w:rsidDel="00000000" w:rsidP="00000000" w:rsidRDefault="00000000" w:rsidRPr="00000000" w14:paraId="0000000F">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Resumen: </w:t>
      </w:r>
      <w:r w:rsidDel="00000000" w:rsidR="00000000" w:rsidRPr="00000000">
        <w:rPr>
          <w:rFonts w:ascii="Times New Roman" w:cs="Times New Roman" w:eastAsia="Times New Roman" w:hAnsi="Times New Roman"/>
          <w:rtl w:val="0"/>
        </w:rPr>
        <w:t xml:space="preserve">Esta ponencia tiene como objetivo analizar las expectativas y elecciones sobre el nivel superior por parte de estudiantes de escuelas secundarias repitentes en la provincia de Buenos Aires, Argentina. Los hallazgos surgen de una investigación enmarcada en el Proyecto de Investigación Científica y Tecnológica “Escuela secundaria y nivel superior en clave institucional. Estudio longitudinal de las trayectorias estudiantiles y de las políticas de articulación internivel en provincia de Buenos Aires en la pospandemia”, realizado por el Grupo de Estudios sobre Desigualdades Educativas y Sociales (GESDES-IdIHCS-UNLP). El trabajo de campo consistió en una encuesta realizada a 6507 estudiantes del último año del nivel secundario de la provincia de Buenos Aires durante 2024. Comprendió a 373 escuelas de gestión estatal y privada de 12 de las 25 regiones educativas del sistema educativo provincial. El cuestionario constó de 83 preguntas cerradas y de opciones múltiples, y se estructuró en 9 bloques temáticos: expectativas a futuro, relación con el saber, tecnología, percepción de justicia, régimen académico bonaerense y elección de carreras vinculadas a tecnología. </w:t>
      </w:r>
      <w:r w:rsidDel="00000000" w:rsidR="00000000" w:rsidRPr="00000000">
        <w:rPr>
          <w:rFonts w:ascii="Times New Roman" w:cs="Times New Roman" w:eastAsia="Times New Roman" w:hAnsi="Times New Roman"/>
          <w:rtl w:val="0"/>
        </w:rPr>
        <w:t xml:space="preserve">Para este trabajo, centraremos el análisis en las expectativas y elecciones de quienes han repetido uno o más cursos, contrastándolas sistemáticamente con las de quienes nunca repitieron.</w:t>
      </w:r>
      <w:r w:rsidDel="00000000" w:rsidR="00000000" w:rsidRPr="00000000">
        <w:rPr>
          <w:rFonts w:ascii="Times New Roman" w:cs="Times New Roman" w:eastAsia="Times New Roman" w:hAnsi="Times New Roman"/>
          <w:rtl w:val="0"/>
        </w:rPr>
        <w:t xml:space="preserve"> En Argentina, el desgranamiento (repitencia+abandono) es una de las principales problemáticas que atraviesan al nivel secundario (Di Piero, 2018). Algunos estudios revelan que las y los estudiantes repitentes, con sobreedad o trayectorias interrumpidas tienden a no terminar sus estudios (Beraldi, 2023). Al respecto, es necesario remarcar que tanto la repitencia como el abandono escolar no tienen efectos homogéneos sobre la población, sino que factores como la clase social, el género y el sector de gestión de la escuela influyen (Blanco-Varela y Amoedo, 2025).</w:t>
      </w:r>
    </w:p>
    <w:p w:rsidR="00000000" w:rsidDel="00000000" w:rsidP="00000000" w:rsidRDefault="00000000" w:rsidRPr="00000000" w14:paraId="00000011">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Palabras clave: </w:t>
      </w:r>
      <w:r w:rsidDel="00000000" w:rsidR="00000000" w:rsidRPr="00000000">
        <w:rPr>
          <w:rFonts w:ascii="Times New Roman" w:cs="Times New Roman" w:eastAsia="Times New Roman" w:hAnsi="Times New Roman"/>
          <w:rtl w:val="0"/>
        </w:rPr>
        <w:t xml:space="preserve">Repitentes, Expectativas, Elecciones, Transiciones interniveles. </w:t>
      </w:r>
      <w:r w:rsidDel="00000000" w:rsidR="00000000" w:rsidRPr="00000000">
        <w:rPr>
          <w:rtl w:val="0"/>
        </w:rPr>
      </w:r>
    </w:p>
    <w:p w:rsidR="00000000" w:rsidDel="00000000" w:rsidP="00000000" w:rsidRDefault="00000000" w:rsidRPr="00000000" w14:paraId="00000012">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Introducción</w:t>
      </w:r>
    </w:p>
    <w:p w:rsidR="00000000" w:rsidDel="00000000" w:rsidP="00000000" w:rsidRDefault="00000000" w:rsidRPr="00000000" w14:paraId="00000013">
      <w:pPr>
        <w:shd w:fill="ffffff" w:val="clea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acuerdo con la UNESCO (2012), la repitencia escolar sucede cuando una o un estudiante no promueve al siguiente curso, ya sea por inasistencias o por no haber alcanzado las calificaciones necesarias. Como señalan Blanco-Varela y Amoedo (2025), existe un relativo consenso acerca de que la repitencia es un fenómeno multicausal; en esta misma línea, ya en 2010, Del Valle señalaba que el contexto familiar, institucional y personal son factores influyentes. </w:t>
      </w:r>
    </w:p>
    <w:p w:rsidR="00000000" w:rsidDel="00000000" w:rsidP="00000000" w:rsidRDefault="00000000" w:rsidRPr="00000000" w14:paraId="00000014">
      <w:pPr>
        <w:shd w:fill="ffffff" w:val="clea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repitencia es entendida como un factor de riesgo en las trayectorias educativas y, muchas veces, como antesala del abandono. De cada 10 jóvenes que no terminan la escuela secundaria, 2 abandonaron incluso antes de ingresar pero los 80 restantes abandonaron en algún tramo del recorrido (Scasso, 2024). </w:t>
      </w:r>
    </w:p>
    <w:p w:rsidR="00000000" w:rsidDel="00000000" w:rsidP="00000000" w:rsidRDefault="00000000" w:rsidRPr="00000000" w14:paraId="00000015">
      <w:pPr>
        <w:shd w:fill="ffffff" w:val="clea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Indagaciones han mostrado que repetir genera consecuencias negativas a nivel socioemocional, que afectan la motivación académica, las expectativas e incluso la autoestima y la autopercepción del o la estudiante que ha repetido (Tosoni et- al, 2007; Villalobos y Béjares, 2017).  En línea con estos estudios, buscamos indagar sobre si el hecho de haber repetido afecta las expectativas de continuar los estudios en el nivel superior una vez culminados los estudios secundarios. </w:t>
      </w:r>
    </w:p>
    <w:p w:rsidR="00000000" w:rsidDel="00000000" w:rsidP="00000000" w:rsidRDefault="00000000" w:rsidRPr="00000000" w14:paraId="00000016">
      <w:pPr>
        <w:shd w:fill="ffffff" w:val="clea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esta manera, partimos de reconstruir algunas líneas teóricas acerca de las expectativas y elecciones. En un breve apartado metodológico retomamos algunas consideraciones acerca de los datos utilizados para la elaboración del trabajo, provenientes de la Encuesta Bonaerense a Estudiantes Secundarios (EBES), creada y desarrollada por el Grupo de Estudios Sobre Desigualdades Educativas y Sociales (GESDES) para luego caracterizar la muestra, reconstruyendo el perfil de las y los estudiantes repitentes que han sido encuestados. En los siguientes dos apartados analizamos primeramente las expectativas y elecciones de las y los estudiantes, dividiendo la muestra entre repitentes y no repitentes en miras a encontrar posibles diferencias y contrastes; luego, observamos la valoración de la universidad en contraste con otras opciones. </w:t>
      </w:r>
      <w:r w:rsidDel="00000000" w:rsidR="00000000" w:rsidRPr="00000000">
        <w:rPr>
          <w:rFonts w:ascii="Times New Roman" w:cs="Times New Roman" w:eastAsia="Times New Roman" w:hAnsi="Times New Roman"/>
          <w:rtl w:val="0"/>
        </w:rPr>
        <w:t xml:space="preserve">Finalizamos este trabajo con la construcción de un modelo de regresión logística binomial bivariado para observar el efecto de la repitencia sobre estas dimensiones</w:t>
      </w:r>
      <w:r w:rsidDel="00000000" w:rsidR="00000000" w:rsidRPr="00000000">
        <w:rPr>
          <w:rFonts w:ascii="Times New Roman" w:cs="Times New Roman" w:eastAsia="Times New Roman" w:hAnsi="Times New Roman"/>
          <w:rtl w:val="0"/>
        </w:rPr>
        <w:t xml:space="preserve">, así como </w:t>
      </w:r>
      <w:r w:rsidDel="00000000" w:rsidR="00000000" w:rsidRPr="00000000">
        <w:rPr>
          <w:rFonts w:ascii="Times New Roman" w:cs="Times New Roman" w:eastAsia="Times New Roman" w:hAnsi="Times New Roman"/>
          <w:rtl w:val="0"/>
        </w:rPr>
        <w:t xml:space="preserve">algunas reflexiones a modo de cierre.</w:t>
      </w:r>
    </w:p>
    <w:p w:rsidR="00000000" w:rsidDel="00000000" w:rsidP="00000000" w:rsidRDefault="00000000" w:rsidRPr="00000000" w14:paraId="00000017">
      <w:pPr>
        <w:shd w:fill="ffffff" w:val="clear"/>
        <w:spacing w:after="0" w:line="240" w:lineRule="auto"/>
        <w:ind w:left="0" w:firstLine="0"/>
        <w:jc w:val="both"/>
        <w:rPr>
          <w:rFonts w:ascii="Arial" w:cs="Arial" w:eastAsia="Arial" w:hAnsi="Arial"/>
          <w:sz w:val="22"/>
          <w:szCs w:val="22"/>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18">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Herramientas teóricas: </w:t>
      </w:r>
      <w:r w:rsidDel="00000000" w:rsidR="00000000" w:rsidRPr="00000000">
        <w:rPr>
          <w:rFonts w:ascii="Times New Roman" w:cs="Times New Roman" w:eastAsia="Times New Roman" w:hAnsi="Times New Roman"/>
          <w:b w:val="1"/>
          <w:bCs w:val="1"/>
          <w:rtl w:val="0"/>
        </w:rPr>
        <w:t xml:space="preserve">expectativas y elecciones</w:t>
      </w:r>
      <w:r w:rsidDel="00000000" w:rsidR="00000000" w:rsidRPr="00000000">
        <w:rPr>
          <w:rtl w:val="0"/>
        </w:rPr>
      </w:r>
    </w:p>
    <w:p w:rsidR="00000000" w:rsidDel="00000000" w:rsidP="00000000" w:rsidRDefault="00000000" w:rsidRPr="00000000" w14:paraId="00000019">
      <w:pPr>
        <w:spacing w:line="240" w:lineRule="auto"/>
        <w:ind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trabajo se sitúa en el campo de estudios sobre la transición interniveles entre la escuela secundaria y el nivel superior. Siguiendo a Marano (2023), se trata de un pasaje complejo en el que convergen la organización, los sentidos y los derroteros de dos niveles diferentes del sistema educativo y lo que diferencia a la transición secundaria- superior del resto es la finalización de un nivel obligatorio y el acceso a uno no obligatorio en el que se pone en juego una elección sobre el futuro. Los primeros momentos de este periodo de transición son situados por la bibliografía en los últimos años de la escuela secundaria, cuando comienzan a ponerse en juego expectativas y elecciones sobre las carreras y las instituciones, para prolongarse hacia el primer año de los estudios superiores (Krichesky, Pogré y Charovsky, 2016; Araujo, 2017). En esta ocasión nos detenemos en las expectativas y las elecciones que atraviesan a las y los estudiantes en el último año de la escuela secundaría.</w:t>
      </w:r>
    </w:p>
    <w:p w:rsidR="00000000" w:rsidDel="00000000" w:rsidP="00000000" w:rsidRDefault="00000000" w:rsidRPr="00000000" w14:paraId="0000001A">
      <w:pPr>
        <w:spacing w:line="240" w:lineRule="auto"/>
        <w:ind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cuanto a las expectativas estudiantiles, Corica (2012) y Di Piero, Garriga Olmo y Marchel (2024a) sostienen que la continuidad de los estudios se encuentran extendidas entre las y los jóvenes, que proyectan acceder al nivel superior independientemente del sector social, el género y la trayectoría escolar. Sin embargo, en los sectores menos favorecidos cobran mayor relevancia los proyectos que combinan estudio con trabajo (Di Piero, Garriga Olmo, Marchel y Massigoge, en prensa). De este modo, aunque las expectativas de continuar estudiando aparecen como un rasgo generalizado, las desigualdades atraviesan este período: tanto la clase social de origen como las prácticas institucionales contribuyen a profundizar procesos de acumulación de ventajas y desventajas (Saraví, 2015) en las decisiones que siguen al egreso (Di Piero, Garriga Olmo y Marchel, 2024b).</w:t>
      </w:r>
    </w:p>
    <w:p w:rsidR="00000000" w:rsidDel="00000000" w:rsidP="00000000" w:rsidRDefault="00000000" w:rsidRPr="00000000" w14:paraId="0000001B">
      <w:pPr>
        <w:spacing w:line="240" w:lineRule="auto"/>
        <w:ind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Dávila León y Ghiardo Soto (2005), en un trabajo sobre trayectorias y transiciones en Chile, señalan la relevancia de las expectativas en la juventud, etapa socialmente definida como de toma de decisión sobre sus trayectorias educativas y laborales: “la juventud [...] se impone como la etapa en que se debe definir el futuro, en que los sueños de la infancia se vienen encima, se vuelven problemas del presente” (p. 117). Sin embargo, esas proyecciones no se limitan a un proceso personal e íntimo ni surgen del vacío inconexo con la realidad, sino que nacen de las condiciones sociales, de las experiencias familiares y de las trayectorias escolares que delimitan los horizontes de posibilidad y definen los futuros deseables y alcanzables.</w:t>
      </w:r>
    </w:p>
    <w:p w:rsidR="00000000" w:rsidDel="00000000" w:rsidP="00000000" w:rsidRDefault="00000000" w:rsidRPr="00000000" w14:paraId="0000001C">
      <w:pPr>
        <w:spacing w:line="240" w:lineRule="auto"/>
        <w:ind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esa misma línea, Corica (2012) sostiene que las expectativas se construyen a partir de experiencias previas y de conocimientos socialmente elaborados sobre las oportunidades disponibles. Por lo tanto, el ajuste entre aspiraciones y expectativas, siendo estas últimas las que son consideradas “posibles” dentro de su horizonte de oportunidades, se encuentra condicionado por los recursos materiales y simbólicos disponibles, así como por la familia, las instituciones escolares y el territorio. Una vez más, las desigualdades se hacen presentes: “el campo de lo posible tiende a ensancharse a medida que uno se eleva en la jerarquía social, sólo una minoría de privilegiados se beneficia de un conjunto de seguridades que conciernen al presente y al porvenir. Por lo tanto, el grado de libertad varía considerablemente según el lugar que ocupen en la estructura social” (2012, p. 116).</w:t>
      </w:r>
    </w:p>
    <w:p w:rsidR="00000000" w:rsidDel="00000000" w:rsidP="00000000" w:rsidRDefault="00000000" w:rsidRPr="00000000" w14:paraId="0000001D">
      <w:pPr>
        <w:spacing w:line="240" w:lineRule="auto"/>
        <w:ind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Ahora bien, para quienes optan por continuar estudiando resta la decisión sobre qué carrera continuar y dónde hacerlo. Tal cómo afirma Santos Sharpe (2024), para abordar las elecciones sobre la inserción en el nivel superior, es preciso considerar las características del sistema educativo que enmarca las decisiones. El sistema de nivel superior en Argentina se caracteriza como “amplio” dado que la modalidad de acceso mayoritaria es el ingreso directo sin cupo, ni examen eliminatorio. Siguiendo la clasificación de Trow (1973), el sistema de educación superior de nuestro país abandonó la etapa de sistema de élite, es decir, cuando abarcaba menos del 15% de tasa de escolarización (Suasnábar y Rovelli, 2016) y adquirió carácter universal dado que la tasa bruta de matriculación es superior al 50% (García de Fanelli y Adrogué, 2019). Actualmente, la oferta de educación superior de nuestro país se encuentra estructurada en dos circuitos paralelos y segmentados de formación que dan lugar a un sistema que se complejiza sin lograr integración y articulación. Por un lado, se encuentra el sistema universitario, conformado por las universidades nacionales y provinciales, y las universidades privadas, y, por el otro, el sistema no universitario (o terciario), con una modalidad predominantemente de formación docente, técnico-profesional y/o mixta entre ambas especialidades (Suasnabar y Rovelli, 2016: 88) </w:t>
      </w:r>
    </w:p>
    <w:p w:rsidR="00000000" w:rsidDel="00000000" w:rsidP="00000000" w:rsidRDefault="00000000" w:rsidRPr="00000000" w14:paraId="0000001E">
      <w:pPr>
        <w:spacing w:line="240" w:lineRule="auto"/>
        <w:ind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Según Carli (2012) la elección de una carrera se encuentra estrechamente vinculada con la producción de identidad, a pesar de que la decisión se encuentra frecuentemente atravesada por la </w:t>
      </w:r>
      <w:r w:rsidDel="00000000" w:rsidR="00000000" w:rsidRPr="00000000">
        <w:rPr>
          <w:rFonts w:ascii="Times New Roman" w:cs="Times New Roman" w:eastAsia="Times New Roman" w:hAnsi="Times New Roman"/>
          <w:i w:val="1"/>
          <w:iCs w:val="1"/>
          <w:rtl w:val="0"/>
        </w:rPr>
        <w:t xml:space="preserve">contingencia </w:t>
      </w:r>
      <w:r w:rsidDel="00000000" w:rsidR="00000000" w:rsidRPr="00000000">
        <w:rPr>
          <w:rFonts w:ascii="Times New Roman" w:cs="Times New Roman" w:eastAsia="Times New Roman" w:hAnsi="Times New Roman"/>
          <w:rtl w:val="0"/>
        </w:rPr>
        <w:t xml:space="preserve">y la incertidumbre propias de una época en el que predomina la falta de certezas sobre el futuro. Sin embargo, esta incertidumbre ha sido identificada como un bien desigualmente distribuido. ya que las decisiones sobre la continuidad en el nivel superior se construyen a partir de diversas mediaciones o soportes que son de distinto tipo y relevancia según el sector social (Núñez, Santos Sharpe y Dallaglio, 2022). </w:t>
      </w:r>
    </w:p>
    <w:p w:rsidR="00000000" w:rsidDel="00000000" w:rsidP="00000000" w:rsidRDefault="00000000" w:rsidRPr="00000000" w14:paraId="0000001F">
      <w:pPr>
        <w:spacing w:line="240" w:lineRule="auto"/>
        <w:ind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sentido, Núñez, Santos Sharpe y Dallaglio (2022) han identificado cuatro tipos de soportes que pueden intervenir: las instituciones educativas, el medio familiar, los referentes adultos o pares y la información proveniente de las redes sociales. Di Piero, Garriga Olmo y Marchel (2024b) le asignan centralidad a los soportes ofrecidos por las instituciones del nivel secundario, señalando que: </w:t>
      </w:r>
    </w:p>
    <w:p w:rsidR="00000000" w:rsidDel="00000000" w:rsidP="00000000" w:rsidRDefault="00000000" w:rsidRPr="00000000" w14:paraId="00000020">
      <w:pPr>
        <w:spacing w:line="24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la escuela puede actuar como un trampolín que amplía las expectativas de origen o como un trompo que las condena a girar en un mismo círculo. Se trata de desigualdades institucionales, [...] escuelas que promueven la continuidad de los estudios tanto al brindar información como al sembrar prácticas que se asemejan a las del nivel superior, y otras escuelas que dejan la elección librada a los recursos individuales extraescolares de cada estudiante. </w:t>
      </w:r>
      <w:r w:rsidDel="00000000" w:rsidR="00000000" w:rsidRPr="00000000">
        <w:rPr>
          <w:rFonts w:ascii="Times New Roman" w:cs="Times New Roman" w:eastAsia="Times New Roman" w:hAnsi="Times New Roman"/>
          <w:rtl w:val="0"/>
        </w:rPr>
        <w:t xml:space="preserve">(2024b, p. 44-45).</w:t>
      </w:r>
      <w:r w:rsidDel="00000000" w:rsidR="00000000" w:rsidRPr="00000000">
        <w:rPr>
          <w:rFonts w:ascii="Times New Roman" w:cs="Times New Roman" w:eastAsia="Times New Roman" w:hAnsi="Times New Roman"/>
          <w:i w:val="1"/>
          <w:iCs w:val="1"/>
          <w:rtl w:val="0"/>
        </w:rPr>
        <w:t xml:space="preserve"> </w:t>
      </w:r>
      <w:r w:rsidDel="00000000" w:rsidR="00000000" w:rsidRPr="00000000">
        <w:rPr>
          <w:rtl w:val="0"/>
        </w:rPr>
      </w:r>
    </w:p>
    <w:p w:rsidR="00000000" w:rsidDel="00000000" w:rsidP="00000000" w:rsidRDefault="00000000" w:rsidRPr="00000000" w14:paraId="00000021">
      <w:pPr>
        <w:spacing w:line="240" w:lineRule="auto"/>
        <w:ind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último, para Troiano, Vidal y Adell (2021), que incorporan aportes de la teoría de la elección racional, la desigualdad en las elecciones se vincula con el riesgo que se le asocia a cada opción disponible. Dependiendo de los recursos disponibles, los estudiantes adoptan estrategias de reducción y compensación del riesgo. El coste que asignado a cada decisión se articula con las preferencias y el contexto social y familiar, lo que incide en la configuración de trayectorias diferenciadas.</w:t>
      </w:r>
      <w:r w:rsidDel="00000000" w:rsidR="00000000" w:rsidRPr="00000000">
        <w:rPr>
          <w:rtl w:val="0"/>
        </w:rPr>
      </w:r>
    </w:p>
    <w:p w:rsidR="00000000" w:rsidDel="00000000" w:rsidP="00000000" w:rsidRDefault="00000000" w:rsidRPr="00000000" w14:paraId="00000022">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Consideraciones metodológicas</w:t>
      </w:r>
      <w:r w:rsidDel="00000000" w:rsidR="00000000" w:rsidRPr="00000000">
        <w:rPr>
          <w:rtl w:val="0"/>
        </w:rPr>
      </w:r>
    </w:p>
    <w:p w:rsidR="00000000" w:rsidDel="00000000" w:rsidP="00000000" w:rsidRDefault="00000000" w:rsidRPr="00000000" w14:paraId="00000024">
      <w:pPr>
        <w:spacing w:line="240" w:lineRule="auto"/>
        <w:ind w:left="0"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trabajo se realizó en base a un proyecto de investigación titulado “Escuela secundaria y nivel superior en clave institucional. Estudio longitudinal de las trayectorias estudiantiles y de las políticas de articulación internivel en provincia de Buenos Aires en la pospandemia” acreditado por la Universidad Nacional de La Plata y por la Agencia Nacional de Promoción Científica y Tecnológica entre los años 2024 y 2027 y radicado en el Grupo de Estudios sobre Desigualdades Educativas y Sociales. </w:t>
      </w:r>
    </w:p>
    <w:p w:rsidR="00000000" w:rsidDel="00000000" w:rsidP="00000000" w:rsidRDefault="00000000" w:rsidRPr="00000000" w14:paraId="00000025">
      <w:pPr>
        <w:spacing w:line="240" w:lineRule="auto"/>
        <w:ind w:left="0"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Tal como Belloso Gonzalez (en prensa) detalla en el primer capítulo del libro Perspectivas estudiantiles. Una exploración cuantitativa sobre cómo piensan el futuro, la educación y las transiciones en tiempos de extrema derecha (Di Piero y Causa, en prensa), la metodología de trabajo es cuantitativa a partir de una encuesta a estudiantes de escuelas estatales y privadas de 57 distritos pertenecientes a 12 regiones educativas de la provincia de Buenos Aires en 2024 cursaron su último año del nivel secundario. El cuestionario, titulado Encuesta Bonaerense a Estudiantes Secundarios (EBES), se implementó entre los meses de septiembre y noviembre de 2024 y llegó a un total de 6507 respuestas en 373 escuelas de gestión estatal y privada. </w:t>
      </w:r>
    </w:p>
    <w:p w:rsidR="00000000" w:rsidDel="00000000" w:rsidP="00000000" w:rsidRDefault="00000000" w:rsidRPr="00000000" w14:paraId="00000026">
      <w:pPr>
        <w:spacing w:line="240" w:lineRule="auto"/>
        <w:ind w:left="0"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Fue enviada en forma de comunicación oficial por parte de la Dirección Provincial de Educación Secundaria (DPESec) de la Dirección General de Cultura y Educación, y se difundió como un cuestionario autoadministrado de Google Forms. De acuerdo con Marradi, Archenti y Piovani (2018), se denomina autoadministrada a aquella encuesta en la que no participa una o un encuestador/a, sino que la persona encuestada recibe el cuestionario y lo completa por su cuenta. Una de las potencialidades de la modalidad autoadministrada reside en la capacidad de difundirla a grandes extensiones territoriales por un menor costo, cuestión de suma relevancia en el caso de la EBES debido a la extensión territorial de la provincia de Buenos Aires. Así también, es necesario retomar la advertencia de que la muestra real del estudio resulta de la autoselección de las y los participantes (Marradi, Archenti y Piovani, 2018).</w:t>
      </w:r>
    </w:p>
    <w:p w:rsidR="00000000" w:rsidDel="00000000" w:rsidP="00000000" w:rsidRDefault="00000000" w:rsidRPr="00000000" w14:paraId="00000027">
      <w:pPr>
        <w:spacing w:line="240" w:lineRule="auto"/>
        <w:ind w:left="0"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trató de una encuesta multietápica. En un primer momento, de manera intencional se seleccionaron 12 regiones educativas de las 25 del sistema bonaerense considerando distintos criterios: como que contaran con universidades correspondientes a diferentes oleadas de creación o bien que no contaran con universidad alguna, que se tratara de regiones con distritos pequeños, medianos y grandes en cuanto a cantidad de población o bien ubicadas en islas. Luego, en una segunda etapa se llevó adelante un muestreo aleatorio sobre las escuelas secundarias de cada una de las regiones.</w:t>
      </w:r>
    </w:p>
    <w:p w:rsidR="00000000" w:rsidDel="00000000" w:rsidP="00000000" w:rsidRDefault="00000000" w:rsidRPr="00000000" w14:paraId="00000028">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Caracterización de la muestra</w:t>
      </w:r>
      <w:r w:rsidDel="00000000" w:rsidR="00000000" w:rsidRPr="00000000">
        <w:rPr>
          <w:rtl w:val="0"/>
        </w:rPr>
      </w:r>
    </w:p>
    <w:p w:rsidR="00000000" w:rsidDel="00000000" w:rsidP="00000000" w:rsidRDefault="00000000" w:rsidRPr="00000000" w14:paraId="0000002A">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esta ponencia se prestará especial atención a los casos de las y los estudiantes que repitieron uno o más cursos, que representan el 11,4% de la muestra total (742 casos sobre 6507). A continuación se describen las principales características sociodemográficas de este grupo y de las escuelas a las que asisten. </w:t>
      </w:r>
    </w:p>
    <w:p w:rsidR="00000000" w:rsidDel="00000000" w:rsidP="00000000" w:rsidRDefault="00000000" w:rsidRPr="00000000" w14:paraId="0000002B">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primer lugar, como puede observarse en la Tabla 1, las y los repitentes asisten mayormente a instituciones de gestión estatal. Esto resulta consistente con lo planteado por Cuartero (2023), las escuelas privadas tienden a registrar menores tasas de repitencia.</w:t>
      </w:r>
    </w:p>
    <w:p w:rsidR="00000000" w:rsidDel="00000000" w:rsidP="00000000" w:rsidRDefault="00000000" w:rsidRPr="00000000" w14:paraId="0000002C">
      <w:pPr>
        <w:spacing w:line="240" w:lineRule="auto"/>
        <w:jc w:val="both"/>
        <w:rPr>
          <w:rFonts w:ascii="Arial" w:cs="Arial" w:eastAsia="Arial" w:hAnsi="Arial"/>
          <w:b w:val="1"/>
          <w:bCs w:val="1"/>
          <w:sz w:val="20"/>
          <w:szCs w:val="20"/>
        </w:rPr>
      </w:pPr>
      <w:r w:rsidDel="00000000" w:rsidR="00000000" w:rsidRPr="00000000">
        <w:rPr>
          <w:rFonts w:ascii="Times New Roman" w:cs="Times New Roman" w:eastAsia="Times New Roman" w:hAnsi="Times New Roman"/>
          <w:b w:val="1"/>
          <w:bCs w:val="1"/>
          <w:rtl w:val="0"/>
        </w:rPr>
        <w:t xml:space="preserve">Tabla 1. Sector de gestión de la escuela de estudiantes repitentes</w:t>
      </w:r>
      <w:r w:rsidDel="00000000" w:rsidR="00000000" w:rsidRPr="00000000">
        <w:rPr>
          <w:rtl w:val="0"/>
        </w:rPr>
      </w:r>
    </w:p>
    <w:sdt>
      <w:sdtPr>
        <w:lock w:val="contentLocked"/>
        <w:id w:val="-511397335"/>
        <w:tag w:val="goog_rdk_0"/>
      </w:sdtPr>
      <w:sdtContent>
        <w:tbl>
          <w:tblPr>
            <w:tblStyle w:val="Table1"/>
            <w:tblW w:w="7823.622047244096"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911.811023622048"/>
            <w:gridCol w:w="3911.811023622048"/>
            <w:tblGridChange w:id="0">
              <w:tblGrid>
                <w:gridCol w:w="3911.811023622048"/>
                <w:gridCol w:w="3911.81102362204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2D">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Sector de gestión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2E">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Estudiantes repitentes (%)</w:t>
                </w:r>
                <w:r w:rsidDel="00000000" w:rsidR="00000000" w:rsidRPr="00000000">
                  <w:rPr>
                    <w:rtl w:val="0"/>
                  </w:rPr>
                </w:r>
              </w:p>
            </w:tc>
          </w:tr>
          <w:tr>
            <w:trPr>
              <w:cantSplit w:val="0"/>
              <w:trHeight w:val="56.69291338582678"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2F">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Estatal</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30">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86,8%</w:t>
                </w:r>
              </w:p>
            </w:tc>
          </w:tr>
          <w:tr>
            <w:trPr>
              <w:cantSplit w:val="0"/>
              <w:trHeight w:val="56.69291338582678" w:hRule="atLeast"/>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31">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Privado</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32">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13,2%</w:t>
                </w:r>
              </w:p>
            </w:tc>
          </w:tr>
          <w:tr>
            <w:trPr>
              <w:cantSplit w:val="0"/>
              <w:trHeight w:val="56.69291338582678" w:hRule="atLeast"/>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33">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34">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r>
        </w:tbl>
      </w:sdtContent>
    </w:sdt>
    <w:p w:rsidR="00000000" w:rsidDel="00000000" w:rsidP="00000000" w:rsidRDefault="00000000" w:rsidRPr="00000000" w14:paraId="0000003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Fuente: elaboración propia en base a EBES-GESDES.</w:t>
      </w:r>
    </w:p>
    <w:p w:rsidR="00000000" w:rsidDel="00000000" w:rsidP="00000000" w:rsidRDefault="00000000" w:rsidRPr="00000000" w14:paraId="00000036">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Mientras tanto, la Tabla 2 muestra que la distribución por género es relativamente equilibrada: los varones cis representan el 49,5% y las mujeres cis el 46,4%, con una leve sobrerrepresentación masculina. </w:t>
      </w:r>
    </w:p>
    <w:p w:rsidR="00000000" w:rsidDel="00000000" w:rsidP="00000000" w:rsidRDefault="00000000" w:rsidRPr="00000000" w14:paraId="00000037">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Tabla 2. Género de estudiantes repitentes </w:t>
      </w:r>
      <w:r w:rsidDel="00000000" w:rsidR="00000000" w:rsidRPr="00000000">
        <w:rPr>
          <w:rtl w:val="0"/>
        </w:rPr>
      </w:r>
    </w:p>
    <w:tbl>
      <w:tblPr>
        <w:tblStyle w:val="Table2"/>
        <w:tblW w:w="84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80"/>
        <w:gridCol w:w="4395"/>
        <w:tblGridChange w:id="0">
          <w:tblGrid>
            <w:gridCol w:w="4080"/>
            <w:gridCol w:w="4395"/>
          </w:tblGrid>
        </w:tblGridChange>
      </w:tblGrid>
      <w:tr>
        <w:trPr>
          <w:cantSplit w:val="0"/>
          <w:trHeight w:val="56.69291338582678" w:hRule="atLeast"/>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38">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Género autopercibido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39">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Estudiantes repitentes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3A">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Mujer cis</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3B">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46,4%</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3C">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Varón cis</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3D">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49,5%</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3E">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Otras identidades de género</w:t>
            </w:r>
            <w:r w:rsidDel="00000000" w:rsidR="00000000" w:rsidRPr="00000000">
              <w:rPr>
                <w:rFonts w:ascii="Times New Roman" w:cs="Times New Roman" w:eastAsia="Times New Roman" w:hAnsi="Times New Roman"/>
                <w:vertAlign w:val="superscript"/>
              </w:rPr>
              <w:footnoteReference w:customMarkFollows="0" w:id="0"/>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3F">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40">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Total</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41">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r>
    </w:tbl>
    <w:p w:rsidR="00000000" w:rsidDel="00000000" w:rsidP="00000000" w:rsidRDefault="00000000" w:rsidRPr="00000000" w14:paraId="0000004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Fuente: elaboración propia en base a EBES-GESDES.</w:t>
      </w:r>
    </w:p>
    <w:p w:rsidR="00000000" w:rsidDel="00000000" w:rsidP="00000000" w:rsidRDefault="00000000" w:rsidRPr="00000000" w14:paraId="00000043">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cuanto al clima educativo del hogar, la Tabla 3 evidencia que las y los estudiantes repitentes provienen mayormente de hogares de clima educativo medio, seguidos por el clima educativo bajo. En vistas de ello, un 76,6% de las y los estudiantes repitentes provienen de familias en las que la escuela secundaria completada es el máximo nivel alcanzado.</w:t>
      </w:r>
    </w:p>
    <w:p w:rsidR="00000000" w:rsidDel="00000000" w:rsidP="00000000" w:rsidRDefault="00000000" w:rsidRPr="00000000" w14:paraId="00000044">
      <w:pPr>
        <w:spacing w:line="240" w:lineRule="auto"/>
        <w:jc w:val="both"/>
        <w:rPr>
          <w:rFonts w:ascii="Arial" w:cs="Arial" w:eastAsia="Arial" w:hAnsi="Arial"/>
          <w:b w:val="1"/>
          <w:bCs w:val="1"/>
          <w:sz w:val="20"/>
          <w:szCs w:val="20"/>
        </w:rPr>
      </w:pPr>
      <w:r w:rsidDel="00000000" w:rsidR="00000000" w:rsidRPr="00000000">
        <w:rPr>
          <w:rFonts w:ascii="Times New Roman" w:cs="Times New Roman" w:eastAsia="Times New Roman" w:hAnsi="Times New Roman"/>
          <w:b w:val="1"/>
          <w:bCs w:val="1"/>
          <w:rtl w:val="0"/>
        </w:rPr>
        <w:t xml:space="preserve">Tabla 3. Clima educativo del hogar de estudiantes repitentes </w:t>
      </w:r>
      <w:r w:rsidDel="00000000" w:rsidR="00000000" w:rsidRPr="00000000">
        <w:rPr>
          <w:rtl w:val="0"/>
        </w:rPr>
      </w:r>
    </w:p>
    <w:sdt>
      <w:sdtPr>
        <w:lock w:val="contentLocked"/>
        <w:id w:val="-516567209"/>
        <w:tag w:val="goog_rdk_1"/>
      </w:sdtPr>
      <w:sdtContent>
        <w:tbl>
          <w:tblPr>
            <w:tblStyle w:val="Table3"/>
            <w:tblW w:w="84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22.5"/>
            <w:gridCol w:w="4222.5"/>
            <w:tblGridChange w:id="0">
              <w:tblGrid>
                <w:gridCol w:w="4222.5"/>
                <w:gridCol w:w="4222.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45">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Clima educativo del hogar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46">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Estudiantes repitentes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47">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Alto</w:t>
                </w:r>
              </w:p>
            </w:tc>
            <w:tc>
              <w:tcPr>
                <w:tcBorders>
                  <w:top w:color="000000" w:space="0" w:sz="4" w:val="single"/>
                  <w:left w:color="000000" w:space="0" w:sz="4" w:val="single"/>
                  <w:bottom w:color="000000" w:space="0" w:sz="4" w:val="single"/>
                  <w:right w:color="000000" w:space="0" w:sz="4" w:val="single"/>
                </w:tcBorders>
                <w:shd w:fill="ffffff"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48">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13,5%</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49">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Medio</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4A">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48,8%</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4B">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Bajo</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4C">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27,8%</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4D">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convivo con esa persona</w:t>
                </w:r>
                <w:r w:rsidDel="00000000" w:rsidR="00000000" w:rsidRPr="00000000">
                  <w:rPr>
                    <w:rFonts w:ascii="Times New Roman" w:cs="Times New Roman" w:eastAsia="Times New Roman" w:hAnsi="Times New Roman"/>
                    <w:vertAlign w:val="superscript"/>
                  </w:rPr>
                  <w:footnoteReference w:customMarkFollows="0" w:id="1"/>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4E">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4F">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sé</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50">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6,7%</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51">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Total</w:t>
                </w:r>
              </w:p>
            </w:tc>
            <w:tc>
              <w:tcPr>
                <w:tcBorders>
                  <w:top w:color="000000" w:space="0" w:sz="4" w:val="single"/>
                  <w:left w:color="000000" w:space="0" w:sz="4" w:val="single"/>
                  <w:bottom w:color="000000" w:space="0" w:sz="4" w:val="single"/>
                  <w:right w:color="000000" w:space="0" w:sz="4" w:val="single"/>
                </w:tcBorders>
                <w:shd w:fill="ffffff"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52">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r>
        </w:tbl>
      </w:sdtContent>
    </w:sdt>
    <w:p w:rsidR="00000000" w:rsidDel="00000000" w:rsidP="00000000" w:rsidRDefault="00000000" w:rsidRPr="00000000" w14:paraId="0000005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Fuente: elaboración propia en base a EBES-GESDES.</w:t>
      </w:r>
    </w:p>
    <w:p w:rsidR="00000000" w:rsidDel="00000000" w:rsidP="00000000" w:rsidRDefault="00000000" w:rsidRPr="00000000" w14:paraId="00000054">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Sobre la situación laboral de las y los estudiantes repitentes, la Tabla 4 muestra una presencia significativa de experiencias laborales a lo largo de sus trayectorias. Aunque quienes nunca trabajaron representan un porcentaje representativo (37,3%), la mayoría participa o participó del mercado de trabajo. El 23% se encontraba trabajando al momento de la encuesta, el 20,8% realizaba trabajos eventuales y el 18,9% había trabajado durante el año. Así, casi dos tercios (62,7%) cuenta con alguna experiencia laboral.</w:t>
      </w:r>
    </w:p>
    <w:p w:rsidR="00000000" w:rsidDel="00000000" w:rsidP="00000000" w:rsidRDefault="00000000" w:rsidRPr="00000000" w14:paraId="00000055">
      <w:pPr>
        <w:spacing w:line="240" w:lineRule="auto"/>
        <w:jc w:val="both"/>
        <w:rPr>
          <w:rFonts w:ascii="Arial" w:cs="Arial" w:eastAsia="Arial" w:hAnsi="Arial"/>
          <w:b w:val="1"/>
          <w:bCs w:val="1"/>
          <w:sz w:val="20"/>
          <w:szCs w:val="20"/>
        </w:rPr>
      </w:pPr>
      <w:r w:rsidDel="00000000" w:rsidR="00000000" w:rsidRPr="00000000">
        <w:rPr>
          <w:rFonts w:ascii="Times New Roman" w:cs="Times New Roman" w:eastAsia="Times New Roman" w:hAnsi="Times New Roman"/>
          <w:b w:val="1"/>
          <w:bCs w:val="1"/>
          <w:rtl w:val="0"/>
        </w:rPr>
        <w:t xml:space="preserve">Tabla 4. Situación laboral de estudiantes repitentes </w:t>
      </w:r>
      <w:r w:rsidDel="00000000" w:rsidR="00000000" w:rsidRPr="00000000">
        <w:rPr>
          <w:rtl w:val="0"/>
        </w:rPr>
      </w:r>
    </w:p>
    <w:sdt>
      <w:sdtPr>
        <w:lock w:val="contentLocked"/>
        <w:id w:val="-506376319"/>
        <w:tag w:val="goog_rdk_2"/>
      </w:sdtPr>
      <w:sdtContent>
        <w:tbl>
          <w:tblPr>
            <w:tblStyle w:val="Table4"/>
            <w:tblW w:w="8419.999999999998"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60"/>
            <w:gridCol w:w="4159.999999999999"/>
            <w:tblGridChange w:id="0">
              <w:tblGrid>
                <w:gridCol w:w="4260"/>
                <w:gridCol w:w="4159.999999999999"/>
              </w:tblGrid>
            </w:tblGridChange>
          </w:tblGrid>
          <w:tr>
            <w:trPr>
              <w:cantSplit w:val="0"/>
              <w:tblHeader w:val="0"/>
            </w:trPr>
            <w:tc>
              <w:tcPr>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56">
                <w:pPr>
                  <w:widowControl w:val="0"/>
                  <w:spacing w:after="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Situación laboral</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57">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Estudiantes repitentes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58">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trabajo ahora</w:t>
                </w:r>
              </w:p>
            </w:tc>
            <w:tc>
              <w:tcPr>
                <w:tcBorders>
                  <w:top w:color="000000" w:space="0" w:sz="4" w:val="single"/>
                  <w:left w:color="000000" w:space="0" w:sz="4" w:val="single"/>
                  <w:bottom w:color="000000" w:space="0" w:sz="4" w:val="single"/>
                  <w:right w:color="000000" w:space="0" w:sz="4" w:val="single"/>
                </w:tcBorders>
                <w:shd w:fill="ffffff"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59">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23,0%</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5A">
                <w:pPr>
                  <w:spacing w:after="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No, pero trabajé en este año</w:t>
                </w:r>
                <w:r w:rsidDel="00000000" w:rsidR="00000000" w:rsidRPr="00000000">
                  <w:rPr>
                    <w:rtl w:val="0"/>
                  </w:rPr>
                </w:r>
              </w:p>
            </w:tc>
            <w:tc>
              <w:tcPr>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5B">
                <w:pPr>
                  <w:spacing w:after="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18,9%</w:t>
                </w:r>
                <w:r w:rsidDel="00000000" w:rsidR="00000000" w:rsidRPr="00000000">
                  <w:rPr>
                    <w:rtl w:val="0"/>
                  </w:rPr>
                </w:r>
              </w:p>
            </w:tc>
          </w:tr>
          <w:tr>
            <w:trPr>
              <w:cantSplit w:val="0"/>
              <w:tblHeader w:val="0"/>
            </w:trPr>
            <w:tc>
              <w:tcPr>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5C">
                <w:pPr>
                  <w:spacing w:after="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No, pero trabajo eventualmente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5D">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20,8%</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5E">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Nunca trabajé</w:t>
                </w:r>
              </w:p>
            </w:tc>
            <w:tc>
              <w:tcPr>
                <w:tcBorders>
                  <w:top w:color="000000" w:space="0" w:sz="4" w:val="single"/>
                  <w:left w:color="000000" w:space="0" w:sz="4" w:val="single"/>
                  <w:bottom w:color="000000" w:space="0" w:sz="4" w:val="single"/>
                  <w:right w:color="000000" w:space="0" w:sz="4" w:val="single"/>
                </w:tcBorders>
                <w:shd w:fill="ffffff"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5F">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37,3%</w:t>
                </w:r>
              </w:p>
            </w:tc>
          </w:tr>
          <w:tr>
            <w:trPr>
              <w:cantSplit w:val="0"/>
              <w:tblHeader w:val="0"/>
            </w:trPr>
            <w:tc>
              <w:tcPr>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60">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w:t>
                </w:r>
              </w:p>
            </w:tc>
            <w:tc>
              <w:tcPr>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61">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r>
        </w:tbl>
      </w:sdtContent>
    </w:sdt>
    <w:p w:rsidR="00000000" w:rsidDel="00000000" w:rsidP="00000000" w:rsidRDefault="00000000" w:rsidRPr="00000000" w14:paraId="0000006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Fuente: elaboración propia en base a EBES-GESDES.</w:t>
      </w:r>
    </w:p>
    <w:p w:rsidR="00000000" w:rsidDel="00000000" w:rsidP="00000000" w:rsidRDefault="00000000" w:rsidRPr="00000000" w14:paraId="00000063">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Estas últimas dos cuestiones son particularmente relevantes en tanto indagaciones previas umestran que, mietnras que para las clases altas la repitencia suele ser un “tropiezo” en las trayectorias, para los sectores populares suele representar el primer paso hacia el abandono escolar, reduciendo en 24 puntos porcentuales la probabilidad de continuar estudiando -frente a una reducción de 6 puntos para sectores acomodados- (Bernardi, 2025).</w:t>
      </w:r>
    </w:p>
    <w:p w:rsidR="00000000" w:rsidDel="00000000" w:rsidP="00000000" w:rsidRDefault="00000000" w:rsidRPr="00000000" w14:paraId="00000064">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síntesis, el grupo de estudiantes repitentes concurre mayoritariamente a instituciones de gestión estatal y presenta una distribución relativamente equilibrada por género, entre mujeres y varones cis. Asimismo, provienen principalmente de hogares con climas educativos medios y bajos y se observan experiencias de inserción laboral temprana.</w:t>
      </w:r>
    </w:p>
    <w:p w:rsidR="00000000" w:rsidDel="00000000" w:rsidP="00000000" w:rsidRDefault="00000000" w:rsidRPr="00000000" w14:paraId="00000065">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Expectativas y elecciones de repitentes</w:t>
      </w:r>
    </w:p>
    <w:p w:rsidR="00000000" w:rsidDel="00000000" w:rsidP="00000000" w:rsidRDefault="00000000" w:rsidRPr="00000000" w14:paraId="00000066">
      <w:pPr>
        <w:spacing w:line="240" w:lineRule="auto"/>
        <w:ind w:left="0"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Primeramente nos detenemos en las expectativas que manifiestan las y los estudiantes para el año siguiente, una vez finalizada la escuela secundaria, plasmadas en la Tabla 5. Entre quienes han repetido uno o más años durante su trayectoria en el nivel medio predomina la proyección de combinar estudios y trabajo (52,6%). Seguidamente, con un porcentaje bastante menor, un 17,8% espera incorporarse exclusivamente en el mercado laboral, mientras que un 15,9% manifiesta la expectativa de dedicarse únicamente a los estudios. Por su parte, un 7,7% señala no tener aún definido qué hará al concluir la secundaria y un porcentaje marginal no tiene previsto ni estudiar ni trabajar.</w:t>
      </w:r>
    </w:p>
    <w:p w:rsidR="00000000" w:rsidDel="00000000" w:rsidP="00000000" w:rsidRDefault="00000000" w:rsidRPr="00000000" w14:paraId="00000067">
      <w:pPr>
        <w:spacing w:line="240" w:lineRule="auto"/>
        <w:ind w:left="0"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Estos datos permiten advertir que las expectativas de continuidad educativa están presentes para quienes atravesaron experiencias de repitencia en la escuela secundaria. Al mismo tiempo, la inserción laboral ocupa un lugar central en sus expectativas futuras. Más de la mitad proyecta compatibilizar los estudios con el trabajo sumada a una proporción adicional aspira a continuar estudiando de forma exclusiva, acumulando un 68,6%, mientras que un 70,5% proyecta trabajar de forma exclusiva o simultánea a los estudios. En ese sentido, educación y trabajo aparecen como dimensiones de igual relevancia en las expectativas de este grupo.</w:t>
      </w:r>
    </w:p>
    <w:p w:rsidR="00000000" w:rsidDel="00000000" w:rsidP="00000000" w:rsidRDefault="00000000" w:rsidRPr="00000000" w14:paraId="00000068">
      <w:pPr>
        <w:spacing w:line="240" w:lineRule="auto"/>
        <w:ind w:left="0" w:firstLine="720.0000000000001"/>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Tabla 5. Expectativas para el año próximo según repitencia</w:t>
      </w:r>
      <w:r w:rsidDel="00000000" w:rsidR="00000000" w:rsidRPr="00000000">
        <w:rPr>
          <w:rtl w:val="0"/>
        </w:rPr>
      </w:r>
    </w:p>
    <w:sdt>
      <w:sdtPr>
        <w:lock w:val="contentLocked"/>
        <w:id w:val="1645891210"/>
        <w:tag w:val="goog_rdk_3"/>
      </w:sdtPr>
      <w:sdtContent>
        <w:tbl>
          <w:tblPr>
            <w:tblStyle w:val="Table5"/>
            <w:tblW w:w="84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15"/>
            <w:gridCol w:w="2015.0000000000002"/>
            <w:gridCol w:w="2015.0000000000002"/>
            <w:gridCol w:w="2015.0000000000002"/>
            <w:tblGridChange w:id="0">
              <w:tblGrid>
                <w:gridCol w:w="2415"/>
                <w:gridCol w:w="2015.0000000000002"/>
                <w:gridCol w:w="2015.0000000000002"/>
                <w:gridCol w:w="2015.0000000000002"/>
              </w:tblGrid>
            </w:tblGridChange>
          </w:tblGrid>
          <w:tr>
            <w:trPr>
              <w:cantSplit w:val="0"/>
              <w:trHeight w:val="315" w:hRule="atLeast"/>
              <w:tblHeader w:val="0"/>
            </w:trPr>
            <w:tc>
              <w:tcPr>
                <w:vMerge w:val="restart"/>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6A">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Expectativas para el año próximo</w:t>
                </w:r>
              </w:p>
            </w:tc>
            <w:tc>
              <w:tcPr>
                <w:gridSpan w:val="3"/>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6B">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Repitió</w:t>
                </w:r>
              </w:p>
            </w:tc>
          </w:tr>
          <w:tr>
            <w:trPr>
              <w:cantSplit w:val="0"/>
              <w:trHeight w:val="240" w:hRule="atLeast"/>
              <w:tblHeader w:val="0"/>
            </w:trPr>
            <w:tc>
              <w:tcPr>
                <w:vMerge w:val="continue"/>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6E">
                <w:pPr>
                  <w:widowControl w:val="0"/>
                  <w:spacing w:after="0" w:line="360" w:lineRule="auto"/>
                  <w:rPr>
                    <w:rFonts w:ascii="Arial" w:cs="Arial" w:eastAsia="Arial" w:hAnsi="Arial"/>
                    <w:sz w:val="20"/>
                    <w:szCs w:val="20"/>
                  </w:rPr>
                </w:pPr>
                <w:r w:rsidDel="00000000" w:rsidR="00000000" w:rsidRPr="00000000">
                  <w:rPr>
                    <w:rtl w:val="0"/>
                  </w:rPr>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6F">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Sí</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70">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71">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w:t>
                </w:r>
              </w:p>
            </w:tc>
          </w:tr>
          <w:tr>
            <w:trPr>
              <w:cantSplit w:val="0"/>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72">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Estudiar</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73">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15,9%</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74">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37,1%</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75">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34,7%</w:t>
                </w:r>
              </w:p>
            </w:tc>
          </w:tr>
          <w:tr>
            <w:trPr>
              <w:cantSplit w:val="0"/>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76">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Estudiar y trabajar</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77">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52,6%</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78">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47,5%</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79">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48,1%</w:t>
                </w:r>
              </w:p>
            </w:tc>
          </w:tr>
          <w:tr>
            <w:trPr>
              <w:cantSplit w:val="0"/>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7A">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Trabajar</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7B">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17,8%</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7C">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6,5%</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7D">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7,8%</w:t>
                </w:r>
              </w:p>
            </w:tc>
          </w:tr>
          <w:tr>
            <w:trPr>
              <w:cantSplit w:val="0"/>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7E">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 estudiar ni trabajar</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7F">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80">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0,2%</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81">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0,3%</w:t>
                </w:r>
              </w:p>
            </w:tc>
          </w:tr>
          <w:tr>
            <w:trPr>
              <w:cantSplit w:val="0"/>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82">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Todavía no lo sé</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83">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7,7%</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84">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5,5%</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85">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5,8%</w:t>
                </w:r>
              </w:p>
            </w:tc>
          </w:tr>
          <w:tr>
            <w:trPr>
              <w:cantSplit w:val="0"/>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86">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NS/NC</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87">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4,6%</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88">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2,9%</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89">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w:t>
                </w:r>
              </w:p>
            </w:tc>
          </w:tr>
          <w:tr>
            <w:trPr>
              <w:cantSplit w:val="0"/>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8A">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8B">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8C">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8D">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r>
        </w:tbl>
      </w:sdtContent>
    </w:sdt>
    <w:p w:rsidR="00000000" w:rsidDel="00000000" w:rsidP="00000000" w:rsidRDefault="00000000" w:rsidRPr="00000000" w14:paraId="0000008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Fuente: elaboración propia en base a EBES-GESDES.</w:t>
      </w:r>
    </w:p>
    <w:p w:rsidR="00000000" w:rsidDel="00000000" w:rsidP="00000000" w:rsidRDefault="00000000" w:rsidRPr="00000000" w14:paraId="0000008F">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0">
      <w:pPr>
        <w:spacing w:line="240" w:lineRule="auto"/>
        <w:ind w:left="0"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comparar estas tendencias con las observadas entre quienes no han repetido, emergen diferencias relevantes. En este grupo las expectativas de dedicarse únicamente al estudio escalan al 37,1% y, en contraste, la opción de trabajar exclusivamente desciende al 6,5%. Esta brecha guarda relación con la composición social de los estudiantes repitentes, que, como señalamos anteriormente, provienen con mayor frecuencia de hogares con climas educativos medios y bajos y asisten mayoritariamente a escuelas de gestión estatal. En indagaciones previas del equipo de la EBES-GESDES sobre expectativas en clave de desigualdad se observó que las expectativas de dedicarse exclusivamente al estudio aumentan entre estudiantes de hogares con mayores niveles educativo, de sectores sociales más favorecidos y que asisten a escuelas de gestión privada (Di Piero, Garriga Olmo, Marchel y Massigoge, en prensa).</w:t>
      </w:r>
    </w:p>
    <w:p w:rsidR="00000000" w:rsidDel="00000000" w:rsidP="00000000" w:rsidRDefault="00000000" w:rsidRPr="00000000" w14:paraId="00000091">
      <w:pPr>
        <w:spacing w:line="240" w:lineRule="auto"/>
        <w:ind w:left="0"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su vez, en la Tabla 6 pueden verse qué carreras eligen quienes han optado por continuar estudiando o estudiando y trabajando. Considerando el conjunto de estudiantes que manifiestan expectativas de continuar estudios superiores, las áreas más elegidas son las Ciencias de la Salud (14,7%), las Humanidades y Ciencias Sociales (13%), las Ciencias Económicas y Administrativas (12,8%), además de la opción de respuesta por “Otros” (12,5%). En contraste, las opciones menos seleccionadas corresponden a Oficios (1,8%), Fuerzas de Seguridad (2,2%) y Ciencias Exactas y Naturales (5,0%). </w:t>
      </w:r>
    </w:p>
    <w:p w:rsidR="00000000" w:rsidDel="00000000" w:rsidP="00000000" w:rsidRDefault="00000000" w:rsidRPr="00000000" w14:paraId="00000092">
      <w:pPr>
        <w:spacing w:line="240" w:lineRule="auto"/>
        <w:ind w:left="0" w:firstLine="720.0000000000001"/>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3">
      <w:pPr>
        <w:spacing w:line="240" w:lineRule="auto"/>
        <w:ind w:left="0" w:firstLine="720.0000000000001"/>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Tabla 6. Elecciones de área de estudios según repitencia</w:t>
      </w:r>
    </w:p>
    <w:sdt>
      <w:sdtPr>
        <w:lock w:val="contentLocked"/>
        <w:id w:val="-1593748655"/>
        <w:tag w:val="goog_rdk_4"/>
      </w:sdtPr>
      <w:sdtContent>
        <w:tbl>
          <w:tblPr>
            <w:tblStyle w:val="Table6"/>
            <w:tblW w:w="842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30.000000000001"/>
            <w:gridCol w:w="1365"/>
            <w:gridCol w:w="1365"/>
            <w:gridCol w:w="1365"/>
            <w:tblGridChange w:id="0">
              <w:tblGrid>
                <w:gridCol w:w="4330.000000000001"/>
                <w:gridCol w:w="1365"/>
                <w:gridCol w:w="1365"/>
                <w:gridCol w:w="1365"/>
              </w:tblGrid>
            </w:tblGridChange>
          </w:tblGrid>
          <w:tr>
            <w:trPr>
              <w:cantSplit w:val="0"/>
              <w:trHeight w:val="315" w:hRule="atLeast"/>
              <w:tblHeader w:val="0"/>
            </w:trPr>
            <w:tc>
              <w:tcPr>
                <w:vMerge w:val="restart"/>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94">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Área de estudios</w:t>
                </w:r>
              </w:p>
            </w:tc>
            <w:tc>
              <w:tcPr>
                <w:gridSpan w:val="3"/>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95">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Repitió</w:t>
                </w:r>
              </w:p>
            </w:tc>
          </w:tr>
          <w:tr>
            <w:trPr>
              <w:cantSplit w:val="0"/>
              <w:trHeight w:val="240" w:hRule="atLeast"/>
              <w:tblHeader w:val="0"/>
            </w:trPr>
            <w:tc>
              <w:tcPr>
                <w:vMerge w:val="continue"/>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98">
                <w:pPr>
                  <w:widowControl w:val="0"/>
                  <w:spacing w:after="0" w:line="360" w:lineRule="auto"/>
                  <w:rPr>
                    <w:rFonts w:ascii="Arial" w:cs="Arial" w:eastAsia="Arial" w:hAnsi="Arial"/>
                    <w:sz w:val="20"/>
                    <w:szCs w:val="20"/>
                  </w:rPr>
                </w:pPr>
                <w:r w:rsidDel="00000000" w:rsidR="00000000" w:rsidRPr="00000000">
                  <w:rPr>
                    <w:rtl w:val="0"/>
                  </w:rPr>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99">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Sí</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9A">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9B">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w:t>
                </w:r>
              </w:p>
            </w:tc>
          </w:tr>
          <w:tr>
            <w:trPr>
              <w:cantSplit w:val="0"/>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9C">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Humanidades y Ciencias Sociales</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9D">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9E">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13,4%</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9F">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13,0%</w:t>
                </w:r>
              </w:p>
            </w:tc>
          </w:tr>
          <w:tr>
            <w:trPr>
              <w:cantSplit w:val="0"/>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A0">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Ciencias Exactas y Naturales</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A1">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3,9%</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A2">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A3">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w:t>
                </w:r>
              </w:p>
            </w:tc>
          </w:tr>
          <w:tr>
            <w:trPr>
              <w:cantSplit w:val="0"/>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A4">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Ingeniería</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A5">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8,3%</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A6">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8,4%</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A7">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8,4%</w:t>
                </w:r>
              </w:p>
            </w:tc>
          </w:tr>
          <w:tr>
            <w:trPr>
              <w:cantSplit w:val="0"/>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A8">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Programación</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A9">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5,9%</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AA">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AB">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w:t>
                </w:r>
              </w:p>
            </w:tc>
          </w:tr>
          <w:tr>
            <w:trPr>
              <w:cantSplit w:val="0"/>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AC">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Ciencias de la Salud</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AD">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11,9%</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AE">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14,4%</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AF">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14,7%</w:t>
                </w:r>
              </w:p>
            </w:tc>
          </w:tr>
          <w:tr>
            <w:trPr>
              <w:cantSplit w:val="0"/>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B0">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Ciencias Económicas y Administrativas</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B1">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B2">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13,3%</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B3">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12,8%</w:t>
                </w:r>
              </w:p>
            </w:tc>
          </w:tr>
          <w:tr>
            <w:trPr>
              <w:cantSplit w:val="0"/>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B4">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Arte y Diseño</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B5">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9,1%</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B6">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10,3%</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B7">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10,2%</w:t>
                </w:r>
              </w:p>
            </w:tc>
          </w:tr>
          <w:tr>
            <w:trPr>
              <w:cantSplit w:val="0"/>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B8">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Oficios</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B9">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BA">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BB">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r>
          <w:tr>
            <w:trPr>
              <w:cantSplit w:val="0"/>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BC">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Docencia</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BD">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8,9%</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BE">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6,3%</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BF">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6,6%</w:t>
                </w:r>
              </w:p>
            </w:tc>
          </w:tr>
          <w:tr>
            <w:trPr>
              <w:cantSplit w:val="0"/>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C0">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Fuerzas de Seguridad</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C1">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C2">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C3">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r>
          <w:tr>
            <w:trPr>
              <w:cantSplit w:val="0"/>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C4">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Otros</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C5">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14,7%</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C6">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12,3%</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C7">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12,5%</w:t>
                </w:r>
              </w:p>
            </w:tc>
          </w:tr>
          <w:tr>
            <w:trPr>
              <w:cantSplit w:val="0"/>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C8">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NS/NC</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C9">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11,9%</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CA">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7,8%</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CB">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7,5%</w:t>
                </w:r>
              </w:p>
            </w:tc>
          </w:tr>
          <w:tr>
            <w:trPr>
              <w:cantSplit w:val="0"/>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CC">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CD">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CE">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CF">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r>
        </w:tbl>
      </w:sdtContent>
    </w:sdt>
    <w:p w:rsidR="00000000" w:rsidDel="00000000" w:rsidP="00000000" w:rsidRDefault="00000000" w:rsidRPr="00000000" w14:paraId="000000D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Fuente: elaboración propia en base a EBES-GESDES.</w:t>
      </w:r>
    </w:p>
    <w:p w:rsidR="00000000" w:rsidDel="00000000" w:rsidP="00000000" w:rsidRDefault="00000000" w:rsidRPr="00000000" w14:paraId="000000D1">
      <w:pPr>
        <w:spacing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2">
      <w:pPr>
        <w:spacing w:line="240" w:lineRule="auto"/>
        <w:ind w:firstLine="720.0000000000001"/>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Al analizar las respuestas según experiencia de repetición, se observan algunas diferencias en las elecciones de área de estudios. En primer lugar, entre quienes repitieron el 11,9% no definió un área de estudios (NS/NC), mientras que ese porcentaje es de 7,8%% para quienes no repitieron. Esto sugiere que las y los estudiantes repitentes llegan al último año de la escuela secundaria con expectativas de continuar estudiando pero con mayores niveles de incertidumbre sobre la carrera de elección.</w:t>
      </w:r>
      <w:r w:rsidDel="00000000" w:rsidR="00000000" w:rsidRPr="00000000">
        <w:rPr>
          <w:rtl w:val="0"/>
        </w:rPr>
      </w:r>
    </w:p>
    <w:p w:rsidR="00000000" w:rsidDel="00000000" w:rsidP="00000000" w:rsidRDefault="00000000" w:rsidRPr="00000000" w14:paraId="000000D3">
      <w:pPr>
        <w:spacing w:line="240" w:lineRule="auto"/>
        <w:ind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segundo lugar, no parece configurarse perfiles de elección de carreras completamente diferenciados, ya que se observa una distribución similar entre repitentes y no repitentes. Las principales diferencias se registran en las áreas de Ciencias Económicas y Administrativas (8,1% de los repitentes y 13,3% de los no repitentes), Humanidades y Ciencias Sociales (9,5% y 13,4%, respectivamente) y Fuerzas de Seguridad (5,3% y 1,8%). En conjunto, estos resultados sugieren que la experiencia de repitencia no se asocia con orientaciones disciplinares completamente distintas.</w:t>
      </w:r>
    </w:p>
    <w:p w:rsidR="00000000" w:rsidDel="00000000" w:rsidP="00000000" w:rsidRDefault="00000000" w:rsidRPr="00000000" w14:paraId="000000D4">
      <w:pPr>
        <w:spacing w:line="240" w:lineRule="auto"/>
        <w:ind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Al analizar las razones que orientan la elección de carrera de estudio, que pueden verse en la Tabla 7, el interés personal constituye el principal criterio en el total de las y los estudiantes que proyectan continuar estudiando al año siguiente con el 87,8%. Esto sugiere que las elecciones educativas son interpretadas como una decisión personal ligada a gustos e intereses individuales. Sin embargo, esta opción de respuesta es más elegida por estudiantes no repitentes que repitentes (88,3% vs. 83,1%). </w:t>
      </w:r>
    </w:p>
    <w:p w:rsidR="00000000" w:rsidDel="00000000" w:rsidP="00000000" w:rsidRDefault="00000000" w:rsidRPr="00000000" w14:paraId="000000D5">
      <w:pPr>
        <w:spacing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6">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Tabla 7. Razones de elección de área de estudios según repitencia</w:t>
      </w:r>
      <w:r w:rsidDel="00000000" w:rsidR="00000000" w:rsidRPr="00000000">
        <w:rPr>
          <w:rFonts w:ascii="Times New Roman" w:cs="Times New Roman" w:eastAsia="Times New Roman" w:hAnsi="Times New Roman"/>
          <w:b w:val="1"/>
          <w:bCs w:val="1"/>
          <w:vertAlign w:val="superscript"/>
        </w:rPr>
        <w:footnoteReference w:customMarkFollows="0" w:id="2"/>
      </w:r>
      <w:r w:rsidDel="00000000" w:rsidR="00000000" w:rsidRPr="00000000">
        <w:rPr>
          <w:rtl w:val="0"/>
        </w:rPr>
      </w:r>
    </w:p>
    <w:sdt>
      <w:sdtPr>
        <w:lock w:val="contentLocked"/>
        <w:id w:val="1988753667"/>
        <w:tag w:val="goog_rdk_5"/>
      </w:sdtPr>
      <w:sdtContent>
        <w:tbl>
          <w:tblPr>
            <w:tblStyle w:val="Table7"/>
            <w:tblW w:w="841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34.999999999999"/>
            <w:gridCol w:w="1125"/>
            <w:gridCol w:w="1125"/>
            <w:gridCol w:w="1125"/>
            <w:tblGridChange w:id="0">
              <w:tblGrid>
                <w:gridCol w:w="5034.999999999999"/>
                <w:gridCol w:w="1125"/>
                <w:gridCol w:w="1125"/>
                <w:gridCol w:w="1125"/>
              </w:tblGrid>
            </w:tblGridChange>
          </w:tblGrid>
          <w:tr>
            <w:trPr>
              <w:cantSplit w:val="0"/>
              <w:trHeight w:val="315" w:hRule="atLeast"/>
              <w:tblHeader w:val="0"/>
            </w:trPr>
            <w:tc>
              <w:tcPr>
                <w:vMerge w:val="restart"/>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D7">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Razones de elección de área de estudios</w:t>
                </w:r>
              </w:p>
            </w:tc>
            <w:tc>
              <w:tcPr>
                <w:gridSpan w:val="3"/>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D8">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Repitió</w:t>
                </w:r>
              </w:p>
            </w:tc>
          </w:tr>
          <w:tr>
            <w:trPr>
              <w:cantSplit w:val="0"/>
              <w:trHeight w:val="240" w:hRule="atLeast"/>
              <w:tblHeader w:val="0"/>
            </w:trPr>
            <w:tc>
              <w:tcPr>
                <w:vMerge w:val="continue"/>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DB">
                <w:pPr>
                  <w:widowControl w:val="0"/>
                  <w:spacing w:after="0" w:line="360" w:lineRule="auto"/>
                  <w:rPr>
                    <w:rFonts w:ascii="Arial" w:cs="Arial" w:eastAsia="Arial" w:hAnsi="Arial"/>
                    <w:sz w:val="20"/>
                    <w:szCs w:val="20"/>
                  </w:rPr>
                </w:pPr>
                <w:r w:rsidDel="00000000" w:rsidR="00000000" w:rsidRPr="00000000">
                  <w:rPr>
                    <w:rtl w:val="0"/>
                  </w:rPr>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DC">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Sí</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DD">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DE">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w:t>
                </w:r>
              </w:p>
            </w:tc>
          </w:tr>
          <w:tr>
            <w:trPr>
              <w:cantSplit w:val="0"/>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DF">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interés personal</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E0">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83,1%</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E1">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88,3%</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E2">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87,8%</w:t>
                </w:r>
              </w:p>
            </w:tc>
          </w:tr>
          <w:tr>
            <w:trPr>
              <w:cantSplit w:val="0"/>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E3">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orientación vocacional </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E4">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E5">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12,3%</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E6">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11,9%</w:t>
                </w:r>
              </w:p>
            </w:tc>
          </w:tr>
          <w:tr>
            <w:trPr>
              <w:cantSplit w:val="0"/>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E7">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su potencial económico o laboral</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E8">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25,0%</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E9">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36,0%</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EA">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35,0%</w:t>
                </w:r>
              </w:p>
            </w:tc>
          </w:tr>
          <w:tr>
            <w:trPr>
              <w:cantSplit w:val="0"/>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EB">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tradición familiar</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EC">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3,5%</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ED">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EE">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w:t>
                </w:r>
              </w:p>
            </w:tc>
          </w:tr>
          <w:tr>
            <w:trPr>
              <w:cantSplit w:val="0"/>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EF">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experiencias previas con la disciplina o área </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F0">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11,5%</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F1">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16,8%</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F2">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16,3%</w:t>
                </w:r>
              </w:p>
            </w:tc>
          </w:tr>
          <w:tr>
            <w:trPr>
              <w:cantSplit w:val="0"/>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F3">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su corta duración y rápida salida laboral</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F4">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11,7%</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F5">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F6">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w:t>
                </w:r>
              </w:p>
            </w:tc>
          </w:tr>
          <w:tr>
            <w:trPr>
              <w:cantSplit w:val="0"/>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F7">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sé</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F8">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10,1%</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F9">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7,2%</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FA">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7,4%</w:t>
                </w:r>
              </w:p>
            </w:tc>
          </w:tr>
        </w:tbl>
      </w:sdtContent>
    </w:sdt>
    <w:p w:rsidR="00000000" w:rsidDel="00000000" w:rsidP="00000000" w:rsidRDefault="00000000" w:rsidRPr="00000000" w14:paraId="000000FB">
      <w:pPr>
        <w:spacing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Fuente: elaboración propia en base a EBES-GESDES.</w:t>
      </w:r>
      <w:r w:rsidDel="00000000" w:rsidR="00000000" w:rsidRPr="00000000">
        <w:rPr>
          <w:rtl w:val="0"/>
        </w:rPr>
      </w:r>
    </w:p>
    <w:p w:rsidR="00000000" w:rsidDel="00000000" w:rsidP="00000000" w:rsidRDefault="00000000" w:rsidRPr="00000000" w14:paraId="000000FC">
      <w:pPr>
        <w:spacing w:line="240" w:lineRule="auto"/>
        <w:ind w:left="0" w:firstLine="0"/>
        <w:jc w:val="both"/>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FD">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segundo lugar, aparece el potencial económico o laboral como el criterio más importante después del interés personal, con un 35% del total de las y los estudiantes. Sin embargo, su peso es considerablemente menor entre las y los repitentes (25%) que entre quienes no repitieron (36%). Una tendencia similar se observa en la orientación vocacional (8,1% vs. 12,3%) y las experiencias previas con la disciplina o área (11,5% vs. 16,8%). </w:t>
      </w:r>
    </w:p>
    <w:p w:rsidR="00000000" w:rsidDel="00000000" w:rsidP="00000000" w:rsidRDefault="00000000" w:rsidRPr="00000000" w14:paraId="000000FE">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excepción aparece en la opción de respuesta que refiere a la corta duración y rápida salida laboral de las carreras, que se selecciona con mayor frecuencia por las y los repitentes (11,7%) que por quienes no repitieron (9,6%). Esto sugiere que las y los estudiantes que atravesaron experiencias de repitencia muestran mayor consideración por aspectos pragmáticos vinculados a la inserción laboral.</w:t>
      </w:r>
    </w:p>
    <w:p w:rsidR="00000000" w:rsidDel="00000000" w:rsidP="00000000" w:rsidRDefault="00000000" w:rsidRPr="00000000" w14:paraId="000000FF">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Ahora bien, sobre la elección de la institución en la que se prevé continuar estudiando, disponible en la Tabla 8, la universidad pública constituye la principal elegida. La repitencia no modifica las expectativas de acceso a la universidad, el porcentaje es el mismo en ambos grupos (62,7%).</w:t>
      </w:r>
    </w:p>
    <w:p w:rsidR="00000000" w:rsidDel="00000000" w:rsidP="00000000" w:rsidRDefault="00000000" w:rsidRPr="00000000" w14:paraId="00000100">
      <w:pPr>
        <w:spacing w:line="240" w:lineRule="auto"/>
        <w:ind w:firstLine="720.0000000000001"/>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1">
      <w:pPr>
        <w:spacing w:line="240" w:lineRule="auto"/>
        <w:ind w:left="0"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Tabla 8. Institución del nivel superior de elección según repitencia</w:t>
      </w:r>
    </w:p>
    <w:sdt>
      <w:sdtPr>
        <w:lock w:val="contentLocked"/>
        <w:id w:val="366754285"/>
        <w:tag w:val="goog_rdk_6"/>
      </w:sdtPr>
      <w:sdtContent>
        <w:tbl>
          <w:tblPr>
            <w:tblStyle w:val="Table8"/>
            <w:tblW w:w="84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15"/>
            <w:gridCol w:w="1910"/>
            <w:gridCol w:w="1910"/>
            <w:gridCol w:w="1910"/>
            <w:tblGridChange w:id="0">
              <w:tblGrid>
                <w:gridCol w:w="2715"/>
                <w:gridCol w:w="1910"/>
                <w:gridCol w:w="1910"/>
                <w:gridCol w:w="1910"/>
              </w:tblGrid>
            </w:tblGridChange>
          </w:tblGrid>
          <w:tr>
            <w:trPr>
              <w:cantSplit w:val="0"/>
              <w:trHeight w:val="315" w:hRule="atLeast"/>
              <w:tblHeader w:val="0"/>
            </w:trPr>
            <w:tc>
              <w:tcPr>
                <w:vMerge w:val="restart"/>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02">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Institución del nivel superior</w:t>
                </w:r>
              </w:p>
            </w:tc>
            <w:tc>
              <w:tcPr>
                <w:gridSpan w:val="3"/>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03">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Repitió</w:t>
                </w:r>
              </w:p>
            </w:tc>
          </w:tr>
          <w:tr>
            <w:trPr>
              <w:cantSplit w:val="0"/>
              <w:trHeight w:val="240" w:hRule="atLeast"/>
              <w:tblHeader w:val="0"/>
            </w:trPr>
            <w:tc>
              <w:tcPr>
                <w:vMerge w:val="continue"/>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06">
                <w:pPr>
                  <w:widowControl w:val="0"/>
                  <w:spacing w:after="0" w:line="360" w:lineRule="auto"/>
                  <w:rPr>
                    <w:rFonts w:ascii="Arial" w:cs="Arial" w:eastAsia="Arial" w:hAnsi="Arial"/>
                    <w:sz w:val="20"/>
                    <w:szCs w:val="20"/>
                  </w:rPr>
                </w:pPr>
                <w:r w:rsidDel="00000000" w:rsidR="00000000" w:rsidRPr="00000000">
                  <w:rPr>
                    <w:rtl w:val="0"/>
                  </w:rPr>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07">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Sí</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08">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09">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w:t>
                </w:r>
              </w:p>
            </w:tc>
          </w:tr>
          <w:tr>
            <w:trPr>
              <w:cantSplit w:val="0"/>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0A">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pública</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0B">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62,7%</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0C">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62,7%</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0D">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62,7%</w:t>
                </w:r>
              </w:p>
            </w:tc>
          </w:tr>
          <w:tr>
            <w:trPr>
              <w:cantSplit w:val="0"/>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0E">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privada</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0F">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10">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16,7%</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11">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16,1%</w:t>
                </w:r>
              </w:p>
            </w:tc>
          </w:tr>
          <w:tr>
            <w:trPr>
              <w:cantSplit w:val="0"/>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12">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Instituto superior público</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13">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6,9%</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14">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15">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w:t>
                </w:r>
              </w:p>
            </w:tc>
          </w:tr>
          <w:tr>
            <w:trPr>
              <w:cantSplit w:val="0"/>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16">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Instituto superior privado</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17">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0,8%</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18">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19">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r>
          <w:tr>
            <w:trPr>
              <w:cantSplit w:val="0"/>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1A">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Escuela de oficios</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1B">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1C">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1D">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r>
          <w:tr>
            <w:trPr>
              <w:cantSplit w:val="0"/>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1E">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sé</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1F">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16,1%</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20">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11,8%</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21">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12,2%</w:t>
                </w:r>
              </w:p>
            </w:tc>
          </w:tr>
          <w:tr>
            <w:trPr>
              <w:cantSplit w:val="0"/>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22">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w:t>
                </w:r>
                <w:r w:rsidDel="00000000" w:rsidR="00000000" w:rsidRPr="00000000">
                  <w:rPr>
                    <w:rFonts w:ascii="Times New Roman" w:cs="Times New Roman" w:eastAsia="Times New Roman" w:hAnsi="Times New Roman"/>
                    <w:vertAlign w:val="superscript"/>
                  </w:rPr>
                  <w:footnoteReference w:customMarkFollows="0" w:id="3"/>
                </w:r>
                <w:r w:rsidDel="00000000" w:rsidR="00000000" w:rsidRPr="00000000">
                  <w:rPr>
                    <w:rtl w:val="0"/>
                  </w:rPr>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23">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24">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25">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r>
        </w:tbl>
      </w:sdtContent>
    </w:sdt>
    <w:p w:rsidR="00000000" w:rsidDel="00000000" w:rsidP="00000000" w:rsidRDefault="00000000" w:rsidRPr="00000000" w14:paraId="0000012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Fuente: elaboración propia en base a EBES-GESDES.</w:t>
      </w:r>
    </w:p>
    <w:p w:rsidR="00000000" w:rsidDel="00000000" w:rsidP="00000000" w:rsidRDefault="00000000" w:rsidRPr="00000000" w14:paraId="00000127">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 embargo, se observan algunas diferencias en las siguientes opciones. Mientras que quienes no repitieron se orientan en mayor medida hacia las universidades privadas (16,7% vs. 10%), entre las y los estudiantes repitentes adquieren mayor relevancia relativa los institutos superiores públicos (6,9% vs. 5%) y las escuelas de oficios (3,2% vs 1,5%), es decir, opciones formativas más cortas y profesionalizantes. Además, el porcentaje de indefinición es más elevado entre quienes repitieron, el 16,1% respondió no saber aún en qué tipo de institución continuará sus estudios, frente al 11,8% de quienes no atravesaron experiencias de repitencia.</w:t>
      </w:r>
    </w:p>
    <w:p w:rsidR="00000000" w:rsidDel="00000000" w:rsidP="00000000" w:rsidRDefault="00000000" w:rsidRPr="00000000" w14:paraId="00000128">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continuación, en la Tabla 9, pueden observarse las razones detrás de las elecciones de instituciones del nivel superior. En el total de las y los estudiantes que proyectan continuar estudiando y tanto entre quienes repitieron como entre quienes no lo hicieron, la gratuidad constituye uno de los principales motivos de elección (36,3% 34,9% y 36,4%, respectivamente). También adquieren peso el prestigio o reconocimiento de la institución (35,8% en el total) y el enfoque que ofrece la institución para la carrera elegida (30,4%). </w:t>
      </w:r>
    </w:p>
    <w:p w:rsidR="00000000" w:rsidDel="00000000" w:rsidP="00000000" w:rsidRDefault="00000000" w:rsidRPr="00000000" w14:paraId="00000129">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Tabla 9. Razones de elección de institución del nivel superior según repitencia</w:t>
      </w:r>
      <w:r w:rsidDel="00000000" w:rsidR="00000000" w:rsidRPr="00000000">
        <w:rPr>
          <w:rFonts w:ascii="Times New Roman" w:cs="Times New Roman" w:eastAsia="Times New Roman" w:hAnsi="Times New Roman"/>
          <w:b w:val="1"/>
          <w:bCs w:val="1"/>
          <w:vertAlign w:val="superscript"/>
        </w:rPr>
        <w:footnoteReference w:customMarkFollows="0" w:id="4"/>
      </w:r>
      <w:r w:rsidDel="00000000" w:rsidR="00000000" w:rsidRPr="00000000">
        <w:rPr>
          <w:rtl w:val="0"/>
        </w:rPr>
      </w:r>
    </w:p>
    <w:sdt>
      <w:sdtPr>
        <w:lock w:val="contentLocked"/>
        <w:id w:val="1322849519"/>
        <w:tag w:val="goog_rdk_7"/>
      </w:sdtPr>
      <w:sdtContent>
        <w:tbl>
          <w:tblPr>
            <w:tblStyle w:val="Table9"/>
            <w:tblW w:w="84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985"/>
            <w:gridCol w:w="810"/>
            <w:gridCol w:w="810"/>
            <w:gridCol w:w="810"/>
            <w:tblGridChange w:id="0">
              <w:tblGrid>
                <w:gridCol w:w="5985"/>
                <w:gridCol w:w="810"/>
                <w:gridCol w:w="810"/>
                <w:gridCol w:w="810"/>
              </w:tblGrid>
            </w:tblGridChange>
          </w:tblGrid>
          <w:tr>
            <w:trPr>
              <w:cantSplit w:val="0"/>
              <w:trHeight w:val="315" w:hRule="atLeast"/>
              <w:tblHeader w:val="0"/>
            </w:trPr>
            <w:tc>
              <w:tcPr>
                <w:vMerge w:val="restart"/>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2A">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Razones de elección de área de estudios</w:t>
                </w:r>
              </w:p>
            </w:tc>
            <w:tc>
              <w:tcPr>
                <w:gridSpan w:val="3"/>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2B">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Repitió</w:t>
                </w:r>
              </w:p>
            </w:tc>
          </w:tr>
          <w:tr>
            <w:trPr>
              <w:cantSplit w:val="0"/>
              <w:trHeight w:val="240" w:hRule="atLeast"/>
              <w:tblHeader w:val="0"/>
            </w:trPr>
            <w:tc>
              <w:tcPr>
                <w:vMerge w:val="continue"/>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2E">
                <w:pPr>
                  <w:widowControl w:val="0"/>
                  <w:spacing w:after="0" w:line="360" w:lineRule="auto"/>
                  <w:rPr>
                    <w:rFonts w:ascii="Arial" w:cs="Arial" w:eastAsia="Arial" w:hAnsi="Arial"/>
                    <w:sz w:val="20"/>
                    <w:szCs w:val="20"/>
                  </w:rPr>
                </w:pPr>
                <w:r w:rsidDel="00000000" w:rsidR="00000000" w:rsidRPr="00000000">
                  <w:rPr>
                    <w:rtl w:val="0"/>
                  </w:rPr>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2F">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Sí</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30">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31">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w:t>
                </w:r>
              </w:p>
            </w:tc>
          </w:tr>
          <w:tr>
            <w:trPr>
              <w:cantSplit w:val="0"/>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32">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el prestigio o reconocimiento de esa institución</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33">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25,0%</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34">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36,9%</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35">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35,8%</w:t>
                </w:r>
              </w:p>
            </w:tc>
          </w:tr>
          <w:tr>
            <w:trPr>
              <w:cantSplit w:val="0"/>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36">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su cercanía geográfica</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37">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20,4%</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38">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21,8%</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39">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21,7%</w:t>
                </w:r>
              </w:p>
            </w:tc>
          </w:tr>
          <w:tr>
            <w:trPr>
              <w:cantSplit w:val="0"/>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3A">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Porque es gratis</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3B">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34,9%</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3C">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36,4%</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3D">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36,3%</w:t>
                </w:r>
              </w:p>
            </w:tc>
          </w:tr>
          <w:tr>
            <w:trPr>
              <w:cantSplit w:val="0"/>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3E">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tradición familiar</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3F">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4,9%</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40">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5,4%</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41">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5,4%</w:t>
                </w:r>
              </w:p>
            </w:tc>
          </w:tr>
          <w:tr>
            <w:trPr>
              <w:cantSplit w:val="0"/>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42">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Porque es la única institución que es accesible para mí</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43">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16,7%</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44">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14,4%</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45">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14,6%</w:t>
                </w:r>
              </w:p>
            </w:tc>
          </w:tr>
          <w:tr>
            <w:trPr>
              <w:cantSplit w:val="0"/>
              <w:trHeight w:val="215.9765625" w:hRule="atLeast"/>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46">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el enfoque específico que tiene de la carrera que elegí</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47">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22,8%</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48">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31,2%</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49">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30,4%</w:t>
                </w:r>
              </w:p>
            </w:tc>
          </w:tr>
          <w:tr>
            <w:trPr>
              <w:cantSplit w:val="0"/>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4A">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la forma que tiene para evaluar o dar clases</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4B">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12,5%</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4C">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16,8%</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4D">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16,4%</w:t>
                </w:r>
              </w:p>
            </w:tc>
          </w:tr>
          <w:tr>
            <w:trPr>
              <w:cantSplit w:val="0"/>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4E">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sé</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4F">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22,8%</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50">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16,0%</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51">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16,7%</w:t>
                </w:r>
              </w:p>
            </w:tc>
          </w:tr>
        </w:tbl>
      </w:sdtContent>
    </w:sdt>
    <w:p w:rsidR="00000000" w:rsidDel="00000000" w:rsidP="00000000" w:rsidRDefault="00000000" w:rsidRPr="00000000" w14:paraId="0000015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Fuente: elaboración propia en base a EBES-GESDES.</w:t>
      </w:r>
    </w:p>
    <w:p w:rsidR="00000000" w:rsidDel="00000000" w:rsidP="00000000" w:rsidRDefault="00000000" w:rsidRPr="00000000" w14:paraId="00000153">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 comparación entre ambos grupos, es posible dar cuenta que quienes no atravesaron experiencias de repitencia otorgan mayor importancia a tributos vinculados con la propuesta académica de las instituciones. En particular, mencionan con mayor frecuencia el prestigio o reconocimiento institucional (36,9% vs. 25%) y el enfoque ofrecido para la carrera elegida (31,2% vs. 22,8%). Por su parte, los repitentes manifiestan un porcentaje más alto de indefinición (22,8%vs. 16,0%).</w:t>
      </w:r>
    </w:p>
    <w:p w:rsidR="00000000" w:rsidDel="00000000" w:rsidP="00000000" w:rsidRDefault="00000000" w:rsidRPr="00000000" w14:paraId="00000154">
      <w:pPr>
        <w:spacing w:line="240" w:lineRule="auto"/>
        <w:ind w:firstLine="720.0000000000001"/>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5">
      <w:pPr>
        <w:spacing w:line="240" w:lineRule="auto"/>
        <w:ind w:left="0"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Valoración del nivel superior en contraste con otras opciones</w:t>
      </w:r>
    </w:p>
    <w:p w:rsidR="00000000" w:rsidDel="00000000" w:rsidP="00000000" w:rsidRDefault="00000000" w:rsidRPr="00000000" w14:paraId="00000156">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Partimos del reconocimiento mayoritario de que “hay gente que no estudia y logra mejoras en materia económica”, superando el 60% de los casos entre las y los estudiantes, tanto repitentes como no repitentes. </w:t>
      </w:r>
    </w:p>
    <w:p w:rsidR="00000000" w:rsidDel="00000000" w:rsidP="00000000" w:rsidRDefault="00000000" w:rsidRPr="00000000" w14:paraId="00000157">
      <w:pP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8">
      <w:pPr>
        <w:spacing w:after="0" w:line="36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Tabla 9. Acuerdo o desacuerdo con la frase “Hay gente que no estudia y logra mejoras en materia económica” según repitencia</w:t>
      </w:r>
    </w:p>
    <w:sdt>
      <w:sdtPr>
        <w:lock w:val="contentLocked"/>
        <w:id w:val="-1919593543"/>
        <w:tag w:val="goog_rdk_8"/>
      </w:sdtPr>
      <w:sdtContent>
        <w:tbl>
          <w:tblPr>
            <w:tblStyle w:val="Table10"/>
            <w:tblW w:w="90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905"/>
            <w:gridCol w:w="1260"/>
            <w:gridCol w:w="1425"/>
            <w:gridCol w:w="1470"/>
            <w:tblGridChange w:id="0">
              <w:tblGrid>
                <w:gridCol w:w="4905"/>
                <w:gridCol w:w="1260"/>
                <w:gridCol w:w="1425"/>
                <w:gridCol w:w="1470"/>
              </w:tblGrid>
            </w:tblGridChange>
          </w:tblGrid>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59">
                <w:pPr>
                  <w:widowControl w:val="0"/>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¿Qué tan de acuerdo estás con la siguiente frase? “Hay gente que no estudia y logra mejoras en materia económica”</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5A">
                <w:pPr>
                  <w:widowControl w:val="0"/>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Repitió</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5D">
                <w:pPr>
                  <w:widowControl w:val="0"/>
                  <w:spacing w:after="0" w:line="240" w:lineRule="auto"/>
                  <w:rPr>
                    <w:rFonts w:ascii="Times New Roman" w:cs="Times New Roman" w:eastAsia="Times New Roman" w:hAnsi="Times New Roman"/>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E">
                <w:pPr>
                  <w:widowControl w:val="0"/>
                  <w:spacing w:after="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SI</w:t>
                </w:r>
              </w:p>
            </w:tc>
            <w:tc>
              <w:tcPr>
                <w:shd w:fill="auto" w:val="clear"/>
                <w:tcMar>
                  <w:top w:w="100.0" w:type="dxa"/>
                  <w:left w:w="100.0" w:type="dxa"/>
                  <w:bottom w:w="100.0" w:type="dxa"/>
                  <w:right w:w="100.0" w:type="dxa"/>
                </w:tcMar>
                <w:vAlign w:val="top"/>
              </w:tcPr>
              <w:p w:rsidR="00000000" w:rsidDel="00000000" w:rsidP="00000000" w:rsidRDefault="00000000" w:rsidRPr="00000000" w14:paraId="0000015F">
                <w:pPr>
                  <w:widowControl w:val="0"/>
                  <w:spacing w:after="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160">
                <w:pPr>
                  <w:widowControl w:val="0"/>
                  <w:spacing w:after="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1">
                <w:pPr>
                  <w:widowControl w:val="0"/>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 acuerdo</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bottom"/>
              </w:tcPr>
              <w:p w:rsidR="00000000" w:rsidDel="00000000" w:rsidP="00000000" w:rsidRDefault="00000000" w:rsidRPr="00000000" w14:paraId="00000162">
                <w:pPr>
                  <w:widowControl w:val="0"/>
                  <w:spacing w:after="0" w:line="276"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61,9%</w:t>
                </w:r>
              </w:p>
            </w:tc>
            <w:tc>
              <w:tcPr>
                <w:shd w:fill="auto" w:val="clear"/>
                <w:tcMar>
                  <w:top w:w="100.0" w:type="dxa"/>
                  <w:left w:w="100.0" w:type="dxa"/>
                  <w:bottom w:w="100.0" w:type="dxa"/>
                  <w:right w:w="100.0" w:type="dxa"/>
                </w:tcMar>
                <w:vAlign w:val="top"/>
              </w:tcPr>
              <w:p w:rsidR="00000000" w:rsidDel="00000000" w:rsidP="00000000" w:rsidRDefault="00000000" w:rsidRPr="00000000" w14:paraId="00000163">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63,5%</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bottom"/>
              </w:tcPr>
              <w:p w:rsidR="00000000" w:rsidDel="00000000" w:rsidP="00000000" w:rsidRDefault="00000000" w:rsidRPr="00000000" w14:paraId="00000164">
                <w:pPr>
                  <w:widowControl w:val="0"/>
                  <w:spacing w:after="0" w:line="276"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63,4%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5">
                <w:pPr>
                  <w:widowControl w:val="0"/>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En desacuerdo</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bottom"/>
              </w:tcPr>
              <w:p w:rsidR="00000000" w:rsidDel="00000000" w:rsidP="00000000" w:rsidRDefault="00000000" w:rsidRPr="00000000" w14:paraId="00000166">
                <w:pPr>
                  <w:widowControl w:val="0"/>
                  <w:spacing w:after="0" w:line="276"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17,7%</w:t>
                </w:r>
              </w:p>
            </w:tc>
            <w:tc>
              <w:tcPr>
                <w:shd w:fill="auto" w:val="clear"/>
                <w:tcMar>
                  <w:top w:w="100.0" w:type="dxa"/>
                  <w:left w:w="100.0" w:type="dxa"/>
                  <w:bottom w:w="100.0" w:type="dxa"/>
                  <w:right w:w="100.0" w:type="dxa"/>
                </w:tcMar>
                <w:vAlign w:val="top"/>
              </w:tcPr>
              <w:p w:rsidR="00000000" w:rsidDel="00000000" w:rsidP="00000000" w:rsidRDefault="00000000" w:rsidRPr="00000000" w14:paraId="00000167">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12,9%</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bottom"/>
              </w:tcPr>
              <w:p w:rsidR="00000000" w:rsidDel="00000000" w:rsidP="00000000" w:rsidRDefault="00000000" w:rsidRPr="00000000" w14:paraId="00000168">
                <w:pPr>
                  <w:widowControl w:val="0"/>
                  <w:spacing w:after="0" w:line="276"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9">
                <w:pPr>
                  <w:widowControl w:val="0"/>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 sé</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bottom"/>
              </w:tcPr>
              <w:p w:rsidR="00000000" w:rsidDel="00000000" w:rsidP="00000000" w:rsidRDefault="00000000" w:rsidRPr="00000000" w14:paraId="0000016A">
                <w:pPr>
                  <w:widowControl w:val="0"/>
                  <w:spacing w:after="0" w:line="276"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w:t>
                </w:r>
              </w:p>
            </w:tc>
            <w:tc>
              <w:tcPr>
                <w:shd w:fill="auto" w:val="clear"/>
                <w:tcMar>
                  <w:top w:w="100.0" w:type="dxa"/>
                  <w:left w:w="100.0" w:type="dxa"/>
                  <w:bottom w:w="100.0" w:type="dxa"/>
                  <w:right w:w="100.0" w:type="dxa"/>
                </w:tcMar>
                <w:vAlign w:val="top"/>
              </w:tcPr>
              <w:p w:rsidR="00000000" w:rsidDel="00000000" w:rsidP="00000000" w:rsidRDefault="00000000" w:rsidRPr="00000000" w14:paraId="0000016B">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23,4%</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bottom"/>
              </w:tcPr>
              <w:p w:rsidR="00000000" w:rsidDel="00000000" w:rsidP="00000000" w:rsidRDefault="00000000" w:rsidRPr="00000000" w14:paraId="0000016C">
                <w:pPr>
                  <w:widowControl w:val="0"/>
                  <w:spacing w:after="0" w:line="276"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D">
                <w:pPr>
                  <w:widowControl w:val="0"/>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6E">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c>
              <w:tcPr>
                <w:shd w:fill="auto" w:val="clear"/>
                <w:tcMar>
                  <w:top w:w="100.0" w:type="dxa"/>
                  <w:left w:w="100.0" w:type="dxa"/>
                  <w:bottom w:w="100.0" w:type="dxa"/>
                  <w:right w:w="100.0" w:type="dxa"/>
                </w:tcMar>
                <w:vAlign w:val="top"/>
              </w:tcPr>
              <w:p w:rsidR="00000000" w:rsidDel="00000000" w:rsidP="00000000" w:rsidRDefault="00000000" w:rsidRPr="00000000" w14:paraId="0000016F">
                <w:pPr>
                  <w:widowControl w:val="0"/>
                  <w:spacing w:after="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100%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0">
                <w:pPr>
                  <w:widowControl w:val="0"/>
                  <w:spacing w:after="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100%</w:t>
                </w:r>
                <w:r w:rsidDel="00000000" w:rsidR="00000000" w:rsidRPr="00000000">
                  <w:rPr>
                    <w:rtl w:val="0"/>
                  </w:rPr>
                </w:r>
              </w:p>
            </w:tc>
          </w:tr>
        </w:tbl>
      </w:sdtContent>
    </w:sdt>
    <w:p w:rsidR="00000000" w:rsidDel="00000000" w:rsidP="00000000" w:rsidRDefault="00000000" w:rsidRPr="00000000" w14:paraId="0000017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Fuente: elaboración propia en base a EBES-GESDES.</w:t>
      </w:r>
    </w:p>
    <w:p w:rsidR="00000000" w:rsidDel="00000000" w:rsidP="00000000" w:rsidRDefault="00000000" w:rsidRPr="00000000" w14:paraId="00000172">
      <w:pPr>
        <w:spacing w:after="0" w:line="36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73">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 embargo, ese reconocimiento no se traduce en que las y los estudiantes opten por otras opciones en detrimento de la formación universitaria. De hecho, como puede observarse en la Tabla 10, hay una gran valoración de la formación de nivel superior por sobre otras alternativas que no implican estudiar, superando el 60% de desacuerdo  con la frase “Prefiero ganar dinero de otras maneras más sencillas y no estudiar una carrera universitaria”.</w:t>
      </w:r>
    </w:p>
    <w:p w:rsidR="00000000" w:rsidDel="00000000" w:rsidP="00000000" w:rsidRDefault="00000000" w:rsidRPr="00000000" w14:paraId="00000174">
      <w:pPr>
        <w:spacing w:after="0" w:line="36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b w:val="1"/>
          <w:bCs w:val="1"/>
          <w:rtl w:val="0"/>
        </w:rPr>
        <w:t xml:space="preserve">Tabla </w:t>
      </w:r>
      <w:r w:rsidDel="00000000" w:rsidR="00000000" w:rsidRPr="00000000">
        <w:rPr>
          <w:rFonts w:ascii="Times New Roman" w:cs="Times New Roman" w:eastAsia="Times New Roman" w:hAnsi="Times New Roman"/>
          <w:b w:val="1"/>
          <w:bCs w:val="1"/>
          <w:rtl w:val="0"/>
        </w:rPr>
        <w:t xml:space="preserve">10. Acuerdo con la frase “Prefiero ganar dinero de otras maneras más sencillas y no estudiar una carrera universitaria” según repitencia</w:t>
      </w:r>
    </w:p>
    <w:sdt>
      <w:sdtPr>
        <w:lock w:val="contentLocked"/>
        <w:id w:val="146248897"/>
        <w:tag w:val="goog_rdk_9"/>
      </w:sdtPr>
      <w:sdtContent>
        <w:tbl>
          <w:tblPr>
            <w:tblStyle w:val="Table11"/>
            <w:tblW w:w="9330.0" w:type="dxa"/>
            <w:jc w:val="left"/>
            <w:tblInd w:w="-2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930"/>
            <w:gridCol w:w="810"/>
            <w:gridCol w:w="810"/>
            <w:gridCol w:w="780"/>
            <w:tblGridChange w:id="0">
              <w:tblGrid>
                <w:gridCol w:w="6930"/>
                <w:gridCol w:w="810"/>
                <w:gridCol w:w="810"/>
                <w:gridCol w:w="780"/>
              </w:tblGrid>
            </w:tblGridChange>
          </w:tblGrid>
          <w:tr>
            <w:trPr>
              <w:cantSplit w:val="0"/>
              <w:trHeight w:val="342.978515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75">
                <w:pPr>
                  <w:widowControl w:val="0"/>
                  <w:spacing w:after="0" w:line="24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¿Qué tan de acuerdo estás con la siguiente frase? Prefiero ganar dinero de otras maneras más sencillas y no estudiar una carrera universitaria</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76">
                <w:pPr>
                  <w:widowControl w:val="0"/>
                  <w:spacing w:after="0" w:line="24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Repitió</w:t>
                </w:r>
              </w:p>
            </w:tc>
          </w:tr>
          <w:tr>
            <w:trPr>
              <w:cantSplit w:val="0"/>
              <w:trHeight w:val="282.97851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79">
                <w:pPr>
                  <w:widowControl w:val="0"/>
                  <w:spacing w:after="0" w:line="240" w:lineRule="auto"/>
                  <w:rPr>
                    <w:rFonts w:ascii="Times New Roman" w:cs="Times New Roman" w:eastAsia="Times New Roman" w:hAnsi="Times New Roman"/>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A">
                <w:pPr>
                  <w:widowControl w:val="0"/>
                  <w:spacing w:after="0" w:line="24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SI</w:t>
                </w:r>
              </w:p>
            </w:tc>
            <w:tc>
              <w:tcPr>
                <w:shd w:fill="auto" w:val="clear"/>
                <w:tcMar>
                  <w:top w:w="100.0" w:type="dxa"/>
                  <w:left w:w="100.0" w:type="dxa"/>
                  <w:bottom w:w="100.0" w:type="dxa"/>
                  <w:right w:w="100.0" w:type="dxa"/>
                </w:tcMar>
                <w:vAlign w:val="top"/>
              </w:tcPr>
              <w:p w:rsidR="00000000" w:rsidDel="00000000" w:rsidP="00000000" w:rsidRDefault="00000000" w:rsidRPr="00000000" w14:paraId="0000017B">
                <w:pPr>
                  <w:widowControl w:val="0"/>
                  <w:spacing w:after="0" w:line="24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17C">
                <w:pPr>
                  <w:widowControl w:val="0"/>
                  <w:spacing w:after="0" w:line="24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Total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D">
                <w:pPr>
                  <w:widowControl w:val="0"/>
                  <w:spacing w:after="0" w:line="24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De acuerdo</w:t>
                </w:r>
              </w:p>
            </w:tc>
            <w:tc>
              <w:tcPr>
                <w:shd w:fill="auto" w:val="clear"/>
                <w:tcMar>
                  <w:top w:w="100.0" w:type="dxa"/>
                  <w:left w:w="100.0" w:type="dxa"/>
                  <w:bottom w:w="100.0" w:type="dxa"/>
                  <w:right w:w="100.0" w:type="dxa"/>
                </w:tcMar>
                <w:vAlign w:val="top"/>
              </w:tcPr>
              <w:p w:rsidR="00000000" w:rsidDel="00000000" w:rsidP="00000000" w:rsidRDefault="00000000" w:rsidRPr="00000000" w14:paraId="0000017E">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20,7%</w:t>
                </w:r>
              </w:p>
            </w:tc>
            <w:tc>
              <w:tcPr>
                <w:shd w:fill="auto" w:val="clear"/>
                <w:tcMar>
                  <w:top w:w="100.0" w:type="dxa"/>
                  <w:left w:w="100.0" w:type="dxa"/>
                  <w:bottom w:w="100.0" w:type="dxa"/>
                  <w:right w:w="100.0" w:type="dxa"/>
                </w:tcMar>
                <w:vAlign w:val="top"/>
              </w:tcPr>
              <w:p w:rsidR="00000000" w:rsidDel="00000000" w:rsidP="00000000" w:rsidRDefault="00000000" w:rsidRPr="00000000" w14:paraId="0000017F">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12,8%</w:t>
                </w:r>
              </w:p>
            </w:tc>
            <w:tc>
              <w:tcPr>
                <w:shd w:fill="auto" w:val="clear"/>
                <w:tcMar>
                  <w:top w:w="100.0" w:type="dxa"/>
                  <w:left w:w="100.0" w:type="dxa"/>
                  <w:bottom w:w="100.0" w:type="dxa"/>
                  <w:right w:w="100.0" w:type="dxa"/>
                </w:tcMar>
                <w:vAlign w:val="top"/>
              </w:tcPr>
              <w:p w:rsidR="00000000" w:rsidDel="00000000" w:rsidP="00000000" w:rsidRDefault="00000000" w:rsidRPr="00000000" w14:paraId="00000180">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13,7%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1">
                <w:pPr>
                  <w:widowControl w:val="0"/>
                  <w:spacing w:after="0" w:line="24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En desacuerdo</w:t>
                </w:r>
              </w:p>
            </w:tc>
            <w:tc>
              <w:tcPr>
                <w:shd w:fill="auto" w:val="clear"/>
                <w:tcMar>
                  <w:top w:w="100.0" w:type="dxa"/>
                  <w:left w:w="100.0" w:type="dxa"/>
                  <w:bottom w:w="100.0" w:type="dxa"/>
                  <w:right w:w="100.0" w:type="dxa"/>
                </w:tcMar>
                <w:vAlign w:val="top"/>
              </w:tcPr>
              <w:p w:rsidR="00000000" w:rsidDel="00000000" w:rsidP="00000000" w:rsidRDefault="00000000" w:rsidRPr="00000000" w14:paraId="00000182">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60,1%</w:t>
                </w:r>
              </w:p>
            </w:tc>
            <w:tc>
              <w:tcPr>
                <w:shd w:fill="auto" w:val="clear"/>
                <w:tcMar>
                  <w:top w:w="100.0" w:type="dxa"/>
                  <w:left w:w="100.0" w:type="dxa"/>
                  <w:bottom w:w="100.0" w:type="dxa"/>
                  <w:right w:w="100.0" w:type="dxa"/>
                </w:tcMar>
                <w:vAlign w:val="top"/>
              </w:tcPr>
              <w:p w:rsidR="00000000" w:rsidDel="00000000" w:rsidP="00000000" w:rsidRDefault="00000000" w:rsidRPr="00000000" w14:paraId="00000183">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68,6%</w:t>
                </w:r>
              </w:p>
            </w:tc>
            <w:tc>
              <w:tcPr>
                <w:shd w:fill="auto" w:val="clear"/>
                <w:tcMar>
                  <w:top w:w="100.0" w:type="dxa"/>
                  <w:left w:w="100.0" w:type="dxa"/>
                  <w:bottom w:w="100.0" w:type="dxa"/>
                  <w:right w:w="100.0" w:type="dxa"/>
                </w:tcMar>
                <w:vAlign w:val="top"/>
              </w:tcPr>
              <w:p w:rsidR="00000000" w:rsidDel="00000000" w:rsidP="00000000" w:rsidRDefault="00000000" w:rsidRPr="00000000" w14:paraId="00000184">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67,7%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5">
                <w:pPr>
                  <w:widowControl w:val="0"/>
                  <w:spacing w:after="0" w:line="24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No sé</w:t>
                </w:r>
              </w:p>
            </w:tc>
            <w:tc>
              <w:tcPr>
                <w:shd w:fill="auto" w:val="clear"/>
                <w:tcMar>
                  <w:top w:w="100.0" w:type="dxa"/>
                  <w:left w:w="100.0" w:type="dxa"/>
                  <w:bottom w:w="100.0" w:type="dxa"/>
                  <w:right w:w="100.0" w:type="dxa"/>
                </w:tcMar>
                <w:vAlign w:val="top"/>
              </w:tcPr>
              <w:p w:rsidR="00000000" w:rsidDel="00000000" w:rsidP="00000000" w:rsidRDefault="00000000" w:rsidRPr="00000000" w14:paraId="00000186">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19,1%</w:t>
                </w:r>
              </w:p>
            </w:tc>
            <w:tc>
              <w:tcPr>
                <w:shd w:fill="auto" w:val="clear"/>
                <w:tcMar>
                  <w:top w:w="100.0" w:type="dxa"/>
                  <w:left w:w="100.0" w:type="dxa"/>
                  <w:bottom w:w="100.0" w:type="dxa"/>
                  <w:right w:w="100.0" w:type="dxa"/>
                </w:tcMar>
                <w:vAlign w:val="top"/>
              </w:tcPr>
              <w:p w:rsidR="00000000" w:rsidDel="00000000" w:rsidP="00000000" w:rsidRDefault="00000000" w:rsidRPr="00000000" w14:paraId="00000187">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18,4%</w:t>
                </w:r>
              </w:p>
            </w:tc>
            <w:tc>
              <w:tcPr>
                <w:shd w:fill="auto" w:val="clear"/>
                <w:tcMar>
                  <w:top w:w="100.0" w:type="dxa"/>
                  <w:left w:w="100.0" w:type="dxa"/>
                  <w:bottom w:w="100.0" w:type="dxa"/>
                  <w:right w:w="100.0" w:type="dxa"/>
                </w:tcMar>
                <w:vAlign w:val="top"/>
              </w:tcPr>
              <w:p w:rsidR="00000000" w:rsidDel="00000000" w:rsidP="00000000" w:rsidRDefault="00000000" w:rsidRPr="00000000" w14:paraId="00000188">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18,5%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9">
                <w:pPr>
                  <w:widowControl w:val="0"/>
                  <w:spacing w:after="0" w:line="24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8A">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shd w:fill="auto" w:val="clear"/>
                <w:tcMar>
                  <w:top w:w="100.0" w:type="dxa"/>
                  <w:left w:w="100.0" w:type="dxa"/>
                  <w:bottom w:w="100.0" w:type="dxa"/>
                  <w:right w:w="100.0" w:type="dxa"/>
                </w:tcMar>
                <w:vAlign w:val="top"/>
              </w:tcPr>
              <w:p w:rsidR="00000000" w:rsidDel="00000000" w:rsidP="00000000" w:rsidRDefault="00000000" w:rsidRPr="00000000" w14:paraId="0000018B">
                <w:pPr>
                  <w:widowControl w:val="0"/>
                  <w:spacing w:after="0" w:line="24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sz w:val="22"/>
                    <w:szCs w:val="22"/>
                    <w:rtl w:val="0"/>
                  </w:rPr>
                  <w:t xml:space="preserve">100%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C">
                <w:pPr>
                  <w:widowControl w:val="0"/>
                  <w:spacing w:after="0" w:line="24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sz w:val="22"/>
                    <w:szCs w:val="22"/>
                    <w:rtl w:val="0"/>
                  </w:rPr>
                  <w:t xml:space="preserve">100%</w:t>
                </w:r>
                <w:r w:rsidDel="00000000" w:rsidR="00000000" w:rsidRPr="00000000">
                  <w:rPr>
                    <w:rtl w:val="0"/>
                  </w:rPr>
                </w:r>
              </w:p>
            </w:tc>
          </w:tr>
        </w:tbl>
      </w:sdtContent>
    </w:sdt>
    <w:p w:rsidR="00000000" w:rsidDel="00000000" w:rsidP="00000000" w:rsidRDefault="00000000" w:rsidRPr="00000000" w14:paraId="0000018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Fuente: elaboración propia en base a EBES-GESDES.</w:t>
      </w:r>
    </w:p>
    <w:p w:rsidR="00000000" w:rsidDel="00000000" w:rsidP="00000000" w:rsidRDefault="00000000" w:rsidRPr="00000000" w14:paraId="0000018E">
      <w:pPr>
        <w:spacing w:after="0" w:line="36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8F">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Mientras tanto, la tabla 10 da cuenta de que la prolongada extensión de las carreras universitarias no modifica sustancialmente las intenciones de continuar estudiando en el nivel superior, de manera contrastante a discursos circulantes en las redes sociales. Aunque el desacuerdo con la frase “Dudo sobre si estudiar al terminar la escuela porque las carreras son demasiado largas” supera el 50%, es incluso más marcado entre quienes nunca han repetido (66,6% frente a 52,9% de repitentes). Podemos pensar que el hecho de haber obtenido buenos resultados en los estudios refuerza esta tendencia positiva que lleva a priorizar la obtención de credenciales educativas aunque signifique invertir más tiempo, ya que, anteriormente, el tiempo y el esfuerzo invertidos tuvieron consecuencias positivas.  </w:t>
      </w:r>
    </w:p>
    <w:p w:rsidR="00000000" w:rsidDel="00000000" w:rsidP="00000000" w:rsidRDefault="00000000" w:rsidRPr="00000000" w14:paraId="00000190">
      <w:pP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1">
      <w:pPr>
        <w:spacing w:after="0" w:line="36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Tabla 11. Acuerdo o desacuerdo con la frase “Dudo sobre si estudiar al terminar la escuela porque las carreras son demasiado largas” según repitencia</w:t>
      </w:r>
    </w:p>
    <w:sdt>
      <w:sdtPr>
        <w:lock w:val="contentLocked"/>
        <w:id w:val="-246958613"/>
        <w:tag w:val="goog_rdk_10"/>
      </w:sdtPr>
      <w:sdtContent>
        <w:tbl>
          <w:tblPr>
            <w:tblStyle w:val="Table12"/>
            <w:tblW w:w="90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150"/>
            <w:gridCol w:w="1005"/>
            <w:gridCol w:w="945"/>
            <w:gridCol w:w="960"/>
            <w:tblGridChange w:id="0">
              <w:tblGrid>
                <w:gridCol w:w="6150"/>
                <w:gridCol w:w="1005"/>
                <w:gridCol w:w="945"/>
                <w:gridCol w:w="960"/>
              </w:tblGrid>
            </w:tblGridChange>
          </w:tblGrid>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92">
                <w:pPr>
                  <w:widowControl w:val="0"/>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¿Qué tan de acuerdo estás con la siguiente frase? “Dudo sobre si estudiar al terminar la escuela porque las carreras son demasiado largas”</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93">
                <w:pPr>
                  <w:widowControl w:val="0"/>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Repitió</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96">
                <w:pPr>
                  <w:widowControl w:val="0"/>
                  <w:spacing w:after="0" w:line="240" w:lineRule="auto"/>
                  <w:rPr>
                    <w:rFonts w:ascii="Times New Roman" w:cs="Times New Roman" w:eastAsia="Times New Roman" w:hAnsi="Times New Roman"/>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7">
                <w:pPr>
                  <w:widowControl w:val="0"/>
                  <w:spacing w:after="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SI</w:t>
                </w:r>
              </w:p>
            </w:tc>
            <w:tc>
              <w:tcPr>
                <w:shd w:fill="auto" w:val="clear"/>
                <w:tcMar>
                  <w:top w:w="100.0" w:type="dxa"/>
                  <w:left w:w="100.0" w:type="dxa"/>
                  <w:bottom w:w="100.0" w:type="dxa"/>
                  <w:right w:w="100.0" w:type="dxa"/>
                </w:tcMar>
                <w:vAlign w:val="top"/>
              </w:tcPr>
              <w:p w:rsidR="00000000" w:rsidDel="00000000" w:rsidP="00000000" w:rsidRDefault="00000000" w:rsidRPr="00000000" w14:paraId="00000198">
                <w:pPr>
                  <w:widowControl w:val="0"/>
                  <w:spacing w:after="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199">
                <w:pPr>
                  <w:widowControl w:val="0"/>
                  <w:spacing w:after="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A">
                <w:pPr>
                  <w:widowControl w:val="0"/>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 acuerdo</w:t>
                </w:r>
              </w:p>
            </w:tc>
            <w:tc>
              <w:tcPr>
                <w:shd w:fill="auto" w:val="clear"/>
                <w:tcMar>
                  <w:top w:w="100.0" w:type="dxa"/>
                  <w:left w:w="100.0" w:type="dxa"/>
                  <w:bottom w:w="100.0" w:type="dxa"/>
                  <w:right w:w="100.0" w:type="dxa"/>
                </w:tcMar>
                <w:vAlign w:val="top"/>
              </w:tcPr>
              <w:p w:rsidR="00000000" w:rsidDel="00000000" w:rsidP="00000000" w:rsidRDefault="00000000" w:rsidRPr="00000000" w14:paraId="0000019B">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31,2%</w:t>
                </w:r>
              </w:p>
            </w:tc>
            <w:tc>
              <w:tcPr>
                <w:shd w:fill="auto" w:val="clear"/>
                <w:tcMar>
                  <w:top w:w="100.0" w:type="dxa"/>
                  <w:left w:w="100.0" w:type="dxa"/>
                  <w:bottom w:w="100.0" w:type="dxa"/>
                  <w:right w:w="100.0" w:type="dxa"/>
                </w:tcMar>
                <w:vAlign w:val="top"/>
              </w:tcPr>
              <w:p w:rsidR="00000000" w:rsidDel="00000000" w:rsidP="00000000" w:rsidRDefault="00000000" w:rsidRPr="00000000" w14:paraId="0000019C">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19,0%</w:t>
                </w:r>
              </w:p>
            </w:tc>
            <w:tc>
              <w:tcPr>
                <w:shd w:fill="auto" w:val="clear"/>
                <w:tcMar>
                  <w:top w:w="100.0" w:type="dxa"/>
                  <w:left w:w="100.0" w:type="dxa"/>
                  <w:bottom w:w="100.0" w:type="dxa"/>
                  <w:right w:w="100.0" w:type="dxa"/>
                </w:tcMar>
                <w:vAlign w:val="top"/>
              </w:tcPr>
              <w:p w:rsidR="00000000" w:rsidDel="00000000" w:rsidP="00000000" w:rsidRDefault="00000000" w:rsidRPr="00000000" w14:paraId="0000019D">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E">
                <w:pPr>
                  <w:widowControl w:val="0"/>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En desacuerdo</w:t>
                </w:r>
              </w:p>
            </w:tc>
            <w:tc>
              <w:tcPr>
                <w:shd w:fill="auto" w:val="clear"/>
                <w:tcMar>
                  <w:top w:w="100.0" w:type="dxa"/>
                  <w:left w:w="100.0" w:type="dxa"/>
                  <w:bottom w:w="100.0" w:type="dxa"/>
                  <w:right w:w="100.0" w:type="dxa"/>
                </w:tcMar>
                <w:vAlign w:val="top"/>
              </w:tcPr>
              <w:p w:rsidR="00000000" w:rsidDel="00000000" w:rsidP="00000000" w:rsidRDefault="00000000" w:rsidRPr="00000000" w14:paraId="0000019F">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52,9%</w:t>
                </w:r>
              </w:p>
            </w:tc>
            <w:tc>
              <w:tcPr>
                <w:shd w:fill="auto" w:val="clear"/>
                <w:tcMar>
                  <w:top w:w="100.0" w:type="dxa"/>
                  <w:left w:w="100.0" w:type="dxa"/>
                  <w:bottom w:w="100.0" w:type="dxa"/>
                  <w:right w:w="100.0" w:type="dxa"/>
                </w:tcMar>
                <w:vAlign w:val="top"/>
              </w:tcPr>
              <w:p w:rsidR="00000000" w:rsidDel="00000000" w:rsidP="00000000" w:rsidRDefault="00000000" w:rsidRPr="00000000" w14:paraId="000001A0">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66,6%</w:t>
                </w:r>
              </w:p>
            </w:tc>
            <w:tc>
              <w:tcPr>
                <w:shd w:fill="auto" w:val="clear"/>
                <w:tcMar>
                  <w:top w:w="100.0" w:type="dxa"/>
                  <w:left w:w="100.0" w:type="dxa"/>
                  <w:bottom w:w="100.0" w:type="dxa"/>
                  <w:right w:w="100.0" w:type="dxa"/>
                </w:tcMar>
                <w:vAlign w:val="top"/>
              </w:tcPr>
              <w:p w:rsidR="00000000" w:rsidDel="00000000" w:rsidP="00000000" w:rsidRDefault="00000000" w:rsidRPr="00000000" w14:paraId="000001A1">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65,0%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2">
                <w:pPr>
                  <w:widowControl w:val="0"/>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 sé</w:t>
                </w:r>
              </w:p>
            </w:tc>
            <w:tc>
              <w:tcPr>
                <w:shd w:fill="auto" w:val="clear"/>
                <w:tcMar>
                  <w:top w:w="100.0" w:type="dxa"/>
                  <w:left w:w="100.0" w:type="dxa"/>
                  <w:bottom w:w="100.0" w:type="dxa"/>
                  <w:right w:w="100.0" w:type="dxa"/>
                </w:tcMar>
                <w:vAlign w:val="top"/>
              </w:tcPr>
              <w:p w:rsidR="00000000" w:rsidDel="00000000" w:rsidP="00000000" w:rsidRDefault="00000000" w:rsidRPr="00000000" w14:paraId="000001A3">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15,7%</w:t>
                </w:r>
              </w:p>
            </w:tc>
            <w:tc>
              <w:tcPr>
                <w:shd w:fill="auto" w:val="clear"/>
                <w:tcMar>
                  <w:top w:w="100.0" w:type="dxa"/>
                  <w:left w:w="100.0" w:type="dxa"/>
                  <w:bottom w:w="100.0" w:type="dxa"/>
                  <w:right w:w="100.0" w:type="dxa"/>
                </w:tcMar>
                <w:vAlign w:val="top"/>
              </w:tcPr>
              <w:p w:rsidR="00000000" w:rsidDel="00000000" w:rsidP="00000000" w:rsidRDefault="00000000" w:rsidRPr="00000000" w14:paraId="000001A4">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14,3%</w:t>
                </w:r>
              </w:p>
            </w:tc>
            <w:tc>
              <w:tcPr>
                <w:shd w:fill="auto" w:val="clear"/>
                <w:tcMar>
                  <w:top w:w="100.0" w:type="dxa"/>
                  <w:left w:w="100.0" w:type="dxa"/>
                  <w:bottom w:w="100.0" w:type="dxa"/>
                  <w:right w:w="100.0" w:type="dxa"/>
                </w:tcMar>
                <w:vAlign w:val="top"/>
              </w:tcPr>
              <w:p w:rsidR="00000000" w:rsidDel="00000000" w:rsidP="00000000" w:rsidRDefault="00000000" w:rsidRPr="00000000" w14:paraId="000001A5">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6">
                <w:pPr>
                  <w:widowControl w:val="0"/>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A7">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c>
              <w:tcPr>
                <w:shd w:fill="auto" w:val="clear"/>
                <w:tcMar>
                  <w:top w:w="100.0" w:type="dxa"/>
                  <w:left w:w="100.0" w:type="dxa"/>
                  <w:bottom w:w="100.0" w:type="dxa"/>
                  <w:right w:w="100.0" w:type="dxa"/>
                </w:tcMar>
                <w:vAlign w:val="top"/>
              </w:tcPr>
              <w:p w:rsidR="00000000" w:rsidDel="00000000" w:rsidP="00000000" w:rsidRDefault="00000000" w:rsidRPr="00000000" w14:paraId="000001A8">
                <w:pPr>
                  <w:widowControl w:val="0"/>
                  <w:spacing w:after="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100%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9">
                <w:pPr>
                  <w:widowControl w:val="0"/>
                  <w:spacing w:after="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100%</w:t>
                </w:r>
                <w:r w:rsidDel="00000000" w:rsidR="00000000" w:rsidRPr="00000000">
                  <w:rPr>
                    <w:rtl w:val="0"/>
                  </w:rPr>
                </w:r>
              </w:p>
            </w:tc>
          </w:tr>
        </w:tbl>
      </w:sdtContent>
    </w:sdt>
    <w:p w:rsidR="00000000" w:rsidDel="00000000" w:rsidP="00000000" w:rsidRDefault="00000000" w:rsidRPr="00000000" w14:paraId="000001A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Fuente: elaboración propia en base a EBES-GESDES.</w:t>
      </w:r>
    </w:p>
    <w:p w:rsidR="00000000" w:rsidDel="00000000" w:rsidP="00000000" w:rsidRDefault="00000000" w:rsidRPr="00000000" w14:paraId="000001AB">
      <w:pP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C">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Finalmente, en la Tabla 12 se evidencia que la educación continúa siendo valorada como una herramienta para mejorar las oportunidades futuras. </w:t>
      </w:r>
    </w:p>
    <w:p w:rsidR="00000000" w:rsidDel="00000000" w:rsidP="00000000" w:rsidRDefault="00000000" w:rsidRPr="00000000" w14:paraId="000001AD">
      <w:pPr>
        <w:spacing w:after="0" w:line="36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Tabla 12. Acuerdo o desacuerdo con la frase “</w:t>
      </w:r>
      <w:r w:rsidDel="00000000" w:rsidR="00000000" w:rsidRPr="00000000">
        <w:rPr>
          <w:rFonts w:ascii="Times New Roman" w:cs="Times New Roman" w:eastAsia="Times New Roman" w:hAnsi="Times New Roman"/>
          <w:b w:val="1"/>
          <w:bCs w:val="1"/>
          <w:rtl w:val="0"/>
        </w:rPr>
        <w:t xml:space="preserve">Seguir estudiando me va a ayudar para tener mejor calidad de vida en el futuro”</w:t>
      </w:r>
      <w:r w:rsidDel="00000000" w:rsidR="00000000" w:rsidRPr="00000000">
        <w:rPr>
          <w:rFonts w:ascii="Times New Roman" w:cs="Times New Roman" w:eastAsia="Times New Roman" w:hAnsi="Times New Roman"/>
          <w:b w:val="1"/>
          <w:bCs w:val="1"/>
          <w:rtl w:val="0"/>
        </w:rPr>
        <w:t xml:space="preserve"> según repitencia</w:t>
      </w:r>
    </w:p>
    <w:sdt>
      <w:sdtPr>
        <w:lock w:val="contentLocked"/>
        <w:id w:val="2078971785"/>
        <w:tag w:val="goog_rdk_11"/>
      </w:sdtPr>
      <w:sdtContent>
        <w:tbl>
          <w:tblPr>
            <w:tblStyle w:val="Table13"/>
            <w:tblW w:w="91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240"/>
            <w:gridCol w:w="885"/>
            <w:gridCol w:w="1050"/>
            <w:gridCol w:w="975"/>
            <w:tblGridChange w:id="0">
              <w:tblGrid>
                <w:gridCol w:w="6240"/>
                <w:gridCol w:w="885"/>
                <w:gridCol w:w="1050"/>
                <w:gridCol w:w="975"/>
              </w:tblGrid>
            </w:tblGridChange>
          </w:tblGrid>
          <w:tr>
            <w:trPr>
              <w:cantSplit w:val="0"/>
              <w:trHeight w:val="440" w:hRule="atLeast"/>
              <w:tblHeader w:val="0"/>
            </w:trPr>
            <w:tc>
              <w:tcPr>
                <w:vMerge w:val="restart"/>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AE">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Seguir estudiando me va a ayudar para tener mejor calidad de vida en el futuro</w:t>
                </w:r>
              </w:p>
            </w:tc>
            <w:tc>
              <w:tcPr>
                <w:gridSpan w:val="3"/>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AF">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Repitió</w:t>
                </w:r>
              </w:p>
            </w:tc>
          </w:tr>
          <w:tr>
            <w:trPr>
              <w:cantSplit w:val="0"/>
              <w:trHeight w:val="140.9765625" w:hRule="atLeast"/>
              <w:tblHeader w:val="0"/>
            </w:trPr>
            <w:tc>
              <w:tcPr>
                <w:vMerge w:val="continue"/>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B2">
                <w:pPr>
                  <w:widowControl w:val="0"/>
                  <w:spacing w:after="0" w:line="240" w:lineRule="auto"/>
                  <w:rPr>
                    <w:rFonts w:ascii="Times New Roman" w:cs="Times New Roman" w:eastAsia="Times New Roman" w:hAnsi="Times New Roman"/>
                  </w:rPr>
                </w:pPr>
                <w:r w:rsidDel="00000000" w:rsidR="00000000" w:rsidRPr="00000000">
                  <w:rPr>
                    <w:rtl w:val="0"/>
                  </w:rPr>
                </w:r>
              </w:p>
            </w:tc>
            <w:tc>
              <w:tcPr>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B3">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Sí</w:t>
                </w:r>
              </w:p>
            </w:tc>
            <w:tc>
              <w:tcPr>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B4">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B5">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w:t>
                </w:r>
              </w:p>
            </w:tc>
          </w:tr>
          <w:tr>
            <w:trPr>
              <w:cantSplit w:val="0"/>
              <w:trHeight w:val="275.9765625" w:hRule="atLeast"/>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B6">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acuerdo</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B7">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67,9%</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B8">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73,9%</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B9">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73,2%</w:t>
                </w:r>
              </w:p>
            </w:tc>
          </w:tr>
          <w:tr>
            <w:trPr>
              <w:cantSplit w:val="0"/>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BA">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desacuerdo</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BB">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BC">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13,9%</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BD">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14,6%</w:t>
                </w:r>
              </w:p>
            </w:tc>
          </w:tr>
          <w:tr>
            <w:trPr>
              <w:cantSplit w:val="0"/>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BE">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sé</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BF">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11,8%</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C0">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12,1%</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C1">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12,0%</w:t>
                </w:r>
              </w:p>
            </w:tc>
          </w:tr>
          <w:tr>
            <w:trPr>
              <w:cantSplit w:val="0"/>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C2">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C3">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C4">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C5">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r>
        </w:tbl>
      </w:sdtContent>
    </w:sdt>
    <w:p w:rsidR="00000000" w:rsidDel="00000000" w:rsidP="00000000" w:rsidRDefault="00000000" w:rsidRPr="00000000" w14:paraId="000001C6">
      <w:pPr>
        <w:spacing w:after="20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Fuente: Elaboración propia en base a EBES-GESDES</w:t>
      </w:r>
    </w:p>
    <w:p w:rsidR="00000000" w:rsidDel="00000000" w:rsidP="00000000" w:rsidRDefault="00000000" w:rsidRPr="00000000" w14:paraId="000001C7">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Como puede observarse, la afirmación “Seguir estudiando me va ayudar a tener mejor calidad de vida en el futuro” muestra niveles altos de adherencia, el 73,2% manifestó estar de acuerdo, en contraste con el 14,6% que expresó desacuerdo y el 12% que indicó no saber. Al distinguir según repitencia, se advierte que el acuerdo es mayor entre quienes no repitieron (73,9%) que entre quienes sí lo hicieron (67,9%). En cuanto al desacuerdo, es levemente mayor entre las y los repitentes (20,2%, frente a 13,9% de desacuerdo entre no repitentes).</w:t>
      </w:r>
    </w:p>
    <w:p w:rsidR="00000000" w:rsidDel="00000000" w:rsidP="00000000" w:rsidRDefault="00000000" w:rsidRPr="00000000" w14:paraId="000001C8">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definitiva, el análisis conjunto de las tablas 9, 10, 11 y 12 nos permite afirmar que, pese a reconocer la existencia de otras opciones que generan mejoras en las condiciones de vida y dinero, las y los estudiantes bonaerenses apuestan mayoritariamente por continuar con su formación una vez finalizado el nivel secundario. Eligen la universidad pese a la existencia de trayectos formativos de menor duración así como de maneras más sencillas de ganar dinero. Así también, prima el convencimiento de que estudiar en la universidad es una garantía de mejoras en las condiciones de vida. </w:t>
      </w:r>
      <w:r w:rsidDel="00000000" w:rsidR="00000000" w:rsidRPr="00000000">
        <w:rPr>
          <w:rtl w:val="0"/>
        </w:rPr>
      </w:r>
    </w:p>
    <w:p w:rsidR="00000000" w:rsidDel="00000000" w:rsidP="00000000" w:rsidRDefault="00000000" w:rsidRPr="00000000" w14:paraId="000001C9">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CA">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Modelado y chances relativas </w:t>
      </w:r>
    </w:p>
    <w:p w:rsidR="00000000" w:rsidDel="00000000" w:rsidP="00000000" w:rsidRDefault="00000000" w:rsidRPr="00000000" w14:paraId="000001C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dar cuenta del efecto de la repitencia sobre las expectativas de continuar los estudios</w:t>
      </w:r>
      <w:r w:rsidDel="00000000" w:rsidR="00000000" w:rsidRPr="00000000">
        <w:rPr>
          <w:rFonts w:ascii="Times New Roman" w:cs="Times New Roman" w:eastAsia="Times New Roman" w:hAnsi="Times New Roman"/>
          <w:rtl w:val="0"/>
        </w:rPr>
        <w:t xml:space="preserve">, construimos una serie de modelos de regresión logística binomial bivariada. Para los fines de este trabajo analizamos el efecto bruto de la repitencia sobre:</w:t>
      </w:r>
    </w:p>
    <w:p w:rsidR="00000000" w:rsidDel="00000000" w:rsidP="00000000" w:rsidRDefault="00000000" w:rsidRPr="00000000" w14:paraId="000001CC">
      <w:pPr>
        <w:numPr>
          <w:ilvl w:val="0"/>
          <w:numId w:val="2"/>
        </w:numPr>
        <w:spacing w:after="0" w:afterAutospacing="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elección de una o varias áreas de estudio, </w:t>
      </w:r>
    </w:p>
    <w:p w:rsidR="00000000" w:rsidDel="00000000" w:rsidP="00000000" w:rsidRDefault="00000000" w:rsidRPr="00000000" w14:paraId="000001CD">
      <w:pPr>
        <w:numPr>
          <w:ilvl w:val="0"/>
          <w:numId w:val="2"/>
        </w:numPr>
        <w:spacing w:after="0" w:afterAutospacing="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elección del tipo de institución superior para la continuación de sus estudios,</w:t>
      </w:r>
    </w:p>
    <w:p w:rsidR="00000000" w:rsidDel="00000000" w:rsidP="00000000" w:rsidRDefault="00000000" w:rsidRPr="00000000" w14:paraId="000001CE">
      <w:pPr>
        <w:numPr>
          <w:ilvl w:val="0"/>
          <w:numId w:val="2"/>
        </w:numPr>
        <w:spacing w:after="0" w:afterAutospacing="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motivos por los cuales eligieron la carrera u oficio y </w:t>
      </w:r>
    </w:p>
    <w:p w:rsidR="00000000" w:rsidDel="00000000" w:rsidP="00000000" w:rsidRDefault="00000000" w:rsidRPr="00000000" w14:paraId="000001CF">
      <w:pPr>
        <w:numPr>
          <w:ilvl w:val="0"/>
          <w:numId w:val="2"/>
        </w:numP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chances de estar de acuerdo con las frases antes mencionadas.</w:t>
      </w:r>
    </w:p>
    <w:p w:rsidR="00000000" w:rsidDel="00000000" w:rsidP="00000000" w:rsidRDefault="00000000" w:rsidRPr="00000000" w14:paraId="000001D0">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estimar el efecto ajustado de la repitencia, elaboramos modelos multivariable de control adicionando el género como variable predictora. Así, analizamos estas dimensiones como un área temática o tópico en particular a partir de una única variable independiente, dejando para instancias futuras la construcción de modelos estadísticos más complejos que permitan analizar la asociación entre cada una de ellas y la inclusión de otras variables relevantes como el motivo de elección de la institución. Decidimos excluir de los modelos la opción “No sé” en tanto supondría estimar chances de indecisión o incertidumbre, lo cual escapa a los objetivos de este trabajo. Por lo demás, incluimos los coeficientes individuales de significancia para todos los modelos, medidas de bondad de ajuste y estadísticos de comparabilidad entre ellos.</w:t>
      </w:r>
    </w:p>
    <w:p w:rsidR="00000000" w:rsidDel="00000000" w:rsidP="00000000" w:rsidRDefault="00000000" w:rsidRPr="00000000" w14:paraId="000001D1">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Finalmente, cabe destacar que esta presentación de los datos no permite comparar las chances relativas entre las variables dependientes. Por las características de la encuesta, debimos recodificarlas de manera tal que cada una de las filas son en verdad un modelo en sí mismo. Esto se explica por la capacidad ilustrativa del ordenamiento tabular de los modelos.</w:t>
      </w:r>
    </w:p>
    <w:p w:rsidR="00000000" w:rsidDel="00000000" w:rsidP="00000000" w:rsidRDefault="00000000" w:rsidRPr="00000000" w14:paraId="000001D2">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consecuencia, estas tablas expresan los resultados de 23 modelos de regresión logística binomial bivariada, aglutinados en cuatro grandes áreas, e incluimos los 23 modelos de regresión logística multivariable para analizar el efecto de la repitencia ajustado por género.</w:t>
      </w:r>
    </w:p>
    <w:p w:rsidR="00000000" w:rsidDel="00000000" w:rsidP="00000000" w:rsidRDefault="00000000" w:rsidRPr="00000000" w14:paraId="000001D3">
      <w:pPr>
        <w:numPr>
          <w:ilvl w:val="0"/>
          <w:numId w:val="1"/>
        </w:numPr>
        <w:spacing w:line="240" w:lineRule="auto"/>
        <w:ind w:left="720" w:hanging="36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Elección de áreas de estudio</w:t>
      </w:r>
    </w:p>
    <w:p w:rsidR="00000000" w:rsidDel="00000000" w:rsidP="00000000" w:rsidRDefault="00000000" w:rsidRPr="00000000" w14:paraId="000001D4">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 Tabla 13 se exponen las razones de chances (OR) de elegir cada una de las áreas de estudio. Así vemos que la repitencia presenta una asociación estadísticamente significativa respecto a la elección de disciplinas típicamente vinculadas con el nivel superior universitario. En este sentido, Humanidades y Económicas son los casos donde el umbral de significancia es más exigente (p &lt;0.001) y expresan entre un 45 y 55% menos de chances de ser elegidas por estudiantes repitentes. </w:t>
      </w:r>
    </w:p>
    <w:p w:rsidR="00000000" w:rsidDel="00000000" w:rsidP="00000000" w:rsidRDefault="00000000" w:rsidRPr="00000000" w14:paraId="000001D5">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Contrariamente, aún cuando no alcanzan la significancia estadística, las y los estudiantes que han repetido tienen mayores chances (ORs &gt; 1) de elegir opciones no vinculadas con el nivel universitario -Oficios- o disciplinas que se imparten también en el nivel no universitario -Docencia-. Por lo demás, vemos que el OR de Programación tiende a ser igual a uno. Aun con esto, debemos considerar que en estos tres casos no se logró calcular el Pseudo R² por la baja frecuencia de elección de estas opciones. </w:t>
      </w:r>
    </w:p>
    <w:p w:rsidR="00000000" w:rsidDel="00000000" w:rsidP="00000000" w:rsidRDefault="00000000" w:rsidRPr="00000000" w14:paraId="000001D6">
      <w:pPr>
        <w:spacing w:line="240" w:lineRule="auto"/>
        <w:ind w:left="0"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Tabla 13. Regresión logística binomial bivariada. Razón de chances de elección de Áreas de Estudio</w:t>
      </w:r>
      <w:r w:rsidDel="00000000" w:rsidR="00000000" w:rsidRPr="00000000">
        <w:rPr>
          <w:rFonts w:ascii="Times New Roman" w:cs="Times New Roman" w:eastAsia="Times New Roman" w:hAnsi="Times New Roman"/>
          <w:b w:val="1"/>
          <w:bCs w:val="1"/>
          <w:vertAlign w:val="superscript"/>
        </w:rPr>
        <w:footnoteReference w:customMarkFollows="0" w:id="5"/>
      </w:r>
      <w:r w:rsidDel="00000000" w:rsidR="00000000" w:rsidRPr="00000000">
        <w:rPr>
          <w:rtl w:val="0"/>
        </w:rPr>
      </w:r>
    </w:p>
    <w:sdt>
      <w:sdtPr>
        <w:lock w:val="contentLocked"/>
        <w:id w:val="781602056"/>
        <w:tag w:val="goog_rdk_12"/>
      </w:sdtPr>
      <w:sdtContent>
        <w:tbl>
          <w:tblPr>
            <w:tblStyle w:val="Table14"/>
            <w:tblW w:w="850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63"/>
            <w:gridCol w:w="1063"/>
            <w:gridCol w:w="1063"/>
            <w:gridCol w:w="1063"/>
            <w:gridCol w:w="1063"/>
            <w:gridCol w:w="1063"/>
            <w:gridCol w:w="1063"/>
            <w:gridCol w:w="1063"/>
            <w:tblGridChange w:id="0">
              <w:tblGrid>
                <w:gridCol w:w="1063"/>
                <w:gridCol w:w="1063"/>
                <w:gridCol w:w="1063"/>
                <w:gridCol w:w="1063"/>
                <w:gridCol w:w="1063"/>
                <w:gridCol w:w="1063"/>
                <w:gridCol w:w="1063"/>
                <w:gridCol w:w="1063"/>
              </w:tblGrid>
            </w:tblGridChange>
          </w:tblGrid>
          <w:tr>
            <w:trPr>
              <w:cantSplit w:val="0"/>
              <w:trHeight w:val="113.38582677165356" w:hRule="atLeast"/>
              <w:tblHeader w:val="0"/>
            </w:trPr>
            <w:tc>
              <w:tcPr>
                <w:gridSpan w:val="2"/>
                <w:vMerge w:val="restart"/>
                <w:tcMar>
                  <w:top w:w="5.669291338582678" w:type="dxa"/>
                  <w:left w:w="5.669291338582678" w:type="dxa"/>
                  <w:bottom w:w="5.669291338582678" w:type="dxa"/>
                  <w:right w:w="5.669291338582678" w:type="dxa"/>
                </w:tcMar>
                <w:vAlign w:val="top"/>
              </w:tcPr>
              <w:p w:rsidR="00000000" w:rsidDel="00000000" w:rsidP="00000000" w:rsidRDefault="00000000" w:rsidRPr="00000000" w14:paraId="000001D7">
                <w:pPr>
                  <w:widowControl w:val="0"/>
                  <w:spacing w:after="0" w:line="24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D8">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Área de Elección</w:t>
                </w:r>
              </w:p>
            </w:tc>
            <w:tc>
              <w:tcPr>
                <w:gridSpan w:val="6"/>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DA">
                <w:pPr>
                  <w:widowControl w:val="0"/>
                  <w:spacing w:after="0" w:line="240" w:lineRule="auto"/>
                  <w:jc w:val="center"/>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sz w:val="22"/>
                    <w:szCs w:val="22"/>
                    <w:rtl w:val="0"/>
                  </w:rPr>
                  <w:t xml:space="preserve">Repitencia </w:t>
                </w:r>
                <w:r w:rsidDel="00000000" w:rsidR="00000000" w:rsidRPr="00000000">
                  <w:rPr>
                    <w:rFonts w:ascii="Times New Roman" w:cs="Times New Roman" w:eastAsia="Times New Roman" w:hAnsi="Times New Roman"/>
                    <w:i w:val="1"/>
                    <w:iCs w:val="1"/>
                    <w:sz w:val="22"/>
                    <w:szCs w:val="22"/>
                    <w:rtl w:val="0"/>
                  </w:rPr>
                  <w:t xml:space="preserve">(Ref. No repitió)</w:t>
                </w:r>
              </w:p>
            </w:tc>
          </w:tr>
          <w:tr>
            <w:trPr>
              <w:cantSplit w:val="0"/>
              <w:trHeight w:val="113.38582677165356" w:hRule="atLeast"/>
              <w:tblHeader w:val="0"/>
            </w:trPr>
            <w:tc>
              <w:tcPr>
                <w:gridSpan w:val="2"/>
                <w:vMerge w:val="continue"/>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E0">
                <w:pPr>
                  <w:widowControl w:val="0"/>
                  <w:spacing w:after="0" w:line="240" w:lineRule="auto"/>
                  <w:rPr>
                    <w:rFonts w:ascii="Times New Roman" w:cs="Times New Roman" w:eastAsia="Times New Roman" w:hAnsi="Times New Roman"/>
                    <w:b w:val="1"/>
                    <w:bCs w:val="1"/>
                  </w:rPr>
                </w:pPr>
                <w:r w:rsidDel="00000000" w:rsidR="00000000" w:rsidRPr="00000000">
                  <w:rPr>
                    <w:rtl w:val="0"/>
                  </w:rPr>
                </w:r>
              </w:p>
            </w:tc>
            <w:tc>
              <w:tcPr>
                <w:gridSpan w:val="6"/>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E2">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Repitió</w:t>
                </w:r>
              </w:p>
            </w:tc>
          </w:tr>
          <w:tr>
            <w:trPr>
              <w:cantSplit w:val="0"/>
              <w:trHeight w:val="113.38582677165356" w:hRule="atLeast"/>
              <w:tblHeader w:val="0"/>
            </w:trPr>
            <w:tc>
              <w:tcPr>
                <w:gridSpan w:val="2"/>
                <w:vMerge w:val="continue"/>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E8">
                <w:pPr>
                  <w:widowControl w:val="0"/>
                  <w:spacing w:after="0" w:line="240" w:lineRule="auto"/>
                  <w:rPr>
                    <w:rFonts w:ascii="Times New Roman" w:cs="Times New Roman" w:eastAsia="Times New Roman" w:hAnsi="Times New Roman"/>
                    <w:b w:val="1"/>
                    <w:bCs w:val="1"/>
                  </w:rPr>
                </w:pPr>
                <w:r w:rsidDel="00000000" w:rsidR="00000000" w:rsidRPr="00000000">
                  <w:rPr>
                    <w:rtl w:val="0"/>
                  </w:rPr>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EA">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OR</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EB">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SE</w:t>
                </w:r>
                <w:r w:rsidDel="00000000" w:rsidR="00000000" w:rsidRPr="00000000">
                  <w:rPr>
                    <w:rFonts w:ascii="Times New Roman" w:cs="Times New Roman" w:eastAsia="Times New Roman" w:hAnsi="Times New Roman"/>
                    <w:sz w:val="22"/>
                    <w:szCs w:val="22"/>
                    <w:vertAlign w:val="superscript"/>
                  </w:rPr>
                  <w:footnoteReference w:customMarkFollows="0" w:id="6"/>
                </w:r>
                <w:r w:rsidDel="00000000" w:rsidR="00000000" w:rsidRPr="00000000">
                  <w:rPr>
                    <w:rtl w:val="0"/>
                  </w:rPr>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EC">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Pseudo R²</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ED">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AIC</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EE">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BIC</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EF">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w:t>
                </w:r>
              </w:p>
            </w:tc>
          </w:tr>
          <w:tr>
            <w:trPr>
              <w:cantSplit w:val="0"/>
              <w:trHeight w:val="113.38582677165356" w:hRule="atLeast"/>
              <w:tblHeader w:val="0"/>
            </w:trPr>
            <w:tc>
              <w:tcPr>
                <w:gridSpan w:val="2"/>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F0">
                <w:pPr>
                  <w:widowControl w:val="0"/>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Humanidades</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F2">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0.55***</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F3">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0.155</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F4">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0,004</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F5">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4450,6</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F6">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4464,2</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F7">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6507</w:t>
                </w:r>
              </w:p>
            </w:tc>
          </w:tr>
          <w:tr>
            <w:trPr>
              <w:cantSplit w:val="0"/>
              <w:trHeight w:val="113.38582677165356" w:hRule="atLeast"/>
              <w:tblHeader w:val="0"/>
            </w:trPr>
            <w:tc>
              <w:tcPr>
                <w:gridSpan w:val="2"/>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F8">
                <w:pPr>
                  <w:widowControl w:val="0"/>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Exactas</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FA">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0.61*</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FB">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0.236</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FC">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0,002</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FD">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2264,9</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FE">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2278,4</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FF">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6507</w:t>
                </w:r>
              </w:p>
            </w:tc>
          </w:tr>
          <w:tr>
            <w:trPr>
              <w:cantSplit w:val="0"/>
              <w:trHeight w:val="113.38582677165356" w:hRule="atLeast"/>
              <w:tblHeader w:val="0"/>
            </w:trPr>
            <w:tc>
              <w:tcPr>
                <w:gridSpan w:val="2"/>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00">
                <w:pPr>
                  <w:widowControl w:val="0"/>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Ingeniería</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02">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0.78</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03">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0.167</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04">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0,001</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05">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3310,4</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06">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3324</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07">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6507</w:t>
                </w:r>
              </w:p>
            </w:tc>
          </w:tr>
          <w:tr>
            <w:trPr>
              <w:cantSplit w:val="0"/>
              <w:trHeight w:val="113.38582677165356" w:hRule="atLeast"/>
              <w:tblHeader w:val="0"/>
            </w:trPr>
            <w:tc>
              <w:tcPr>
                <w:gridSpan w:val="2"/>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08">
                <w:pPr>
                  <w:widowControl w:val="0"/>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Programación</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0A">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0.92</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0B">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0.197</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0C">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N/A</w:t>
                </w:r>
                <w:r w:rsidDel="00000000" w:rsidR="00000000" w:rsidRPr="00000000">
                  <w:rPr>
                    <w:rFonts w:ascii="Times New Roman" w:cs="Times New Roman" w:eastAsia="Times New Roman" w:hAnsi="Times New Roman"/>
                    <w:sz w:val="22"/>
                    <w:szCs w:val="22"/>
                    <w:vertAlign w:val="superscript"/>
                  </w:rPr>
                  <w:footnoteReference w:customMarkFollows="0" w:id="7"/>
                </w:r>
                <w:r w:rsidDel="00000000" w:rsidR="00000000" w:rsidRPr="00000000">
                  <w:rPr>
                    <w:rtl w:val="0"/>
                  </w:rPr>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0D">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2350,4</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0E">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2363,9</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0F">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6507</w:t>
                </w:r>
              </w:p>
            </w:tc>
          </w:tr>
          <w:tr>
            <w:trPr>
              <w:cantSplit w:val="0"/>
              <w:trHeight w:val="113.38582677165356" w:hRule="atLeast"/>
              <w:tblHeader w:val="0"/>
            </w:trPr>
            <w:tc>
              <w:tcPr>
                <w:gridSpan w:val="2"/>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10">
                <w:pPr>
                  <w:widowControl w:val="0"/>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Salud</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12">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0.64**</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13">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0.141</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14">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0,002</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15">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4720,3</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16">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4733,9</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17">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6507</w:t>
                </w:r>
              </w:p>
            </w:tc>
          </w:tr>
          <w:tr>
            <w:trPr>
              <w:cantSplit w:val="0"/>
              <w:trHeight w:val="113.38582677165356" w:hRule="atLeast"/>
              <w:tblHeader w:val="0"/>
            </w:trPr>
            <w:tc>
              <w:tcPr>
                <w:gridSpan w:val="2"/>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18">
                <w:pPr>
                  <w:widowControl w:val="0"/>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Económicas</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1A">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0.47***</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1B">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0.166</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1C">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0,006</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1D">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4391,7</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1E">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4405,2</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1F">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6507</w:t>
                </w:r>
              </w:p>
            </w:tc>
          </w:tr>
          <w:tr>
            <w:trPr>
              <w:cantSplit w:val="0"/>
              <w:trHeight w:val="113.38582677165356" w:hRule="atLeast"/>
              <w:tblHeader w:val="0"/>
            </w:trPr>
            <w:tc>
              <w:tcPr>
                <w:gridSpan w:val="2"/>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20">
                <w:pPr>
                  <w:widowControl w:val="0"/>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Arte</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22">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0.7*</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23">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0.159</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24">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0,001</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25">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3782,5</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26">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3796,1</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27">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6507</w:t>
                </w:r>
              </w:p>
            </w:tc>
          </w:tr>
          <w:tr>
            <w:trPr>
              <w:cantSplit w:val="0"/>
              <w:trHeight w:val="113.38582677165356" w:hRule="atLeast"/>
              <w:tblHeader w:val="0"/>
            </w:trPr>
            <w:tc>
              <w:tcPr>
                <w:gridSpan w:val="2"/>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28">
                <w:pPr>
                  <w:widowControl w:val="0"/>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Oficios</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2A">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1.22</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2B">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0.301</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2C">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N/A</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2D">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1012,1</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2E">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1025,6</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2F">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6507</w:t>
                </w:r>
              </w:p>
            </w:tc>
          </w:tr>
          <w:tr>
            <w:trPr>
              <w:cantSplit w:val="0"/>
              <w:trHeight w:val="113.38582677165356" w:hRule="atLeast"/>
              <w:tblHeader w:val="0"/>
            </w:trPr>
            <w:tc>
              <w:tcPr>
                <w:gridSpan w:val="2"/>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30">
                <w:pPr>
                  <w:widowControl w:val="0"/>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Docencia</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32">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1.15</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33">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0.165</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34">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N/A</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35">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2770,1</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36">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2783,6</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37">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6507</w:t>
                </w:r>
              </w:p>
            </w:tc>
          </w:tr>
        </w:tbl>
      </w:sdtContent>
    </w:sdt>
    <w:p w:rsidR="00000000" w:rsidDel="00000000" w:rsidP="00000000" w:rsidRDefault="00000000" w:rsidRPr="00000000" w14:paraId="00000238">
      <w:pPr>
        <w:spacing w:after="20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p&lt;0.001 | ** p&lt;0.01 | * p&lt;0.05</w:t>
      </w:r>
    </w:p>
    <w:p w:rsidR="00000000" w:rsidDel="00000000" w:rsidP="00000000" w:rsidRDefault="00000000" w:rsidRPr="00000000" w14:paraId="0000023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 Tabla 14 vemos que, en líneas generales, el efecto ajustado que la repitencia tiene sobre aquellas áreas con significancia estadística se mantienen, modificando entre un 2 y 9% las chances relativas de elección. Además, observamos que el modelo multivariable atenúa el efecto de la repitencia sobre las áreas de Exactas, Arte y Salud, así como acentúa el efecto sobre Ingeniería. En el caso de Exactas encontramos que al incluir género como variable predictiva se pierde la significancia estadística del OR. </w:t>
      </w:r>
    </w:p>
    <w:p w:rsidR="00000000" w:rsidDel="00000000" w:rsidP="00000000" w:rsidRDefault="00000000" w:rsidRPr="00000000" w14:paraId="0000023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lo demás, el incremento del Pseudo R² en todos los modelos -y especialmente en la elección de Programación- podría sugerir que la incorporación del género mejora la capacidad explicativa del modelo. Sumado a esto, vemos que que el BIC favorece al modelo de control solo en seis de los nueve casos. </w:t>
      </w:r>
    </w:p>
    <w:p w:rsidR="00000000" w:rsidDel="00000000" w:rsidP="00000000" w:rsidRDefault="00000000" w:rsidRPr="00000000" w14:paraId="0000023B">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Tabla 14. Comparación entre modelos de áreas de elección</w:t>
      </w:r>
    </w:p>
    <w:sdt>
      <w:sdtPr>
        <w:lock w:val="contentLocked"/>
        <w:id w:val="-1305577789"/>
        <w:tag w:val="goog_rdk_13"/>
      </w:sdtPr>
      <w:sdtContent>
        <w:tbl>
          <w:tblPr>
            <w:tblStyle w:val="Table15"/>
            <w:tblW w:w="940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0"/>
            <w:gridCol w:w="1710"/>
            <w:gridCol w:w="1050"/>
            <w:gridCol w:w="1170"/>
            <w:gridCol w:w="990"/>
            <w:gridCol w:w="1095"/>
            <w:gridCol w:w="1335"/>
            <w:gridCol w:w="1095"/>
            <w:tblGridChange w:id="0">
              <w:tblGrid>
                <w:gridCol w:w="960"/>
                <w:gridCol w:w="1710"/>
                <w:gridCol w:w="1050"/>
                <w:gridCol w:w="1170"/>
                <w:gridCol w:w="990"/>
                <w:gridCol w:w="1095"/>
                <w:gridCol w:w="1335"/>
                <w:gridCol w:w="1095"/>
              </w:tblGrid>
            </w:tblGridChange>
          </w:tblGrid>
          <w:tr>
            <w:trPr>
              <w:cantSplit w:val="0"/>
              <w:trHeight w:val="20.934823480259034" w:hRule="atLeast"/>
              <w:tblHeader w:val="0"/>
            </w:trPr>
            <w:tc>
              <w:tcPr>
                <w:gridSpan w:val="2"/>
                <w:vMerge w:val="restart"/>
                <w:tcMar>
                  <w:top w:w="34.01574803149607" w:type="dxa"/>
                  <w:left w:w="34.01574803149607" w:type="dxa"/>
                  <w:bottom w:w="34.01574803149607" w:type="dxa"/>
                  <w:right w:w="34.01574803149607" w:type="dxa"/>
                </w:tcMar>
                <w:vAlign w:val="top"/>
              </w:tcPr>
              <w:p w:rsidR="00000000" w:rsidDel="00000000" w:rsidP="00000000" w:rsidRDefault="00000000" w:rsidRPr="00000000" w14:paraId="0000023C">
                <w:pPr>
                  <w:widowControl w:val="0"/>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3D">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Área de Elección</w:t>
                </w:r>
              </w:p>
            </w:tc>
            <w:tc>
              <w:tcPr>
                <w:gridSpan w:val="3"/>
                <w:vMerge w:val="restart"/>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Modelo de repitencia</w:t>
                </w:r>
              </w:p>
            </w:tc>
            <w:tc>
              <w:tcPr>
                <w:gridSpan w:val="3"/>
                <w:vMerge w:val="restart"/>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Modelo de control </w:t>
                </w:r>
              </w:p>
            </w:tc>
          </w:tr>
          <w:tr>
            <w:trPr>
              <w:cantSplit w:val="0"/>
              <w:trHeight w:val="466.77165354330714" w:hRule="atLeast"/>
              <w:tblHeader w:val="0"/>
            </w:trPr>
            <w:tc>
              <w:tcPr>
                <w:gridSpan w:val="2"/>
                <w:vMerge w:val="continue"/>
                <w:tcMar>
                  <w:top w:w="34.01574803149607" w:type="dxa"/>
                  <w:left w:w="34.01574803149607" w:type="dxa"/>
                  <w:bottom w:w="34.01574803149607" w:type="dxa"/>
                  <w:right w:w="34.01574803149607" w:type="dxa"/>
                </w:tcMar>
                <w:vAlign w:val="top"/>
              </w:tcPr>
              <w:p w:rsidR="00000000" w:rsidDel="00000000" w:rsidP="00000000" w:rsidRDefault="00000000" w:rsidRPr="00000000" w14:paraId="00000245">
                <w:pPr>
                  <w:widowControl w:val="0"/>
                  <w:spacing w:after="0" w:line="240" w:lineRule="auto"/>
                  <w:jc w:val="both"/>
                  <w:rPr>
                    <w:rFonts w:ascii="Times New Roman" w:cs="Times New Roman" w:eastAsia="Times New Roman" w:hAnsi="Times New Roman"/>
                  </w:rPr>
                </w:pPr>
                <w:r w:rsidDel="00000000" w:rsidR="00000000" w:rsidRPr="00000000">
                  <w:rPr>
                    <w:rtl w:val="0"/>
                  </w:rPr>
                </w:r>
              </w:p>
            </w:tc>
            <w:tc>
              <w:tcPr>
                <w:gridSpan w:val="3"/>
                <w:vMerge w:val="continue"/>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tc>
            <w:tc>
              <w:tcPr>
                <w:gridSpan w:val="3"/>
                <w:vMerge w:val="continue"/>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tc>
          </w:tr>
          <w:tr>
            <w:trPr>
              <w:cantSplit w:val="0"/>
              <w:tblHeader w:val="0"/>
            </w:trPr>
            <w:tc>
              <w:tcPr>
                <w:gridSpan w:val="2"/>
                <w:vMerge w:val="continue"/>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gridSpan w:val="3"/>
                <w:vMerge w:val="continue"/>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gridSpan w:val="3"/>
                <w:vMerge w:val="continue"/>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95.9765625" w:hRule="atLeast"/>
              <w:tblHeader w:val="0"/>
            </w:trPr>
            <w:tc>
              <w:tcPr>
                <w:gridSpan w:val="2"/>
                <w:vMerge w:val="continue"/>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w:t>
                </w:r>
              </w:p>
            </w:tc>
            <w:tc>
              <w:tcPr>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Pseudo R²</w:t>
                </w:r>
              </w:p>
            </w:tc>
            <w:tc>
              <w:tcPr>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BIC</w:t>
                </w:r>
              </w:p>
            </w:tc>
            <w:tc>
              <w:tcPr>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w:t>
                </w:r>
              </w:p>
            </w:tc>
            <w:tc>
              <w:tcPr>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5B">
                <w:pPr>
                  <w:widowControl w:val="0"/>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Pseudo R²</w:t>
                </w:r>
              </w:p>
            </w:tc>
            <w:tc>
              <w:tcPr>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5C">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BIC</w:t>
                </w:r>
              </w:p>
            </w:tc>
          </w:tr>
          <w:tr>
            <w:trPr>
              <w:cantSplit w:val="0"/>
              <w:trHeight w:val="170.07874015748033" w:hRule="atLeast"/>
              <w:tblHeader w:val="0"/>
            </w:trPr>
            <w:tc>
              <w:tcPr>
                <w:gridSpan w:val="2"/>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5D">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Humanidades</w:t>
                </w:r>
              </w:p>
            </w:tc>
            <w:tc>
              <w:tcPr>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5F">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0.55***</w:t>
                </w:r>
              </w:p>
            </w:tc>
            <w:tc>
              <w:tcPr>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60">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0,004</w:t>
                </w:r>
              </w:p>
            </w:tc>
            <w:tc>
              <w:tcPr>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61">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4464,2</w:t>
                </w:r>
              </w:p>
            </w:tc>
            <w:tc>
              <w:tcPr>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62">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0.58***</w:t>
                </w:r>
              </w:p>
            </w:tc>
            <w:tc>
              <w:tcPr>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63">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0,017</w:t>
                </w:r>
              </w:p>
            </w:tc>
            <w:tc>
              <w:tcPr>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64">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4434,3</w:t>
                </w:r>
              </w:p>
            </w:tc>
          </w:tr>
          <w:tr>
            <w:trPr>
              <w:cantSplit w:val="0"/>
              <w:trHeight w:val="170.07874015748033" w:hRule="atLeast"/>
              <w:tblHeader w:val="0"/>
            </w:trPr>
            <w:tc>
              <w:tcPr>
                <w:gridSpan w:val="2"/>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65">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Exactas</w:t>
                </w:r>
              </w:p>
            </w:tc>
            <w:tc>
              <w:tcPr>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67">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0.61*</w:t>
                </w:r>
              </w:p>
            </w:tc>
            <w:tc>
              <w:tcPr>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68">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0,002</w:t>
                </w:r>
              </w:p>
            </w:tc>
            <w:tc>
              <w:tcPr>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69">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2278,4</w:t>
                </w:r>
              </w:p>
            </w:tc>
            <w:tc>
              <w:tcPr>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6A">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0.64</w:t>
                </w:r>
              </w:p>
            </w:tc>
            <w:tc>
              <w:tcPr>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6B">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0,007</w:t>
                </w:r>
              </w:p>
            </w:tc>
            <w:tc>
              <w:tcPr>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6C">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2294,6</w:t>
                </w:r>
              </w:p>
            </w:tc>
          </w:tr>
          <w:tr>
            <w:trPr>
              <w:cantSplit w:val="0"/>
              <w:trHeight w:val="170.07874015748033" w:hRule="atLeast"/>
              <w:tblHeader w:val="0"/>
            </w:trPr>
            <w:tc>
              <w:tcPr>
                <w:gridSpan w:val="2"/>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6D">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Ingeniería</w:t>
                </w:r>
              </w:p>
            </w:tc>
            <w:tc>
              <w:tcPr>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6F">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0.78</w:t>
                </w:r>
              </w:p>
            </w:tc>
            <w:tc>
              <w:tcPr>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70">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0,001</w:t>
                </w:r>
              </w:p>
            </w:tc>
            <w:tc>
              <w:tcPr>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71">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3324</w:t>
                </w:r>
              </w:p>
            </w:tc>
            <w:tc>
              <w:tcPr>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72">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0.71*</w:t>
                </w:r>
              </w:p>
            </w:tc>
            <w:tc>
              <w:tcPr>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73">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0,03</w:t>
                </w:r>
              </w:p>
            </w:tc>
            <w:tc>
              <w:tcPr>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74">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3252,3</w:t>
                </w:r>
              </w:p>
            </w:tc>
          </w:tr>
          <w:tr>
            <w:trPr>
              <w:cantSplit w:val="0"/>
              <w:trHeight w:val="170.07874015748033" w:hRule="atLeast"/>
              <w:tblHeader w:val="0"/>
            </w:trPr>
            <w:tc>
              <w:tcPr>
                <w:gridSpan w:val="2"/>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75">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Programación</w:t>
                </w:r>
              </w:p>
            </w:tc>
            <w:tc>
              <w:tcPr>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77">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0.92</w:t>
                </w:r>
              </w:p>
            </w:tc>
            <w:tc>
              <w:tcPr>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78">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N/A</w:t>
                </w:r>
              </w:p>
            </w:tc>
            <w:tc>
              <w:tcPr>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79">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2363,9</w:t>
                </w:r>
              </w:p>
            </w:tc>
            <w:tc>
              <w:tcPr>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7A">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0.78</w:t>
                </w:r>
              </w:p>
            </w:tc>
            <w:tc>
              <w:tcPr>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7B">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0,082</w:t>
                </w:r>
              </w:p>
            </w:tc>
            <w:tc>
              <w:tcPr>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7C">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2198,7</w:t>
                </w:r>
              </w:p>
            </w:tc>
          </w:tr>
          <w:tr>
            <w:trPr>
              <w:cantSplit w:val="0"/>
              <w:trHeight w:val="170.07874015748033" w:hRule="atLeast"/>
              <w:tblHeader w:val="0"/>
            </w:trPr>
            <w:tc>
              <w:tcPr>
                <w:gridSpan w:val="2"/>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7D">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Salud</w:t>
                </w:r>
              </w:p>
            </w:tc>
            <w:tc>
              <w:tcPr>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7F">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0.64**</w:t>
                </w:r>
              </w:p>
            </w:tc>
            <w:tc>
              <w:tcPr>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80">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0,002</w:t>
                </w:r>
              </w:p>
            </w:tc>
            <w:tc>
              <w:tcPr>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81">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4733,9</w:t>
                </w:r>
              </w:p>
            </w:tc>
            <w:tc>
              <w:tcPr>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82">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0.7*</w:t>
                </w:r>
              </w:p>
            </w:tc>
            <w:tc>
              <w:tcPr>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83">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0,035</w:t>
                </w:r>
              </w:p>
            </w:tc>
            <w:tc>
              <w:tcPr>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84">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4607</w:t>
                </w:r>
              </w:p>
            </w:tc>
          </w:tr>
          <w:tr>
            <w:trPr>
              <w:cantSplit w:val="0"/>
              <w:trHeight w:val="170.07874015748033" w:hRule="atLeast"/>
              <w:tblHeader w:val="0"/>
            </w:trPr>
            <w:tc>
              <w:tcPr>
                <w:gridSpan w:val="2"/>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85">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Económicas</w:t>
                </w:r>
              </w:p>
            </w:tc>
            <w:tc>
              <w:tcPr>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87">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0.47***</w:t>
                </w:r>
              </w:p>
            </w:tc>
            <w:tc>
              <w:tcPr>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88">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0,006</w:t>
                </w:r>
              </w:p>
            </w:tc>
            <w:tc>
              <w:tcPr>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89">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4405,2</w:t>
                </w:r>
              </w:p>
            </w:tc>
            <w:tc>
              <w:tcPr>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8A">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0.46***</w:t>
                </w:r>
              </w:p>
            </w:tc>
            <w:tc>
              <w:tcPr>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8B">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0,007</w:t>
                </w:r>
              </w:p>
            </w:tc>
            <w:tc>
              <w:tcPr>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8C">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4426,4</w:t>
                </w:r>
              </w:p>
            </w:tc>
          </w:tr>
          <w:tr>
            <w:trPr>
              <w:cantSplit w:val="0"/>
              <w:trHeight w:val="170.07874015748033" w:hRule="atLeast"/>
              <w:tblHeader w:val="0"/>
            </w:trPr>
            <w:tc>
              <w:tcPr>
                <w:gridSpan w:val="2"/>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8D">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Arte</w:t>
                </w:r>
              </w:p>
            </w:tc>
            <w:tc>
              <w:tcPr>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8F">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0.7*</w:t>
                </w:r>
              </w:p>
            </w:tc>
            <w:tc>
              <w:tcPr>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90">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0,001</w:t>
                </w:r>
              </w:p>
            </w:tc>
            <w:tc>
              <w:tcPr>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91">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3796,1</w:t>
                </w:r>
              </w:p>
            </w:tc>
            <w:tc>
              <w:tcPr>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92">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0.73*</w:t>
                </w:r>
              </w:p>
            </w:tc>
            <w:tc>
              <w:tcPr>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93">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0,025</w:t>
                </w:r>
              </w:p>
            </w:tc>
            <w:tc>
              <w:tcPr>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94">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3732,6</w:t>
                </w:r>
              </w:p>
            </w:tc>
          </w:tr>
          <w:tr>
            <w:trPr>
              <w:cantSplit w:val="0"/>
              <w:trHeight w:val="170.07874015748033" w:hRule="atLeast"/>
              <w:tblHeader w:val="0"/>
            </w:trPr>
            <w:tc>
              <w:tcPr>
                <w:gridSpan w:val="2"/>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95">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Oficios</w:t>
                </w:r>
              </w:p>
            </w:tc>
            <w:tc>
              <w:tcPr>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97">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1.22</w:t>
                </w:r>
              </w:p>
            </w:tc>
            <w:tc>
              <w:tcPr>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98">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N/A</w:t>
                </w:r>
              </w:p>
            </w:tc>
            <w:tc>
              <w:tcPr>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99">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1025,6</w:t>
                </w:r>
              </w:p>
            </w:tc>
            <w:tc>
              <w:tcPr>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9A">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1.13</w:t>
                </w:r>
              </w:p>
            </w:tc>
            <w:tc>
              <w:tcPr>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9B">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0,024</w:t>
                </w:r>
              </w:p>
            </w:tc>
            <w:tc>
              <w:tcPr>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9C">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1027,8</w:t>
                </w:r>
              </w:p>
            </w:tc>
          </w:tr>
          <w:tr>
            <w:trPr>
              <w:cantSplit w:val="0"/>
              <w:trHeight w:val="170.07874015748033" w:hRule="atLeast"/>
              <w:tblHeader w:val="0"/>
            </w:trPr>
            <w:tc>
              <w:tcPr>
                <w:gridSpan w:val="2"/>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9D">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Docencia</w:t>
                </w:r>
              </w:p>
            </w:tc>
            <w:tc>
              <w:tcPr>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9F">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1.15</w:t>
                </w:r>
              </w:p>
            </w:tc>
            <w:tc>
              <w:tcPr>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A0">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N/A</w:t>
                </w:r>
              </w:p>
            </w:tc>
            <w:tc>
              <w:tcPr>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A1">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2783,6</w:t>
                </w:r>
              </w:p>
            </w:tc>
            <w:tc>
              <w:tcPr>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A2">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1.25</w:t>
                </w:r>
              </w:p>
            </w:tc>
            <w:tc>
              <w:tcPr>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A3">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0,02</w:t>
                </w:r>
              </w:p>
            </w:tc>
            <w:tc>
              <w:tcPr>
                <w:shd w:fill="auto" w:val="clear"/>
                <w:tcMar>
                  <w:top w:w="34.01574803149607" w:type="dxa"/>
                  <w:left w:w="34.01574803149607" w:type="dxa"/>
                  <w:bottom w:w="34.01574803149607" w:type="dxa"/>
                  <w:right w:w="34.01574803149607" w:type="dxa"/>
                </w:tcMar>
                <w:vAlign w:val="top"/>
              </w:tcPr>
              <w:p w:rsidR="00000000" w:rsidDel="00000000" w:rsidP="00000000" w:rsidRDefault="00000000" w:rsidRPr="00000000" w14:paraId="000002A4">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2755,8</w:t>
                </w:r>
              </w:p>
            </w:tc>
          </w:tr>
        </w:tbl>
      </w:sdtContent>
    </w:sdt>
    <w:p w:rsidR="00000000" w:rsidDel="00000000" w:rsidP="00000000" w:rsidRDefault="00000000" w:rsidRPr="00000000" w14:paraId="000002A5">
      <w:pPr>
        <w:spacing w:after="20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p&lt;0.001 | ** p&lt;0.01 | * p&lt;0.05</w:t>
      </w:r>
    </w:p>
    <w:p w:rsidR="00000000" w:rsidDel="00000000" w:rsidP="00000000" w:rsidRDefault="00000000" w:rsidRPr="00000000" w14:paraId="000002A6">
      <w:pPr>
        <w:spacing w:after="20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A7">
      <w:pPr>
        <w:numPr>
          <w:ilvl w:val="0"/>
          <w:numId w:val="1"/>
        </w:numPr>
        <w:spacing w:line="240" w:lineRule="auto"/>
        <w:ind w:left="720" w:hanging="36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Elección de tipo de institución superior</w:t>
      </w:r>
    </w:p>
    <w:p w:rsidR="00000000" w:rsidDel="00000000" w:rsidP="00000000" w:rsidRDefault="00000000" w:rsidRPr="00000000" w14:paraId="000002A8">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analizar el efecto bruto de la repitencia sobre el tipo de institución superior elegida -Tabla 15- vemos que el modelo encuentra significatividad estadística en la elección de universidad pública y privada, así como también -pero en menor medida- de terciario privado. Así, vemos que la repitencia tiene un impacto en las chances de elegir cualquiera de ellas. Asimismo, el modelo pierde precisión para terciario privado ya que expresa el mayor impacto de la variable predictora y el mayor error estándar de todos.</w:t>
      </w:r>
    </w:p>
    <w:p w:rsidR="00000000" w:rsidDel="00000000" w:rsidP="00000000" w:rsidRDefault="00000000" w:rsidRPr="00000000" w14:paraId="000002A9">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resto de opciones vemos que los ORs son mayores a 1 pero no alcanzan significancia estadística, lo que nos impide afirmar que la repitencia aumente las chances de elegir estas instituciones. Mencionamos nuevamente que la baja frecuencia de personas encuestadas que eligieron estas opciones podría afectar la precisión del modelo.</w:t>
      </w:r>
    </w:p>
    <w:p w:rsidR="00000000" w:rsidDel="00000000" w:rsidP="00000000" w:rsidRDefault="00000000" w:rsidRPr="00000000" w14:paraId="000002AA">
      <w:pPr>
        <w:spacing w:after="20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Tabla 15. Regresión logística binomial bivariada. Razón de chances de tipo Institución superior</w:t>
      </w:r>
    </w:p>
    <w:sdt>
      <w:sdtPr>
        <w:lock w:val="contentLocked"/>
        <w:id w:val="23590345"/>
        <w:tag w:val="goog_rdk_14"/>
      </w:sdtPr>
      <w:sdtContent>
        <w:tbl>
          <w:tblPr>
            <w:tblStyle w:val="Table16"/>
            <w:tblW w:w="850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63"/>
            <w:gridCol w:w="1063"/>
            <w:gridCol w:w="1063"/>
            <w:gridCol w:w="1063"/>
            <w:gridCol w:w="1063"/>
            <w:gridCol w:w="1063"/>
            <w:gridCol w:w="1063"/>
            <w:gridCol w:w="1063"/>
            <w:tblGridChange w:id="0">
              <w:tblGrid>
                <w:gridCol w:w="1063"/>
                <w:gridCol w:w="1063"/>
                <w:gridCol w:w="1063"/>
                <w:gridCol w:w="1063"/>
                <w:gridCol w:w="1063"/>
                <w:gridCol w:w="1063"/>
                <w:gridCol w:w="1063"/>
                <w:gridCol w:w="1063"/>
              </w:tblGrid>
            </w:tblGridChange>
          </w:tblGrid>
          <w:tr>
            <w:trPr>
              <w:cantSplit w:val="0"/>
              <w:tblHeader w:val="0"/>
            </w:trPr>
            <w:tc>
              <w:tcPr>
                <w:gridSpan w:val="2"/>
                <w:vMerge w:val="restart"/>
                <w:tcMar>
                  <w:top w:w="28.34645669291339" w:type="dxa"/>
                  <w:left w:w="28.34645669291339" w:type="dxa"/>
                  <w:bottom w:w="28.34645669291339" w:type="dxa"/>
                  <w:right w:w="28.34645669291339" w:type="dxa"/>
                </w:tcMar>
                <w:vAlign w:val="top"/>
              </w:tcPr>
              <w:p w:rsidR="00000000" w:rsidDel="00000000" w:rsidP="00000000" w:rsidRDefault="00000000" w:rsidRPr="00000000" w14:paraId="000002AB">
                <w:pPr>
                  <w:widowControl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AC">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Tipo de institución</w:t>
                </w:r>
              </w:p>
            </w:tc>
            <w:tc>
              <w:tcPr>
                <w:gridSpan w:val="6"/>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AE">
                <w:pPr>
                  <w:widowControl w:val="0"/>
                  <w:spacing w:after="0" w:line="240" w:lineRule="auto"/>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Repitencia </w:t>
                </w:r>
                <w:r w:rsidDel="00000000" w:rsidR="00000000" w:rsidRPr="00000000">
                  <w:rPr>
                    <w:rFonts w:ascii="Times New Roman" w:cs="Times New Roman" w:eastAsia="Times New Roman" w:hAnsi="Times New Roman"/>
                    <w:i w:val="1"/>
                    <w:iCs w:val="1"/>
                    <w:rtl w:val="0"/>
                  </w:rPr>
                  <w:t xml:space="preserve">(Ref. No repitió)</w:t>
                </w:r>
              </w:p>
            </w:tc>
          </w:tr>
          <w:tr>
            <w:trPr>
              <w:cantSplit w:val="0"/>
              <w:tblHeader w:val="0"/>
            </w:trPr>
            <w:tc>
              <w:tcPr>
                <w:gridSpan w:val="2"/>
                <w:vMerge w:val="continue"/>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B4">
                <w:pPr>
                  <w:widowControl w:val="0"/>
                  <w:spacing w:after="0" w:line="240" w:lineRule="auto"/>
                  <w:rPr>
                    <w:rFonts w:ascii="Times New Roman" w:cs="Times New Roman" w:eastAsia="Times New Roman" w:hAnsi="Times New Roman"/>
                    <w:b w:val="1"/>
                    <w:bCs w:val="1"/>
                  </w:rPr>
                </w:pPr>
                <w:r w:rsidDel="00000000" w:rsidR="00000000" w:rsidRPr="00000000">
                  <w:rPr>
                    <w:rtl w:val="0"/>
                  </w:rPr>
                </w:r>
              </w:p>
            </w:tc>
            <w:tc>
              <w:tcPr>
                <w:gridSpan w:val="6"/>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B6">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Repitió</w:t>
                </w:r>
              </w:p>
            </w:tc>
          </w:tr>
          <w:tr>
            <w:trPr>
              <w:cantSplit w:val="0"/>
              <w:tblHeader w:val="0"/>
            </w:trPr>
            <w:tc>
              <w:tcPr>
                <w:gridSpan w:val="2"/>
                <w:vMerge w:val="continue"/>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BC">
                <w:pPr>
                  <w:widowControl w:val="0"/>
                  <w:spacing w:after="0" w:line="240" w:lineRule="auto"/>
                  <w:rPr>
                    <w:rFonts w:ascii="Times New Roman" w:cs="Times New Roman" w:eastAsia="Times New Roman" w:hAnsi="Times New Roman"/>
                    <w:b w:val="1"/>
                    <w:bCs w:val="1"/>
                  </w:rPr>
                </w:pPr>
                <w:r w:rsidDel="00000000" w:rsidR="00000000" w:rsidRPr="00000000">
                  <w:rPr>
                    <w:rtl w:val="0"/>
                  </w:rPr>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BE">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BF">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C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Pseudo R²</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C1">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AIC</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C2">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BIC</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C3">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r>
          <w:tr>
            <w:trPr>
              <w:cantSplit w:val="0"/>
              <w:tblHeader w:val="0"/>
            </w:trPr>
            <w:tc>
              <w:tcPr>
                <w:gridSpan w:val="2"/>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C4">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Pública</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C6">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0.66***</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C7">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0.079</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C8">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0,003</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C9">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8993,9</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CA">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9007,4</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CB">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6507</w:t>
                </w:r>
              </w:p>
            </w:tc>
          </w:tr>
          <w:tr>
            <w:trPr>
              <w:cantSplit w:val="0"/>
              <w:tblHeader w:val="0"/>
            </w:trPr>
            <w:tc>
              <w:tcPr>
                <w:gridSpan w:val="2"/>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CC">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privada</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CE">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0.44***</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CF">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0.153</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D0">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0,007</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D1">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5035,3</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D2">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5048,9</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D3">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6507</w:t>
                </w:r>
              </w:p>
            </w:tc>
          </w:tr>
          <w:tr>
            <w:trPr>
              <w:cantSplit w:val="0"/>
              <w:tblHeader w:val="0"/>
            </w:trPr>
            <w:tc>
              <w:tcPr>
                <w:gridSpan w:val="2"/>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D4">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Terciario público</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D6">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1.11</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D7">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0.187</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D8">
                <w:pPr>
                  <w:widowControl w:val="0"/>
                  <w:spacing w:after="0" w:line="240" w:lineRule="auto"/>
                  <w:jc w:val="center"/>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N/A</w:t>
                </w:r>
                <w:r w:rsidDel="00000000" w:rsidR="00000000" w:rsidRPr="00000000">
                  <w:rPr>
                    <w:rtl w:val="0"/>
                  </w:rPr>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D9">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2294,5</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DA">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2308,1</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DB">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6507</w:t>
                </w:r>
              </w:p>
            </w:tc>
          </w:tr>
          <w:tr>
            <w:trPr>
              <w:cantSplit w:val="0"/>
              <w:tblHeader w:val="0"/>
            </w:trPr>
            <w:tc>
              <w:tcPr>
                <w:gridSpan w:val="2"/>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DC">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Terciario privado</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DE">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0.33*</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DF">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0.512</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E0">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0,006</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E1">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1014,3</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E2">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1027,8</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E3">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6507</w:t>
                </w:r>
              </w:p>
            </w:tc>
          </w:tr>
          <w:tr>
            <w:trPr>
              <w:cantSplit w:val="0"/>
              <w:tblHeader w:val="0"/>
            </w:trPr>
            <w:tc>
              <w:tcPr>
                <w:gridSpan w:val="2"/>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E4">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Oficios</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E6">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E7">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0.278</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E8">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0,003</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E9">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958,6</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EA">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972,2</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EB">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6507</w:t>
                </w:r>
              </w:p>
            </w:tc>
          </w:tr>
        </w:tbl>
      </w:sdtContent>
    </w:sdt>
    <w:p w:rsidR="00000000" w:rsidDel="00000000" w:rsidP="00000000" w:rsidRDefault="00000000" w:rsidRPr="00000000" w14:paraId="000002EC">
      <w:pPr>
        <w:spacing w:after="20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p&lt;0.001 | ** p&lt;0.01 | * p&lt;0.05</w:t>
      </w:r>
    </w:p>
    <w:p w:rsidR="00000000" w:rsidDel="00000000" w:rsidP="00000000" w:rsidRDefault="00000000" w:rsidRPr="00000000" w14:paraId="000002ED">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contrastarlo con el modelo de control -Tabla 16- vemos que el efecto de la repitencia sigue presente en estas elecciones, con algunas correcciones de OR que se ubican entre el 0 y el 10%. Respecto a la significancia estadística, agregar esta variable de control no genera cambios en ningún caso. Así, los datos indican que incluir el género no demuestra mejoras sustantivas en más de la mitad de estos modelos. </w:t>
      </w:r>
    </w:p>
    <w:p w:rsidR="00000000" w:rsidDel="00000000" w:rsidP="00000000" w:rsidRDefault="00000000" w:rsidRPr="00000000" w14:paraId="000002EE">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Tabla 16. Comparación entre modelos de tipo de institución</w:t>
      </w:r>
    </w:p>
    <w:sdt>
      <w:sdtPr>
        <w:lock w:val="contentLocked"/>
        <w:id w:val="-1546263791"/>
        <w:tag w:val="goog_rdk_15"/>
      </w:sdtPr>
      <w:sdtContent>
        <w:tbl>
          <w:tblPr>
            <w:tblStyle w:val="Table17"/>
            <w:tblW w:w="77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
            <w:gridCol w:w="765"/>
            <w:gridCol w:w="885"/>
            <w:gridCol w:w="1260"/>
            <w:gridCol w:w="900"/>
            <w:gridCol w:w="900"/>
            <w:gridCol w:w="1180.0000000000011"/>
            <w:gridCol w:w="859.9999999999989"/>
            <w:tblGridChange w:id="0">
              <w:tblGrid>
                <w:gridCol w:w="1020"/>
                <w:gridCol w:w="765"/>
                <w:gridCol w:w="885"/>
                <w:gridCol w:w="1260"/>
                <w:gridCol w:w="900"/>
                <w:gridCol w:w="900"/>
                <w:gridCol w:w="1180.0000000000011"/>
                <w:gridCol w:w="859.9999999999989"/>
              </w:tblGrid>
            </w:tblGridChange>
          </w:tblGrid>
          <w:tr>
            <w:trPr>
              <w:cantSplit w:val="0"/>
              <w:trHeight w:val="56.69291338582678" w:hRule="atLeast"/>
              <w:tblHeader w:val="0"/>
            </w:trPr>
            <w:tc>
              <w:tcPr>
                <w:gridSpan w:val="2"/>
                <w:vMerge w:val="restart"/>
                <w:tcMar>
                  <w:top w:w="28.34645669291339" w:type="dxa"/>
                  <w:left w:w="28.34645669291339" w:type="dxa"/>
                  <w:bottom w:w="28.34645669291339" w:type="dxa"/>
                  <w:right w:w="28.34645669291339" w:type="dxa"/>
                </w:tcMar>
                <w:vAlign w:val="top"/>
              </w:tcPr>
              <w:p w:rsidR="00000000" w:rsidDel="00000000" w:rsidP="00000000" w:rsidRDefault="00000000" w:rsidRPr="00000000" w14:paraId="000002EF">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Tipo de institución</w:t>
                </w:r>
              </w:p>
            </w:tc>
            <w:tc>
              <w:tcPr>
                <w:gridSpan w:val="3"/>
                <w:vMerge w:val="restart"/>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F1">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Modelo de repitencia</w:t>
                </w:r>
              </w:p>
            </w:tc>
            <w:tc>
              <w:tcPr>
                <w:gridSpan w:val="3"/>
                <w:vMerge w:val="restart"/>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F4">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Modelo de control </w:t>
                </w:r>
              </w:p>
            </w:tc>
          </w:tr>
          <w:tr>
            <w:trPr>
              <w:cantSplit w:val="0"/>
              <w:trHeight w:val="466.77165354330714" w:hRule="atLeast"/>
              <w:tblHeader w:val="0"/>
            </w:trPr>
            <w:tc>
              <w:tcPr>
                <w:gridSpan w:val="2"/>
                <w:vMerge w:val="continue"/>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F7">
                <w:pPr>
                  <w:widowControl w:val="0"/>
                  <w:spacing w:after="0" w:line="240" w:lineRule="auto"/>
                  <w:rPr>
                    <w:rFonts w:ascii="Times New Roman" w:cs="Times New Roman" w:eastAsia="Times New Roman" w:hAnsi="Times New Roman"/>
                  </w:rPr>
                </w:pPr>
                <w:r w:rsidDel="00000000" w:rsidR="00000000" w:rsidRPr="00000000">
                  <w:rPr>
                    <w:rtl w:val="0"/>
                  </w:rPr>
                </w:r>
              </w:p>
            </w:tc>
            <w:tc>
              <w:tcPr>
                <w:gridSpan w:val="3"/>
                <w:vMerge w:val="continue"/>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F9">
                <w:pPr>
                  <w:widowControl w:val="0"/>
                  <w:spacing w:after="0" w:line="240" w:lineRule="auto"/>
                  <w:rPr>
                    <w:rFonts w:ascii="Times New Roman" w:cs="Times New Roman" w:eastAsia="Times New Roman" w:hAnsi="Times New Roman"/>
                  </w:rPr>
                </w:pPr>
                <w:r w:rsidDel="00000000" w:rsidR="00000000" w:rsidRPr="00000000">
                  <w:rPr>
                    <w:rtl w:val="0"/>
                  </w:rPr>
                </w:r>
              </w:p>
            </w:tc>
            <w:tc>
              <w:tcPr>
                <w:gridSpan w:val="3"/>
                <w:vMerge w:val="continue"/>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FC">
                <w:pPr>
                  <w:widowControl w:val="0"/>
                  <w:spacing w:after="0" w:line="240" w:lineRule="auto"/>
                  <w:rPr>
                    <w:rFonts w:ascii="Times New Roman" w:cs="Times New Roman" w:eastAsia="Times New Roman" w:hAnsi="Times New Roman"/>
                  </w:rPr>
                </w:pPr>
                <w:r w:rsidDel="00000000" w:rsidR="00000000" w:rsidRPr="00000000">
                  <w:rPr>
                    <w:rtl w:val="0"/>
                  </w:rPr>
                </w:r>
              </w:p>
            </w:tc>
          </w:tr>
          <w:tr>
            <w:trPr>
              <w:cantSplit w:val="0"/>
              <w:trHeight w:val="56.69291338582678" w:hRule="atLeast"/>
              <w:tblHeader w:val="0"/>
            </w:trPr>
            <w:tc>
              <w:tcPr>
                <w:gridSpan w:val="2"/>
                <w:vMerge w:val="continue"/>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FF">
                <w:pPr>
                  <w:widowControl w:val="0"/>
                  <w:spacing w:after="0" w:line="240" w:lineRule="auto"/>
                  <w:rPr>
                    <w:rFonts w:ascii="Times New Roman" w:cs="Times New Roman" w:eastAsia="Times New Roman" w:hAnsi="Times New Roman"/>
                  </w:rPr>
                </w:pPr>
                <w:r w:rsidDel="00000000" w:rsidR="00000000" w:rsidRPr="00000000">
                  <w:rPr>
                    <w:rtl w:val="0"/>
                  </w:rPr>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01">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02">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Pseudo R²</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03">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BIC</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04">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05">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Pseudo R²</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06">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BIC</w:t>
                </w:r>
              </w:p>
            </w:tc>
          </w:tr>
          <w:tr>
            <w:trPr>
              <w:cantSplit w:val="0"/>
              <w:trHeight w:val="56.69291338582678" w:hRule="atLeast"/>
              <w:tblHeader w:val="0"/>
            </w:trPr>
            <w:tc>
              <w:tcPr>
                <w:gridSpan w:val="2"/>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07">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Pública</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09">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0.66***</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0A">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0,003</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0B">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9007,4</w:t>
                </w:r>
              </w:p>
            </w:tc>
            <w:tc>
              <w:tcPr>
                <w:tcMar>
                  <w:top w:w="28.34645669291339" w:type="dxa"/>
                  <w:left w:w="28.34645669291339" w:type="dxa"/>
                  <w:bottom w:w="28.34645669291339" w:type="dxa"/>
                  <w:right w:w="28.34645669291339" w:type="dxa"/>
                </w:tcMar>
              </w:tcPr>
              <w:p w:rsidR="00000000" w:rsidDel="00000000" w:rsidP="00000000" w:rsidRDefault="00000000" w:rsidRPr="00000000" w14:paraId="0000030C">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0.69***</w:t>
                </w:r>
              </w:p>
            </w:tc>
            <w:tc>
              <w:tcPr>
                <w:tcMar>
                  <w:top w:w="28.34645669291339" w:type="dxa"/>
                  <w:left w:w="28.34645669291339" w:type="dxa"/>
                  <w:bottom w:w="28.34645669291339" w:type="dxa"/>
                  <w:right w:w="28.34645669291339" w:type="dxa"/>
                </w:tcMar>
              </w:tcPr>
              <w:p w:rsidR="00000000" w:rsidDel="00000000" w:rsidP="00000000" w:rsidRDefault="00000000" w:rsidRPr="00000000" w14:paraId="0000030D">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0,01</w:t>
                </w:r>
              </w:p>
            </w:tc>
            <w:tc>
              <w:tcPr>
                <w:tcMar>
                  <w:top w:w="28.34645669291339" w:type="dxa"/>
                  <w:left w:w="28.34645669291339" w:type="dxa"/>
                  <w:bottom w:w="28.34645669291339" w:type="dxa"/>
                  <w:right w:w="28.34645669291339" w:type="dxa"/>
                </w:tcMar>
              </w:tcPr>
              <w:p w:rsidR="00000000" w:rsidDel="00000000" w:rsidP="00000000" w:rsidRDefault="00000000" w:rsidRPr="00000000" w14:paraId="0000030E">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8973,3</w:t>
                </w:r>
              </w:p>
            </w:tc>
          </w:tr>
          <w:tr>
            <w:trPr>
              <w:cantSplit w:val="0"/>
              <w:trHeight w:val="56.69291338582678" w:hRule="atLeast"/>
              <w:tblHeader w:val="0"/>
            </w:trPr>
            <w:tc>
              <w:tcPr>
                <w:gridSpan w:val="2"/>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0F">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privada</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11">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0.44***</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12">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0,007</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13">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5048,9</w:t>
                </w:r>
              </w:p>
            </w:tc>
            <w:tc>
              <w:tcPr>
                <w:tcMar>
                  <w:top w:w="28.34645669291339" w:type="dxa"/>
                  <w:left w:w="28.34645669291339" w:type="dxa"/>
                  <w:bottom w:w="28.34645669291339" w:type="dxa"/>
                  <w:right w:w="28.34645669291339" w:type="dxa"/>
                </w:tcMar>
              </w:tcPr>
              <w:p w:rsidR="00000000" w:rsidDel="00000000" w:rsidP="00000000" w:rsidRDefault="00000000" w:rsidRPr="00000000" w14:paraId="00000314">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0.44***</w:t>
                </w:r>
              </w:p>
            </w:tc>
            <w:tc>
              <w:tcPr>
                <w:tcMar>
                  <w:top w:w="28.34645669291339" w:type="dxa"/>
                  <w:left w:w="28.34645669291339" w:type="dxa"/>
                  <w:bottom w:w="28.34645669291339" w:type="dxa"/>
                  <w:right w:w="28.34645669291339" w:type="dxa"/>
                </w:tcMar>
              </w:tcPr>
              <w:p w:rsidR="00000000" w:rsidDel="00000000" w:rsidP="00000000" w:rsidRDefault="00000000" w:rsidRPr="00000000" w14:paraId="00000315">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0,007</w:t>
                </w:r>
              </w:p>
            </w:tc>
            <w:tc>
              <w:tcPr>
                <w:tcMar>
                  <w:top w:w="28.34645669291339" w:type="dxa"/>
                  <w:left w:w="28.34645669291339" w:type="dxa"/>
                  <w:bottom w:w="28.34645669291339" w:type="dxa"/>
                  <w:right w:w="28.34645669291339" w:type="dxa"/>
                </w:tcMar>
              </w:tcPr>
              <w:p w:rsidR="00000000" w:rsidDel="00000000" w:rsidP="00000000" w:rsidRDefault="00000000" w:rsidRPr="00000000" w14:paraId="00000316">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5074,1</w:t>
                </w:r>
              </w:p>
            </w:tc>
          </w:tr>
          <w:tr>
            <w:trPr>
              <w:cantSplit w:val="0"/>
              <w:trHeight w:val="56.69291338582678" w:hRule="atLeast"/>
              <w:tblHeader w:val="0"/>
            </w:trPr>
            <w:tc>
              <w:tcPr>
                <w:gridSpan w:val="2"/>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17">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Terciario público</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19">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1.11</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1A">
                <w:pPr>
                  <w:widowControl w:val="0"/>
                  <w:spacing w:after="0" w:line="240" w:lineRule="auto"/>
                  <w:jc w:val="center"/>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N/A</w:t>
                </w:r>
                <w:r w:rsidDel="00000000" w:rsidR="00000000" w:rsidRPr="00000000">
                  <w:rPr>
                    <w:rtl w:val="0"/>
                  </w:rPr>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1B">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2308,1</w:t>
                </w:r>
              </w:p>
            </w:tc>
            <w:tc>
              <w:tcPr>
                <w:tcMar>
                  <w:top w:w="28.34645669291339" w:type="dxa"/>
                  <w:left w:w="28.34645669291339" w:type="dxa"/>
                  <w:bottom w:w="28.34645669291339" w:type="dxa"/>
                  <w:right w:w="28.34645669291339" w:type="dxa"/>
                </w:tcMar>
              </w:tcPr>
              <w:p w:rsidR="00000000" w:rsidDel="00000000" w:rsidP="00000000" w:rsidRDefault="00000000" w:rsidRPr="00000000" w14:paraId="0000031C">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1.22</w:t>
                </w:r>
              </w:p>
            </w:tc>
            <w:tc>
              <w:tcPr>
                <w:tcMar>
                  <w:top w:w="28.34645669291339" w:type="dxa"/>
                  <w:left w:w="28.34645669291339" w:type="dxa"/>
                  <w:bottom w:w="28.34645669291339" w:type="dxa"/>
                  <w:right w:w="28.34645669291339" w:type="dxa"/>
                </w:tcMar>
              </w:tcPr>
              <w:p w:rsidR="00000000" w:rsidDel="00000000" w:rsidP="00000000" w:rsidRDefault="00000000" w:rsidRPr="00000000" w14:paraId="0000031D">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0,023</w:t>
                </w:r>
              </w:p>
            </w:tc>
            <w:tc>
              <w:tcPr>
                <w:tcMar>
                  <w:top w:w="28.34645669291339" w:type="dxa"/>
                  <w:left w:w="28.34645669291339" w:type="dxa"/>
                  <w:bottom w:w="28.34645669291339" w:type="dxa"/>
                  <w:right w:w="28.34645669291339" w:type="dxa"/>
                </w:tcMar>
              </w:tcPr>
              <w:p w:rsidR="00000000" w:rsidDel="00000000" w:rsidP="00000000" w:rsidRDefault="00000000" w:rsidRPr="00000000" w14:paraId="0000031E">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2282,3</w:t>
                </w:r>
              </w:p>
            </w:tc>
          </w:tr>
          <w:tr>
            <w:trPr>
              <w:cantSplit w:val="0"/>
              <w:trHeight w:val="56.69291338582678" w:hRule="atLeast"/>
              <w:tblHeader w:val="0"/>
            </w:trPr>
            <w:tc>
              <w:tcPr>
                <w:gridSpan w:val="2"/>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1F">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Terciario privado</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21">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0.33*</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22">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0,006</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23">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1027,8</w:t>
                </w:r>
              </w:p>
            </w:tc>
            <w:tc>
              <w:tcPr>
                <w:tcMar>
                  <w:top w:w="28.34645669291339" w:type="dxa"/>
                  <w:left w:w="28.34645669291339" w:type="dxa"/>
                  <w:bottom w:w="28.34645669291339" w:type="dxa"/>
                  <w:right w:w="28.34645669291339" w:type="dxa"/>
                </w:tcMar>
              </w:tcPr>
              <w:p w:rsidR="00000000" w:rsidDel="00000000" w:rsidP="00000000" w:rsidRDefault="00000000" w:rsidRPr="00000000" w14:paraId="00000324">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0.35*</w:t>
                </w:r>
              </w:p>
            </w:tc>
            <w:tc>
              <w:tcPr>
                <w:tcMar>
                  <w:top w:w="28.34645669291339" w:type="dxa"/>
                  <w:left w:w="28.34645669291339" w:type="dxa"/>
                  <w:bottom w:w="28.34645669291339" w:type="dxa"/>
                  <w:right w:w="28.34645669291339" w:type="dxa"/>
                </w:tcMar>
              </w:tcPr>
              <w:p w:rsidR="00000000" w:rsidDel="00000000" w:rsidP="00000000" w:rsidRDefault="00000000" w:rsidRPr="00000000" w14:paraId="00000325">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0,014</w:t>
                </w:r>
              </w:p>
            </w:tc>
            <w:tc>
              <w:tcPr>
                <w:tcMar>
                  <w:top w:w="28.34645669291339" w:type="dxa"/>
                  <w:left w:w="28.34645669291339" w:type="dxa"/>
                  <w:bottom w:w="28.34645669291339" w:type="dxa"/>
                  <w:right w:w="28.34645669291339" w:type="dxa"/>
                </w:tcMar>
              </w:tcPr>
              <w:p w:rsidR="00000000" w:rsidDel="00000000" w:rsidP="00000000" w:rsidRDefault="00000000" w:rsidRPr="00000000" w14:paraId="00000326">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1046,2</w:t>
                </w:r>
              </w:p>
            </w:tc>
          </w:tr>
          <w:tr>
            <w:trPr>
              <w:cantSplit w:val="0"/>
              <w:trHeight w:val="56.69291338582678" w:hRule="atLeast"/>
              <w:tblHeader w:val="0"/>
            </w:trPr>
            <w:tc>
              <w:tcPr>
                <w:gridSpan w:val="2"/>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27">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Oficios</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29">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2A">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0,003</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2B">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972,2</w:t>
                </w:r>
              </w:p>
            </w:tc>
            <w:tc>
              <w:tcPr>
                <w:tcMar>
                  <w:top w:w="28.34645669291339" w:type="dxa"/>
                  <w:left w:w="28.34645669291339" w:type="dxa"/>
                  <w:bottom w:w="28.34645669291339" w:type="dxa"/>
                  <w:right w:w="28.34645669291339" w:type="dxa"/>
                </w:tcMar>
              </w:tcPr>
              <w:p w:rsidR="00000000" w:rsidDel="00000000" w:rsidP="00000000" w:rsidRDefault="00000000" w:rsidRPr="00000000" w14:paraId="0000032C">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1.61</w:t>
                </w:r>
              </w:p>
            </w:tc>
            <w:tc>
              <w:tcPr>
                <w:tcMar>
                  <w:top w:w="28.34645669291339" w:type="dxa"/>
                  <w:left w:w="28.34645669291339" w:type="dxa"/>
                  <w:bottom w:w="28.34645669291339" w:type="dxa"/>
                  <w:right w:w="28.34645669291339" w:type="dxa"/>
                </w:tcMar>
              </w:tcPr>
              <w:p w:rsidR="00000000" w:rsidDel="00000000" w:rsidP="00000000" w:rsidRDefault="00000000" w:rsidRPr="00000000" w14:paraId="0000032D">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0,011</w:t>
                </w:r>
              </w:p>
            </w:tc>
            <w:tc>
              <w:tcPr>
                <w:tcMar>
                  <w:top w:w="28.34645669291339" w:type="dxa"/>
                  <w:left w:w="28.34645669291339" w:type="dxa"/>
                  <w:bottom w:w="28.34645669291339" w:type="dxa"/>
                  <w:right w:w="28.34645669291339" w:type="dxa"/>
                </w:tcMar>
              </w:tcPr>
              <w:p w:rsidR="00000000" w:rsidDel="00000000" w:rsidP="00000000" w:rsidRDefault="00000000" w:rsidRPr="00000000" w14:paraId="0000032E">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991,3</w:t>
                </w:r>
              </w:p>
            </w:tc>
          </w:tr>
        </w:tbl>
      </w:sdtContent>
    </w:sdt>
    <w:p w:rsidR="00000000" w:rsidDel="00000000" w:rsidP="00000000" w:rsidRDefault="00000000" w:rsidRPr="00000000" w14:paraId="0000032F">
      <w:pPr>
        <w:spacing w:after="20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p&lt;0.001 | ** p&lt;0.01 | * p&lt;0.05</w:t>
      </w:r>
    </w:p>
    <w:p w:rsidR="00000000" w:rsidDel="00000000" w:rsidP="00000000" w:rsidRDefault="00000000" w:rsidRPr="00000000" w14:paraId="00000330">
      <w:pPr>
        <w:numPr>
          <w:ilvl w:val="0"/>
          <w:numId w:val="1"/>
        </w:numPr>
        <w:spacing w:line="240" w:lineRule="auto"/>
        <w:ind w:left="720" w:hanging="36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Motivos de elección de carrera</w:t>
      </w:r>
    </w:p>
    <w:p w:rsidR="00000000" w:rsidDel="00000000" w:rsidP="00000000" w:rsidRDefault="00000000" w:rsidRPr="00000000" w14:paraId="00000331">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 que surge primeramente de la Tabla 17 es que el modelo bivariado presenta significatividad estadística en casi todos los casos. Esto nos advierte sobre la existencia del efecto de la repitencia sobre los motivos de elección de una carrera. Así, salvo en dos casos, repetir disminuye prácticamente a la mitad las chances de elegir motivos relacionados con elementos vocacionales, su potencial económico o experiencias previas con la disciplina en la cual proyectan continuar sus estudios. En los casos que no presentan OR estadísticamente significativos, no vemos que la repitencia tenga un efecto a la hora de elegir una carrera por su corta duración o rápida salida laboral. Finalmente, aun cuando no alcanza una significatividad estadística de peso, el impacto de la variable predictora sobre el motivo “seguir una tradición familiar” se ubica alrededor del 30%.</w:t>
      </w:r>
    </w:p>
    <w:p w:rsidR="00000000" w:rsidDel="00000000" w:rsidP="00000000" w:rsidRDefault="00000000" w:rsidRPr="00000000" w14:paraId="00000332">
      <w:pPr>
        <w:spacing w:after="20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Tabla 17. Regresión logística binomial bivariada. Razón de chances razones de elección de carrera</w:t>
      </w:r>
    </w:p>
    <w:sdt>
      <w:sdtPr>
        <w:lock w:val="contentLocked"/>
        <w:id w:val="1775353729"/>
        <w:tag w:val="goog_rdk_16"/>
      </w:sdtPr>
      <w:sdtContent>
        <w:tbl>
          <w:tblPr>
            <w:tblStyle w:val="Table18"/>
            <w:tblW w:w="86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50"/>
            <w:gridCol w:w="2160"/>
            <w:gridCol w:w="930"/>
            <w:gridCol w:w="675"/>
            <w:gridCol w:w="1215"/>
            <w:gridCol w:w="765"/>
            <w:gridCol w:w="810"/>
            <w:gridCol w:w="750"/>
            <w:tblGridChange w:id="0">
              <w:tblGrid>
                <w:gridCol w:w="1350"/>
                <w:gridCol w:w="2160"/>
                <w:gridCol w:w="930"/>
                <w:gridCol w:w="675"/>
                <w:gridCol w:w="1215"/>
                <w:gridCol w:w="765"/>
                <w:gridCol w:w="810"/>
                <w:gridCol w:w="750"/>
              </w:tblGrid>
            </w:tblGridChange>
          </w:tblGrid>
          <w:tr>
            <w:trPr>
              <w:cantSplit w:val="0"/>
              <w:tblHeader w:val="0"/>
            </w:trPr>
            <w:tc>
              <w:tcPr>
                <w:gridSpan w:val="2"/>
                <w:vMerge w:val="restart"/>
                <w:tcMar>
                  <w:top w:w="28.34645669291339" w:type="dxa"/>
                  <w:left w:w="28.34645669291339" w:type="dxa"/>
                  <w:bottom w:w="28.34645669291339" w:type="dxa"/>
                  <w:right w:w="28.34645669291339" w:type="dxa"/>
                </w:tcMar>
                <w:vAlign w:val="top"/>
              </w:tcPr>
              <w:p w:rsidR="00000000" w:rsidDel="00000000" w:rsidP="00000000" w:rsidRDefault="00000000" w:rsidRPr="00000000" w14:paraId="00000333">
                <w:pPr>
                  <w:widowControl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34">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Razones de elección de carrera</w:t>
                </w:r>
              </w:p>
            </w:tc>
            <w:tc>
              <w:tcPr>
                <w:gridSpan w:val="6"/>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36">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Repitencia (Ref. No repitió)</w:t>
                </w:r>
              </w:p>
            </w:tc>
          </w:tr>
          <w:tr>
            <w:trPr>
              <w:cantSplit w:val="0"/>
              <w:tblHeader w:val="0"/>
            </w:trPr>
            <w:tc>
              <w:tcPr>
                <w:gridSpan w:val="2"/>
                <w:vMerge w:val="continue"/>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3C">
                <w:pPr>
                  <w:widowControl w:val="0"/>
                  <w:spacing w:after="0" w:line="240" w:lineRule="auto"/>
                  <w:rPr>
                    <w:rFonts w:ascii="Times New Roman" w:cs="Times New Roman" w:eastAsia="Times New Roman" w:hAnsi="Times New Roman"/>
                    <w:b w:val="1"/>
                    <w:bCs w:val="1"/>
                  </w:rPr>
                </w:pPr>
                <w:r w:rsidDel="00000000" w:rsidR="00000000" w:rsidRPr="00000000">
                  <w:rPr>
                    <w:rtl w:val="0"/>
                  </w:rPr>
                </w:r>
              </w:p>
            </w:tc>
            <w:tc>
              <w:tcPr>
                <w:gridSpan w:val="6"/>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3E">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Repitió</w:t>
                </w:r>
              </w:p>
            </w:tc>
          </w:tr>
          <w:tr>
            <w:trPr>
              <w:cantSplit w:val="0"/>
              <w:tblHeader w:val="0"/>
            </w:trPr>
            <w:tc>
              <w:tcPr>
                <w:gridSpan w:val="2"/>
                <w:vMerge w:val="continue"/>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44">
                <w:pPr>
                  <w:widowControl w:val="0"/>
                  <w:spacing w:after="0" w:line="240" w:lineRule="auto"/>
                  <w:rPr>
                    <w:rFonts w:ascii="Times New Roman" w:cs="Times New Roman" w:eastAsia="Times New Roman" w:hAnsi="Times New Roman"/>
                    <w:b w:val="1"/>
                    <w:bCs w:val="1"/>
                  </w:rPr>
                </w:pPr>
                <w:r w:rsidDel="00000000" w:rsidR="00000000" w:rsidRPr="00000000">
                  <w:rPr>
                    <w:rtl w:val="0"/>
                  </w:rPr>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46">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47">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48">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Pseudo R²</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49">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AIC</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4A">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BIC</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4B">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r>
          <w:tr>
            <w:trPr>
              <w:cantSplit w:val="0"/>
              <w:tblHeader w:val="0"/>
            </w:trPr>
            <w:tc>
              <w:tcPr>
                <w:gridSpan w:val="2"/>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4C">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interés personal</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4E">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0.45***</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4F">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0.081</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50">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0,013</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51">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7526,8</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52">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7540,4</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53">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6507</w:t>
                </w:r>
              </w:p>
            </w:tc>
          </w:tr>
          <w:tr>
            <w:trPr>
              <w:cantSplit w:val="0"/>
              <w:tblHeader w:val="0"/>
            </w:trPr>
            <w:tc>
              <w:tcPr>
                <w:gridSpan w:val="2"/>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54">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orientación vocacional previa</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56">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0.51***</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57">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0.166</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58">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0,005</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59">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4185,4</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5A">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4199</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5B">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6507</w:t>
                </w:r>
              </w:p>
            </w:tc>
          </w:tr>
          <w:tr>
            <w:trPr>
              <w:cantSplit w:val="0"/>
              <w:tblHeader w:val="0"/>
            </w:trPr>
            <w:tc>
              <w:tcPr>
                <w:gridSpan w:val="2"/>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5C">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su potencial económico o laboral</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5E">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0.47***</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5F">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0.102</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60">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0,008</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61">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7784</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62">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7797,6</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63">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6507</w:t>
                </w:r>
              </w:p>
            </w:tc>
          </w:tr>
          <w:tr>
            <w:trPr>
              <w:cantSplit w:val="0"/>
              <w:tblHeader w:val="0"/>
            </w:trPr>
            <w:tc>
              <w:tcPr>
                <w:gridSpan w:val="2"/>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64">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tradición familiar</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66">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0.71</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67">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0.249</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68">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0,001</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69">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1904,5</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6A">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1918</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6B">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6507</w:t>
                </w:r>
              </w:p>
            </w:tc>
          </w:tr>
          <w:tr>
            <w:trPr>
              <w:cantSplit w:val="0"/>
              <w:tblHeader w:val="0"/>
            </w:trPr>
            <w:tc>
              <w:tcPr>
                <w:gridSpan w:val="2"/>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6C">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experiencias previas con la disciplina o el área</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6E">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0.52***</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6F">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0.142</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70">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0,005</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71">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5138,9</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72">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5152,5</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73">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6507</w:t>
                </w:r>
              </w:p>
            </w:tc>
          </w:tr>
          <w:tr>
            <w:trPr>
              <w:cantSplit w:val="0"/>
              <w:tblHeader w:val="0"/>
            </w:trPr>
            <w:tc>
              <w:tcPr>
                <w:gridSpan w:val="2"/>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74">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su corta duración y rápida salida laboral</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76">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0.99</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77">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0.144</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78">
                <w:pPr>
                  <w:widowControl w:val="0"/>
                  <w:spacing w:after="0" w:line="240" w:lineRule="auto"/>
                  <w:jc w:val="center"/>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rtl w:val="0"/>
                  </w:rPr>
                  <w:t xml:space="preserve">N/A</w:t>
                </w:r>
                <w:r w:rsidDel="00000000" w:rsidR="00000000" w:rsidRPr="00000000">
                  <w:rPr>
                    <w:rtl w:val="0"/>
                  </w:rPr>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79">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3668,1</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7A">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3681,7</w:t>
                </w:r>
              </w:p>
            </w:tc>
            <w:tc>
              <w:tcPr>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7B">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6507</w:t>
                </w:r>
              </w:p>
            </w:tc>
          </w:tr>
        </w:tbl>
      </w:sdtContent>
    </w:sdt>
    <w:p w:rsidR="00000000" w:rsidDel="00000000" w:rsidP="00000000" w:rsidRDefault="00000000" w:rsidRPr="00000000" w14:paraId="0000037C">
      <w:pPr>
        <w:spacing w:after="20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p&lt;0.001 | ** p&lt;0.01 | * p&lt;0.05</w:t>
      </w:r>
    </w:p>
    <w:p w:rsidR="00000000" w:rsidDel="00000000" w:rsidP="00000000" w:rsidRDefault="00000000" w:rsidRPr="00000000" w14:paraId="0000037D">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incorporar la variable de control -Tabla 18-, vemos que su inclusión impacta marginalmente en el efecto de la repitencia, al aumentar o disminuir las chances entre un 2 y el 8%. Por lo demás, la lectura del BIC nos impide asumir que la inclusión del género implique una mayor capacidad predictiva.  </w:t>
      </w:r>
    </w:p>
    <w:p w:rsidR="00000000" w:rsidDel="00000000" w:rsidP="00000000" w:rsidRDefault="00000000" w:rsidRPr="00000000" w14:paraId="0000037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Tabla 18. Comparación entre modelos de razones de elección de carrera</w:t>
      </w:r>
      <w:r w:rsidDel="00000000" w:rsidR="00000000" w:rsidRPr="00000000">
        <w:rPr>
          <w:rtl w:val="0"/>
        </w:rPr>
      </w:r>
    </w:p>
    <w:sdt>
      <w:sdtPr>
        <w:lock w:val="contentLocked"/>
        <w:id w:val="956225342"/>
        <w:tag w:val="goog_rdk_17"/>
      </w:sdtPr>
      <w:sdtContent>
        <w:tbl>
          <w:tblPr>
            <w:tblStyle w:val="Table19"/>
            <w:tblW w:w="88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65"/>
            <w:gridCol w:w="1995"/>
            <w:gridCol w:w="945"/>
            <w:gridCol w:w="1140"/>
            <w:gridCol w:w="825"/>
            <w:gridCol w:w="945"/>
            <w:gridCol w:w="1155"/>
            <w:gridCol w:w="780"/>
            <w:tblGridChange w:id="0">
              <w:tblGrid>
                <w:gridCol w:w="1065"/>
                <w:gridCol w:w="1995"/>
                <w:gridCol w:w="945"/>
                <w:gridCol w:w="1140"/>
                <w:gridCol w:w="825"/>
                <w:gridCol w:w="945"/>
                <w:gridCol w:w="1155"/>
                <w:gridCol w:w="780"/>
              </w:tblGrid>
            </w:tblGridChange>
          </w:tblGrid>
          <w:tr>
            <w:trPr>
              <w:cantSplit w:val="0"/>
              <w:tblHeader w:val="0"/>
            </w:trPr>
            <w:tc>
              <w:tcPr>
                <w:gridSpan w:val="2"/>
                <w:vMerge w:val="restart"/>
                <w:tcMar>
                  <w:top w:w="56.69291338582678" w:type="dxa"/>
                  <w:left w:w="56.69291338582678" w:type="dxa"/>
                  <w:bottom w:w="56.69291338582678" w:type="dxa"/>
                  <w:right w:w="56.69291338582678" w:type="dxa"/>
                </w:tcMar>
                <w:vAlign w:val="top"/>
              </w:tcPr>
              <w:p w:rsidR="00000000" w:rsidDel="00000000" w:rsidP="00000000" w:rsidRDefault="00000000" w:rsidRPr="00000000" w14:paraId="0000037F">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Razones de elección de carrera</w:t>
                </w:r>
              </w:p>
            </w:tc>
            <w:tc>
              <w:tcPr>
                <w:gridSpan w:val="3"/>
                <w:vMerge w:val="restart"/>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81">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Modelo de repitencia</w:t>
                </w:r>
              </w:p>
            </w:tc>
            <w:tc>
              <w:tcPr>
                <w:gridSpan w:val="3"/>
                <w:vMerge w:val="restart"/>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84">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Modelo de control </w:t>
                </w:r>
              </w:p>
            </w:tc>
          </w:tr>
          <w:tr>
            <w:trPr>
              <w:cantSplit w:val="0"/>
              <w:tblHeader w:val="0"/>
            </w:trPr>
            <w:tc>
              <w:tcPr>
                <w:gridSpan w:val="2"/>
                <w:vMerge w:val="continue"/>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gridSpan w:val="3"/>
                <w:vMerge w:val="continue"/>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89">
                <w:pPr>
                  <w:widowControl w:val="0"/>
                  <w:spacing w:after="0" w:line="240" w:lineRule="auto"/>
                  <w:rPr>
                    <w:rFonts w:ascii="Times New Roman" w:cs="Times New Roman" w:eastAsia="Times New Roman" w:hAnsi="Times New Roman"/>
                  </w:rPr>
                </w:pPr>
                <w:r w:rsidDel="00000000" w:rsidR="00000000" w:rsidRPr="00000000">
                  <w:rPr>
                    <w:rtl w:val="0"/>
                  </w:rPr>
                </w:r>
              </w:p>
            </w:tc>
            <w:tc>
              <w:tcPr>
                <w:gridSpan w:val="3"/>
                <w:vMerge w:val="continue"/>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blHeader w:val="0"/>
            </w:trPr>
            <w:tc>
              <w:tcPr>
                <w:gridSpan w:val="2"/>
                <w:vMerge w:val="continue"/>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91">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92">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Pseudo R²</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93">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BIC</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94">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95">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Pseudo R²</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96">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BIC</w:t>
                </w:r>
              </w:p>
            </w:tc>
          </w:tr>
          <w:tr>
            <w:trPr>
              <w:cantSplit w:val="0"/>
              <w:tblHeader w:val="0"/>
            </w:trPr>
            <w:tc>
              <w:tcPr>
                <w:gridSpan w:val="2"/>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97">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interés personal</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99">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0.45***</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9A">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0,013</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9B">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7540,4</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9C">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0.47***</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9D">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0,026</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9E">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7466,7</w:t>
                </w:r>
              </w:p>
            </w:tc>
          </w:tr>
          <w:tr>
            <w:trPr>
              <w:cantSplit w:val="0"/>
              <w:tblHeader w:val="0"/>
            </w:trPr>
            <w:tc>
              <w:tcPr>
                <w:gridSpan w:val="2"/>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9F">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orientación vocacional previa</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A1">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0.51***</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A2">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0,005</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A3">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4199</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A4">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0.52***</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A5">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0,007</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A6">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4214,5</w:t>
                </w:r>
              </w:p>
            </w:tc>
          </w:tr>
          <w:tr>
            <w:trPr>
              <w:cantSplit w:val="0"/>
              <w:tblHeader w:val="0"/>
            </w:trPr>
            <w:tc>
              <w:tcPr>
                <w:gridSpan w:val="2"/>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A7">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su potencial económico o laboral</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A9">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0.47***</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AA">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0,008</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AB">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7797,6</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AC">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0.46***</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AD">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0,011</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AE">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7803,1</w:t>
                </w:r>
              </w:p>
            </w:tc>
          </w:tr>
          <w:tr>
            <w:trPr>
              <w:cantSplit w:val="0"/>
              <w:tblHeader w:val="0"/>
            </w:trPr>
            <w:tc>
              <w:tcPr>
                <w:gridSpan w:val="2"/>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AF">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tradición familiar</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B1">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0.71</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B2">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0,001</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B3">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1918</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B4">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0.65</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B5">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0,015</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B6">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1917,1</w:t>
                </w:r>
              </w:p>
            </w:tc>
          </w:tr>
          <w:tr>
            <w:trPr>
              <w:cantSplit w:val="0"/>
              <w:tblHeader w:val="0"/>
            </w:trPr>
            <w:tc>
              <w:tcPr>
                <w:gridSpan w:val="2"/>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B7">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experiencias previas con la disciplina o el área</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B9">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0.52***</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BA">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0,005</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BB">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5152,5</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BC">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0.5***</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BD">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0,007</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BE">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5168,9</w:t>
                </w:r>
              </w:p>
            </w:tc>
          </w:tr>
          <w:tr>
            <w:trPr>
              <w:cantSplit w:val="0"/>
              <w:tblHeader w:val="0"/>
            </w:trPr>
            <w:tc>
              <w:tcPr>
                <w:gridSpan w:val="2"/>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BF">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su corta duración y rápida salida laboral</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C1">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0.99</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C2">
                <w:pPr>
                  <w:widowControl w:val="0"/>
                  <w:spacing w:after="0" w:line="240" w:lineRule="auto"/>
                  <w:jc w:val="center"/>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rtl w:val="0"/>
                  </w:rPr>
                  <w:t xml:space="preserve">N/A</w:t>
                </w:r>
                <w:r w:rsidDel="00000000" w:rsidR="00000000" w:rsidRPr="00000000">
                  <w:rPr>
                    <w:rtl w:val="0"/>
                  </w:rPr>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C3">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3681,7</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C4">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0.99</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C5">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0,001</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C6">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3703,4</w:t>
                </w:r>
              </w:p>
            </w:tc>
          </w:tr>
        </w:tbl>
      </w:sdtContent>
    </w:sdt>
    <w:p w:rsidR="00000000" w:rsidDel="00000000" w:rsidP="00000000" w:rsidRDefault="00000000" w:rsidRPr="00000000" w14:paraId="000003C7">
      <w:pPr>
        <w:spacing w:after="20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p&lt;0.001 | ** p&lt;0.01 | * p&lt;0.05</w:t>
      </w:r>
    </w:p>
    <w:p w:rsidR="00000000" w:rsidDel="00000000" w:rsidP="00000000" w:rsidRDefault="00000000" w:rsidRPr="00000000" w14:paraId="000003C8">
      <w:pPr>
        <w:numPr>
          <w:ilvl w:val="0"/>
          <w:numId w:val="1"/>
        </w:numPr>
        <w:spacing w:line="240" w:lineRule="auto"/>
        <w:ind w:left="720" w:hanging="36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Chances de estar de acuerdo con sentidos de la educación superior</w:t>
      </w:r>
    </w:p>
    <w:p w:rsidR="00000000" w:rsidDel="00000000" w:rsidP="00000000" w:rsidRDefault="00000000" w:rsidRPr="00000000" w14:paraId="000003C9">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Sobre la Tabla 19 aclaramos que debimos recodificar las variables, aunando las opciones que representaban no estar de acuerdo. Así, los OR refieren a las chances de estar de acuerdo con estas afirmaciones.</w:t>
      </w:r>
    </w:p>
    <w:p w:rsidR="00000000" w:rsidDel="00000000" w:rsidP="00000000" w:rsidRDefault="00000000" w:rsidRPr="00000000" w14:paraId="000003CA">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Cada modelo expone un alto umbral de significancia estadística, indicando que el efecto bruto de la repitencia actúa en todos los casos profundizando las probabilidades de estar de acuerdo. El caso extremo expresa que repetir podría duplicar el acuerdo con la incertidumbre sobre la duración de las carreras. Además, en los tres casos el error estándar indica estimaciones razonablemente precisas, aunque el Pseudo R² es bajo. </w:t>
      </w:r>
    </w:p>
    <w:p w:rsidR="00000000" w:rsidDel="00000000" w:rsidP="00000000" w:rsidRDefault="00000000" w:rsidRPr="00000000" w14:paraId="000003CB">
      <w:pPr>
        <w:spacing w:after="20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Tabla 19. Regresión logística binomial bivariada. </w:t>
      </w:r>
      <w:r w:rsidDel="00000000" w:rsidR="00000000" w:rsidRPr="00000000">
        <w:rPr>
          <w:rFonts w:ascii="Times New Roman" w:cs="Times New Roman" w:eastAsia="Times New Roman" w:hAnsi="Times New Roman"/>
          <w:b w:val="1"/>
          <w:bCs w:val="1"/>
          <w:rtl w:val="0"/>
        </w:rPr>
        <w:t xml:space="preserve">Razón de chances de estar de acuerdo con las siguientes frases</w:t>
      </w:r>
      <w:r w:rsidDel="00000000" w:rsidR="00000000" w:rsidRPr="00000000">
        <w:rPr>
          <w:rtl w:val="0"/>
        </w:rPr>
      </w:r>
    </w:p>
    <w:sdt>
      <w:sdtPr>
        <w:lock w:val="contentLocked"/>
        <w:id w:val="-1245724977"/>
        <w:tag w:val="goog_rdk_18"/>
      </w:sdtPr>
      <w:sdtContent>
        <w:tbl>
          <w:tblPr>
            <w:tblStyle w:val="Table20"/>
            <w:tblW w:w="85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65"/>
            <w:gridCol w:w="2715"/>
            <w:gridCol w:w="885"/>
            <w:gridCol w:w="675"/>
            <w:gridCol w:w="1050"/>
            <w:gridCol w:w="750"/>
            <w:gridCol w:w="765"/>
            <w:gridCol w:w="615"/>
            <w:tblGridChange w:id="0">
              <w:tblGrid>
                <w:gridCol w:w="1065"/>
                <w:gridCol w:w="2715"/>
                <w:gridCol w:w="885"/>
                <w:gridCol w:w="675"/>
                <w:gridCol w:w="1050"/>
                <w:gridCol w:w="750"/>
                <w:gridCol w:w="765"/>
                <w:gridCol w:w="615"/>
              </w:tblGrid>
            </w:tblGridChange>
          </w:tblGrid>
          <w:tr>
            <w:trPr>
              <w:cantSplit w:val="0"/>
              <w:tblHeader w:val="0"/>
            </w:trPr>
            <w:tc>
              <w:tcPr>
                <w:gridSpan w:val="2"/>
                <w:vMerge w:val="restart"/>
                <w:tcMar>
                  <w:top w:w="56.69291338582678" w:type="dxa"/>
                  <w:left w:w="56.69291338582678" w:type="dxa"/>
                  <w:bottom w:w="56.69291338582678" w:type="dxa"/>
                  <w:right w:w="56.69291338582678" w:type="dxa"/>
                </w:tcMar>
                <w:vAlign w:val="top"/>
              </w:tcPr>
              <w:p w:rsidR="00000000" w:rsidDel="00000000" w:rsidP="00000000" w:rsidRDefault="00000000" w:rsidRPr="00000000" w14:paraId="000003CC">
                <w:pPr>
                  <w:widowControl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CD">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Frases</w:t>
                </w:r>
                <w:r w:rsidDel="00000000" w:rsidR="00000000" w:rsidRPr="00000000">
                  <w:rPr>
                    <w:rFonts w:ascii="Times New Roman" w:cs="Times New Roman" w:eastAsia="Times New Roman" w:hAnsi="Times New Roman"/>
                    <w:vertAlign w:val="superscript"/>
                  </w:rPr>
                  <w:footnoteReference w:customMarkFollows="0" w:id="8"/>
                </w:r>
                <w:r w:rsidDel="00000000" w:rsidR="00000000" w:rsidRPr="00000000">
                  <w:rPr>
                    <w:rtl w:val="0"/>
                  </w:rPr>
                </w:r>
              </w:p>
            </w:tc>
            <w:tc>
              <w:tcPr>
                <w:gridSpan w:val="6"/>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CF">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Repitencia (Ref. No repitió)</w:t>
                </w:r>
              </w:p>
            </w:tc>
          </w:tr>
          <w:tr>
            <w:trPr>
              <w:cantSplit w:val="0"/>
              <w:tblHeader w:val="0"/>
            </w:trPr>
            <w:tc>
              <w:tcPr>
                <w:gridSpan w:val="2"/>
                <w:vMerge w:val="continue"/>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D5">
                <w:pPr>
                  <w:widowControl w:val="0"/>
                  <w:spacing w:after="0" w:line="240" w:lineRule="auto"/>
                  <w:rPr>
                    <w:rFonts w:ascii="Times New Roman" w:cs="Times New Roman" w:eastAsia="Times New Roman" w:hAnsi="Times New Roman"/>
                    <w:b w:val="1"/>
                    <w:bCs w:val="1"/>
                  </w:rPr>
                </w:pPr>
                <w:r w:rsidDel="00000000" w:rsidR="00000000" w:rsidRPr="00000000">
                  <w:rPr>
                    <w:rtl w:val="0"/>
                  </w:rPr>
                </w:r>
              </w:p>
            </w:tc>
            <w:tc>
              <w:tcPr>
                <w:gridSpan w:val="6"/>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D7">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Repitió</w:t>
                </w:r>
              </w:p>
            </w:tc>
          </w:tr>
          <w:tr>
            <w:trPr>
              <w:cantSplit w:val="0"/>
              <w:tblHeader w:val="0"/>
            </w:trPr>
            <w:tc>
              <w:tcPr>
                <w:gridSpan w:val="2"/>
                <w:vMerge w:val="continue"/>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DD">
                <w:pPr>
                  <w:widowControl w:val="0"/>
                  <w:spacing w:after="0" w:line="240" w:lineRule="auto"/>
                  <w:rPr>
                    <w:rFonts w:ascii="Times New Roman" w:cs="Times New Roman" w:eastAsia="Times New Roman" w:hAnsi="Times New Roman"/>
                    <w:b w:val="1"/>
                    <w:bCs w:val="1"/>
                  </w:rPr>
                </w:pPr>
                <w:r w:rsidDel="00000000" w:rsidR="00000000" w:rsidRPr="00000000">
                  <w:rPr>
                    <w:rtl w:val="0"/>
                  </w:rPr>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DF">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E0">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E1">
                <w:pPr>
                  <w:widowControl w:val="0"/>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Pseudo R²</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E2">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AIC</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E3">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BIC</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E4">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r>
          <w:tr>
            <w:trPr>
              <w:cantSplit w:val="0"/>
              <w:tblHeader w:val="0"/>
            </w:trPr>
            <w:tc>
              <w:tcPr>
                <w:gridSpan w:val="2"/>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E5">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Seguir estudiando no me va a ayudar para tener mejor calidad de vida en el futuro</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E7">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1.78***</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E8">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0.099</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E9">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0,006</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EA">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5191,7</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EB">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5205,3</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EC">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6507</w:t>
                </w:r>
              </w:p>
            </w:tc>
          </w:tr>
          <w:tr>
            <w:trPr>
              <w:cantSplit w:val="0"/>
              <w:tblHeader w:val="0"/>
            </w:trPr>
            <w:tc>
              <w:tcPr>
                <w:gridSpan w:val="2"/>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ED">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Prefiero ganar dinero de otras maneras más sencillas y no estudiar una carrera universitaria</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EF">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1.56***</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F0">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0.1</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F1">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0,003</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F2">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5405,8</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F3">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5419,3</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F4">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6507</w:t>
                </w:r>
              </w:p>
            </w:tc>
          </w:tr>
          <w:tr>
            <w:trPr>
              <w:cantSplit w:val="0"/>
              <w:tblHeader w:val="0"/>
            </w:trPr>
            <w:tc>
              <w:tcPr>
                <w:gridSpan w:val="2"/>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F5">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Dudo sobre si estudiar al terminar la escuela porque las carreras son demasiado largas</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F7">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1.97***</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F8">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0.086</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F9">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0,009</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FA">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6542,5</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FB">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6556,1</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3FC">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6507</w:t>
                </w:r>
              </w:p>
            </w:tc>
          </w:tr>
        </w:tbl>
      </w:sdtContent>
    </w:sdt>
    <w:p w:rsidR="00000000" w:rsidDel="00000000" w:rsidP="00000000" w:rsidRDefault="00000000" w:rsidRPr="00000000" w14:paraId="000003FD">
      <w:pPr>
        <w:spacing w:after="20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p&lt;0.001 | ** p&lt;0.01 | * p&lt;0.05</w:t>
      </w:r>
    </w:p>
    <w:p w:rsidR="00000000" w:rsidDel="00000000" w:rsidP="00000000" w:rsidRDefault="00000000" w:rsidRPr="00000000" w14:paraId="000003FE">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analizar comparativamente los modelos -Tabla 20-, nos encontramos con que se atenúan todas las chances, con una variación de los ORs entre el 3 y el 9%. Asimismo, el Pseudo R² aumenta en todos los casos y el BIC sugiere que la adición del género mejora el equilibrio entre ajuste y parsimonia. </w:t>
      </w:r>
    </w:p>
    <w:p w:rsidR="00000000" w:rsidDel="00000000" w:rsidP="00000000" w:rsidRDefault="00000000" w:rsidRPr="00000000" w14:paraId="000003F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Tabla 20. Comparación entre modelos de sentidos sobre la educación</w:t>
      </w:r>
      <w:r w:rsidDel="00000000" w:rsidR="00000000" w:rsidRPr="00000000">
        <w:rPr>
          <w:rtl w:val="0"/>
        </w:rPr>
      </w:r>
    </w:p>
    <w:sdt>
      <w:sdtPr>
        <w:lock w:val="contentLocked"/>
        <w:id w:val="-1384226812"/>
        <w:tag w:val="goog_rdk_19"/>
      </w:sdtPr>
      <w:sdtContent>
        <w:tbl>
          <w:tblPr>
            <w:tblStyle w:val="Table21"/>
            <w:tblW w:w="970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65"/>
            <w:gridCol w:w="1920"/>
            <w:gridCol w:w="1005"/>
            <w:gridCol w:w="1395"/>
            <w:gridCol w:w="975"/>
            <w:gridCol w:w="1095"/>
            <w:gridCol w:w="1290"/>
            <w:gridCol w:w="960"/>
            <w:tblGridChange w:id="0">
              <w:tblGrid>
                <w:gridCol w:w="1065"/>
                <w:gridCol w:w="1920"/>
                <w:gridCol w:w="1005"/>
                <w:gridCol w:w="1395"/>
                <w:gridCol w:w="975"/>
                <w:gridCol w:w="1095"/>
                <w:gridCol w:w="1290"/>
                <w:gridCol w:w="960"/>
              </w:tblGrid>
            </w:tblGridChange>
          </w:tblGrid>
          <w:tr>
            <w:trPr>
              <w:cantSplit w:val="0"/>
              <w:tblHeader w:val="0"/>
            </w:trPr>
            <w:tc>
              <w:tcPr>
                <w:gridSpan w:val="2"/>
                <w:vMerge w:val="restart"/>
                <w:tcMar>
                  <w:top w:w="100.0" w:type="dxa"/>
                  <w:left w:w="100.0" w:type="dxa"/>
                  <w:bottom w:w="100.0" w:type="dxa"/>
                  <w:right w:w="100.0" w:type="dxa"/>
                </w:tcMar>
                <w:vAlign w:val="top"/>
              </w:tcPr>
              <w:p w:rsidR="00000000" w:rsidDel="00000000" w:rsidP="00000000" w:rsidRDefault="00000000" w:rsidRPr="00000000" w14:paraId="00000400">
                <w:pPr>
                  <w:widowControl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01">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Frases</w:t>
                </w:r>
              </w:p>
            </w:tc>
            <w:tc>
              <w:tcPr>
                <w:gridSpan w:val="3"/>
                <w:vMerge w:val="restart"/>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403">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Modelo de repitencia</w:t>
                </w:r>
              </w:p>
            </w:tc>
            <w:tc>
              <w:tcPr>
                <w:gridSpan w:val="3"/>
                <w:vMerge w:val="restart"/>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406">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Modelo de control </w:t>
                </w:r>
              </w:p>
            </w:tc>
          </w:tr>
          <w:tr>
            <w:trPr>
              <w:cantSplit w:val="0"/>
              <w:tblHeader w:val="0"/>
            </w:trPr>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4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gridSpan w:val="3"/>
                <w:vMerge w:val="continue"/>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4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gridSpan w:val="3"/>
                <w:vMerge w:val="continue"/>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4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blHeader w:val="0"/>
            </w:trPr>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4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413">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414">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Pseudo R²</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415">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BIC</w:t>
                </w:r>
              </w:p>
            </w:tc>
            <w:tc>
              <w:tcPr>
                <w:shd w:fill="auto"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416">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w:t>
                </w:r>
              </w:p>
            </w:tc>
            <w:tc>
              <w:tcPr>
                <w:shd w:fill="auto" w:val="clear"/>
                <w:tcMar>
                  <w:top w:w="100.0" w:type="dxa"/>
                  <w:left w:w="100.0" w:type="dxa"/>
                  <w:bottom w:w="100.0" w:type="dxa"/>
                  <w:right w:w="100.0" w:type="dxa"/>
                </w:tcMar>
                <w:vAlign w:val="top"/>
              </w:tcPr>
              <w:p w:rsidR="00000000" w:rsidDel="00000000" w:rsidP="00000000" w:rsidRDefault="00000000" w:rsidRPr="00000000" w14:paraId="00000417">
                <w:pPr>
                  <w:widowControl w:val="0"/>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Pseudo R²</w:t>
                </w:r>
              </w:p>
            </w:tc>
            <w:tc>
              <w:tcPr>
                <w:shd w:fill="auto" w:val="clear"/>
                <w:tcMar>
                  <w:top w:w="100.0" w:type="dxa"/>
                  <w:left w:w="100.0" w:type="dxa"/>
                  <w:bottom w:w="100.0" w:type="dxa"/>
                  <w:right w:w="100.0" w:type="dxa"/>
                </w:tcMar>
                <w:vAlign w:val="top"/>
              </w:tcPr>
              <w:p w:rsidR="00000000" w:rsidDel="00000000" w:rsidP="00000000" w:rsidRDefault="00000000" w:rsidRPr="00000000" w14:paraId="00000418">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BIC</w:t>
                </w:r>
              </w:p>
            </w:tc>
          </w:tr>
          <w:tr>
            <w:trPr>
              <w:cantSplit w:val="0"/>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419">
                <w:pPr>
                  <w:widowControl w:val="0"/>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Seguir estudiando no me va a ayudar para tener mejor calidad de vida en el futuro</w:t>
                </w:r>
                <w:r w:rsidDel="00000000" w:rsidR="00000000" w:rsidRPr="00000000">
                  <w:rPr>
                    <w:rFonts w:ascii="Times New Roman" w:cs="Times New Roman" w:eastAsia="Times New Roman" w:hAnsi="Times New Roman"/>
                    <w:sz w:val="22"/>
                    <w:szCs w:val="22"/>
                    <w:vertAlign w:val="superscript"/>
                  </w:rPr>
                  <w:footnoteReference w:customMarkFollows="0" w:id="9"/>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1B">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1.78***</w:t>
                </w:r>
              </w:p>
            </w:tc>
            <w:tc>
              <w:tcPr>
                <w:shd w:fill="auto" w:val="clear"/>
                <w:tcMar>
                  <w:top w:w="100.0" w:type="dxa"/>
                  <w:left w:w="100.0" w:type="dxa"/>
                  <w:bottom w:w="100.0" w:type="dxa"/>
                  <w:right w:w="100.0" w:type="dxa"/>
                </w:tcMar>
                <w:vAlign w:val="top"/>
              </w:tcPr>
              <w:p w:rsidR="00000000" w:rsidDel="00000000" w:rsidP="00000000" w:rsidRDefault="00000000" w:rsidRPr="00000000" w14:paraId="0000041C">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0,006</w:t>
                </w:r>
              </w:p>
            </w:tc>
            <w:tc>
              <w:tcPr>
                <w:shd w:fill="auto" w:val="clear"/>
                <w:tcMar>
                  <w:top w:w="100.0" w:type="dxa"/>
                  <w:left w:w="100.0" w:type="dxa"/>
                  <w:bottom w:w="100.0" w:type="dxa"/>
                  <w:right w:w="100.0" w:type="dxa"/>
                </w:tcMar>
                <w:vAlign w:val="top"/>
              </w:tcPr>
              <w:p w:rsidR="00000000" w:rsidDel="00000000" w:rsidP="00000000" w:rsidRDefault="00000000" w:rsidRPr="00000000" w14:paraId="0000041D">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5205,3</w:t>
                </w:r>
              </w:p>
            </w:tc>
            <w:tc>
              <w:tcPr>
                <w:shd w:fill="auto" w:val="clear"/>
                <w:tcMar>
                  <w:top w:w="100.0" w:type="dxa"/>
                  <w:left w:w="100.0" w:type="dxa"/>
                  <w:bottom w:w="100.0" w:type="dxa"/>
                  <w:right w:w="100.0" w:type="dxa"/>
                </w:tcMar>
                <w:vAlign w:val="top"/>
              </w:tcPr>
              <w:p w:rsidR="00000000" w:rsidDel="00000000" w:rsidP="00000000" w:rsidRDefault="00000000" w:rsidRPr="00000000" w14:paraId="0000041E">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1.61***</w:t>
                </w:r>
              </w:p>
            </w:tc>
            <w:tc>
              <w:tcPr>
                <w:shd w:fill="auto" w:val="clear"/>
                <w:tcMar>
                  <w:top w:w="100.0" w:type="dxa"/>
                  <w:left w:w="100.0" w:type="dxa"/>
                  <w:bottom w:w="100.0" w:type="dxa"/>
                  <w:right w:w="100.0" w:type="dxa"/>
                </w:tcMar>
                <w:vAlign w:val="top"/>
              </w:tcPr>
              <w:p w:rsidR="00000000" w:rsidDel="00000000" w:rsidP="00000000" w:rsidRDefault="00000000" w:rsidRPr="00000000" w14:paraId="0000041F">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0,051</w:t>
                </w:r>
              </w:p>
            </w:tc>
            <w:tc>
              <w:tcPr>
                <w:shd w:fill="auto" w:val="clear"/>
                <w:tcMar>
                  <w:top w:w="100.0" w:type="dxa"/>
                  <w:left w:w="100.0" w:type="dxa"/>
                  <w:bottom w:w="100.0" w:type="dxa"/>
                  <w:right w:w="100.0" w:type="dxa"/>
                </w:tcMar>
                <w:vAlign w:val="top"/>
              </w:tcPr>
              <w:p w:rsidR="00000000" w:rsidDel="00000000" w:rsidP="00000000" w:rsidRDefault="00000000" w:rsidRPr="00000000" w14:paraId="00000420">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4998,1</w:t>
                </w:r>
              </w:p>
            </w:tc>
          </w:tr>
          <w:tr>
            <w:trPr>
              <w:cantSplit w:val="0"/>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421">
                <w:pPr>
                  <w:widowControl w:val="0"/>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Prefiero ganar dinero de otras maneras más sencillas y no estudiar una carrera universitaria</w:t>
                </w:r>
              </w:p>
            </w:tc>
            <w:tc>
              <w:tcPr>
                <w:shd w:fill="auto" w:val="clear"/>
                <w:tcMar>
                  <w:top w:w="100.0" w:type="dxa"/>
                  <w:left w:w="100.0" w:type="dxa"/>
                  <w:bottom w:w="100.0" w:type="dxa"/>
                  <w:right w:w="100.0" w:type="dxa"/>
                </w:tcMar>
                <w:vAlign w:val="top"/>
              </w:tcPr>
              <w:p w:rsidR="00000000" w:rsidDel="00000000" w:rsidP="00000000" w:rsidRDefault="00000000" w:rsidRPr="00000000" w14:paraId="00000423">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1.56***</w:t>
                </w:r>
              </w:p>
            </w:tc>
            <w:tc>
              <w:tcPr>
                <w:shd w:fill="auto" w:val="clear"/>
                <w:tcMar>
                  <w:top w:w="100.0" w:type="dxa"/>
                  <w:left w:w="100.0" w:type="dxa"/>
                  <w:bottom w:w="100.0" w:type="dxa"/>
                  <w:right w:w="100.0" w:type="dxa"/>
                </w:tcMar>
                <w:vAlign w:val="top"/>
              </w:tcPr>
              <w:p w:rsidR="00000000" w:rsidDel="00000000" w:rsidP="00000000" w:rsidRDefault="00000000" w:rsidRPr="00000000" w14:paraId="00000424">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0,003</w:t>
                </w:r>
              </w:p>
            </w:tc>
            <w:tc>
              <w:tcPr>
                <w:shd w:fill="auto" w:val="clear"/>
                <w:tcMar>
                  <w:top w:w="100.0" w:type="dxa"/>
                  <w:left w:w="100.0" w:type="dxa"/>
                  <w:bottom w:w="100.0" w:type="dxa"/>
                  <w:right w:w="100.0" w:type="dxa"/>
                </w:tcMar>
                <w:vAlign w:val="top"/>
              </w:tcPr>
              <w:p w:rsidR="00000000" w:rsidDel="00000000" w:rsidP="00000000" w:rsidRDefault="00000000" w:rsidRPr="00000000" w14:paraId="00000425">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5419,3</w:t>
                </w:r>
              </w:p>
            </w:tc>
            <w:tc>
              <w:tcPr>
                <w:shd w:fill="auto" w:val="clear"/>
                <w:tcMar>
                  <w:top w:w="100.0" w:type="dxa"/>
                  <w:left w:w="100.0" w:type="dxa"/>
                  <w:bottom w:w="100.0" w:type="dxa"/>
                  <w:right w:w="100.0" w:type="dxa"/>
                </w:tcMar>
                <w:vAlign w:val="top"/>
              </w:tcPr>
              <w:p w:rsidR="00000000" w:rsidDel="00000000" w:rsidP="00000000" w:rsidRDefault="00000000" w:rsidRPr="00000000" w14:paraId="00000426">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1.48***</w:t>
                </w:r>
              </w:p>
            </w:tc>
            <w:tc>
              <w:tcPr>
                <w:shd w:fill="auto" w:val="clear"/>
                <w:tcMar>
                  <w:top w:w="100.0" w:type="dxa"/>
                  <w:left w:w="100.0" w:type="dxa"/>
                  <w:bottom w:w="100.0" w:type="dxa"/>
                  <w:right w:w="100.0" w:type="dxa"/>
                </w:tcMar>
                <w:vAlign w:val="top"/>
              </w:tcPr>
              <w:p w:rsidR="00000000" w:rsidDel="00000000" w:rsidP="00000000" w:rsidRDefault="00000000" w:rsidRPr="00000000" w14:paraId="00000427">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0,014</w:t>
                </w:r>
              </w:p>
            </w:tc>
            <w:tc>
              <w:tcPr>
                <w:shd w:fill="auto" w:val="clear"/>
                <w:tcMar>
                  <w:top w:w="100.0" w:type="dxa"/>
                  <w:left w:w="100.0" w:type="dxa"/>
                  <w:bottom w:w="100.0" w:type="dxa"/>
                  <w:right w:w="100.0" w:type="dxa"/>
                </w:tcMar>
                <w:vAlign w:val="top"/>
              </w:tcPr>
              <w:p w:rsidR="00000000" w:rsidDel="00000000" w:rsidP="00000000" w:rsidRDefault="00000000" w:rsidRPr="00000000" w14:paraId="00000428">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5389,8</w:t>
                </w:r>
              </w:p>
            </w:tc>
          </w:tr>
          <w:tr>
            <w:trPr>
              <w:cantSplit w:val="0"/>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429">
                <w:pPr>
                  <w:widowControl w:val="0"/>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Dudo sobre si estudiar al terminar la escuela porque las carreras son demasiado largas</w:t>
                </w:r>
              </w:p>
            </w:tc>
            <w:tc>
              <w:tcPr>
                <w:shd w:fill="auto" w:val="clear"/>
                <w:tcMar>
                  <w:top w:w="100.0" w:type="dxa"/>
                  <w:left w:w="100.0" w:type="dxa"/>
                  <w:bottom w:w="100.0" w:type="dxa"/>
                  <w:right w:w="100.0" w:type="dxa"/>
                </w:tcMar>
                <w:vAlign w:val="top"/>
              </w:tcPr>
              <w:p w:rsidR="00000000" w:rsidDel="00000000" w:rsidP="00000000" w:rsidRDefault="00000000" w:rsidRPr="00000000" w14:paraId="0000042B">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1.97***</w:t>
                </w:r>
              </w:p>
            </w:tc>
            <w:tc>
              <w:tcPr>
                <w:shd w:fill="auto" w:val="clear"/>
                <w:tcMar>
                  <w:top w:w="100.0" w:type="dxa"/>
                  <w:left w:w="100.0" w:type="dxa"/>
                  <w:bottom w:w="100.0" w:type="dxa"/>
                  <w:right w:w="100.0" w:type="dxa"/>
                </w:tcMar>
                <w:vAlign w:val="top"/>
              </w:tcPr>
              <w:p w:rsidR="00000000" w:rsidDel="00000000" w:rsidP="00000000" w:rsidRDefault="00000000" w:rsidRPr="00000000" w14:paraId="0000042C">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0,009</w:t>
                </w:r>
              </w:p>
            </w:tc>
            <w:tc>
              <w:tcPr>
                <w:shd w:fill="auto" w:val="clear"/>
                <w:tcMar>
                  <w:top w:w="100.0" w:type="dxa"/>
                  <w:left w:w="100.0" w:type="dxa"/>
                  <w:bottom w:w="100.0" w:type="dxa"/>
                  <w:right w:w="100.0" w:type="dxa"/>
                </w:tcMar>
                <w:vAlign w:val="top"/>
              </w:tcPr>
              <w:p w:rsidR="00000000" w:rsidDel="00000000" w:rsidP="00000000" w:rsidRDefault="00000000" w:rsidRPr="00000000" w14:paraId="0000042D">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6556,1</w:t>
                </w:r>
              </w:p>
            </w:tc>
            <w:tc>
              <w:tcPr>
                <w:shd w:fill="auto" w:val="clear"/>
                <w:tcMar>
                  <w:top w:w="100.0" w:type="dxa"/>
                  <w:left w:w="100.0" w:type="dxa"/>
                  <w:bottom w:w="100.0" w:type="dxa"/>
                  <w:right w:w="100.0" w:type="dxa"/>
                </w:tcMar>
                <w:vAlign w:val="top"/>
              </w:tcPr>
              <w:p w:rsidR="00000000" w:rsidDel="00000000" w:rsidP="00000000" w:rsidRDefault="00000000" w:rsidRPr="00000000" w14:paraId="0000042E">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1.9***</w:t>
                </w:r>
              </w:p>
            </w:tc>
            <w:tc>
              <w:tcPr>
                <w:shd w:fill="auto" w:val="clear"/>
                <w:tcMar>
                  <w:top w:w="100.0" w:type="dxa"/>
                  <w:left w:w="100.0" w:type="dxa"/>
                  <w:bottom w:w="100.0" w:type="dxa"/>
                  <w:right w:w="100.0" w:type="dxa"/>
                </w:tcMar>
                <w:vAlign w:val="top"/>
              </w:tcPr>
              <w:p w:rsidR="00000000" w:rsidDel="00000000" w:rsidP="00000000" w:rsidRDefault="00000000" w:rsidRPr="00000000" w14:paraId="0000042F">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0,016</w:t>
                </w:r>
              </w:p>
            </w:tc>
            <w:tc>
              <w:tcPr>
                <w:shd w:fill="auto" w:val="clear"/>
                <w:tcMar>
                  <w:top w:w="100.0" w:type="dxa"/>
                  <w:left w:w="100.0" w:type="dxa"/>
                  <w:bottom w:w="100.0" w:type="dxa"/>
                  <w:right w:w="100.0" w:type="dxa"/>
                </w:tcMar>
                <w:vAlign w:val="top"/>
              </w:tcPr>
              <w:p w:rsidR="00000000" w:rsidDel="00000000" w:rsidP="00000000" w:rsidRDefault="00000000" w:rsidRPr="00000000" w14:paraId="00000430">
                <w:pPr>
                  <w:widowControl w:val="0"/>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6534,3</w:t>
                </w:r>
              </w:p>
            </w:tc>
          </w:tr>
        </w:tbl>
      </w:sdtContent>
    </w:sdt>
    <w:p w:rsidR="00000000" w:rsidDel="00000000" w:rsidP="00000000" w:rsidRDefault="00000000" w:rsidRPr="00000000" w14:paraId="00000431">
      <w:pPr>
        <w:spacing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32">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resumen, encontramos que la repitencia tiene un efecto bruto sobre gran parte de las variables analizadas. Además, salvo contadas excepciones, la significancia estadística se mantiene estable, lo cual aporta evidencia consistente con la hipótesis aquí trabajada. </w:t>
      </w:r>
    </w:p>
    <w:p w:rsidR="00000000" w:rsidDel="00000000" w:rsidP="00000000" w:rsidRDefault="00000000" w:rsidRPr="00000000" w14:paraId="00000433">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incorporación del género al modelo modifica sólo moderadamente las chances estimadas en el modelo bivariado. Más aún, el ajuste en los ORs mantiene la dirección del efecto de la repitencia (es decir, cuando el modelo simple expone una baja de las chances, el de control mantiene el sentido de esta asociación). Además, el modelo multivariable expresa un aumento del Pseudo R² para todos los casos (para Programación, Oficios y Docencia el modelo bivariado no permitía estimar este indicador), aunque la lectura comparativa del BIC no permite identificar un patrón general para el conjunto.</w:t>
      </w:r>
    </w:p>
    <w:p w:rsidR="00000000" w:rsidDel="00000000" w:rsidP="00000000" w:rsidRDefault="00000000" w:rsidRPr="00000000" w14:paraId="00000434">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Ahora bien, los datos nos indican algunas cuestiones particulares para cada área temática. Primeramente, vemos que en la elección del área de estudios, la repitencia afecta las probabilidades de elegir carreras vinculadas con el nivel universitario. Esto podemos afirmarlo con relativa seguridad dado el umbral de significatividad de los ORs allí expuestos. El ajuste por género parece aportar información relevante para estos casos, al ver asociaciones significativas que dejan de serlo y otras que superan el umbral de significancia.</w:t>
      </w:r>
    </w:p>
    <w:p w:rsidR="00000000" w:rsidDel="00000000" w:rsidP="00000000" w:rsidRDefault="00000000" w:rsidRPr="00000000" w14:paraId="00000435">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Vemos en la elección del tipo de institución los modelos más estables en tanto la adición del género prácticamente no afecta la significancia. Además, el BIC indica que son solo algunos los casos en los que esta adición mejora el ajuste del modelo.</w:t>
      </w:r>
    </w:p>
    <w:p w:rsidR="00000000" w:rsidDel="00000000" w:rsidP="00000000" w:rsidRDefault="00000000" w:rsidRPr="00000000" w14:paraId="00000436">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los motivos de elección de la carrera, los ORs son mayoritariamente significativos en ambos modelos. Además, la variación de las chances expone un pequeño ajuste que no altera lo visto en el modelo de regresión simple. Nuevamente, el BIC muestra mejoras solamente en algunos casos.</w:t>
      </w:r>
    </w:p>
    <w:p w:rsidR="00000000" w:rsidDel="00000000" w:rsidP="00000000" w:rsidRDefault="00000000" w:rsidRPr="00000000" w14:paraId="00000437">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Respecto a los sentidos sobre la educación, encontramos el área donde el efecto de la repitencia es más consistente, al exponer ORs altamente significativos en todos los casos. Recuperamos además que baja la magnitud de la asociación y que mejora el ajuste y parsimonia, con menores valores del BIC para los tres modelos.</w:t>
      </w:r>
    </w:p>
    <w:p w:rsidR="00000000" w:rsidDel="00000000" w:rsidP="00000000" w:rsidRDefault="00000000" w:rsidRPr="00000000" w14:paraId="00000438">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definitiva, vemos que existe una asociación entre repetir y las dimensiones analizadas. Asimismo, la incorporación del género modifica parcialmente el efecto estimado de la repitencia, con un ajuste marginal de los OR. Esto explicaría que su adición no altera, en términos generales, ni la dirección ni la significancia estadística de las asociaciones observadas.</w:t>
      </w:r>
      <w:r w:rsidDel="00000000" w:rsidR="00000000" w:rsidRPr="00000000">
        <w:rPr>
          <w:rtl w:val="0"/>
        </w:rPr>
      </w:r>
    </w:p>
    <w:p w:rsidR="00000000" w:rsidDel="00000000" w:rsidP="00000000" w:rsidRDefault="00000000" w:rsidRPr="00000000" w14:paraId="00000439">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Conclusiones</w:t>
      </w:r>
    </w:p>
    <w:p w:rsidR="00000000" w:rsidDel="00000000" w:rsidP="00000000" w:rsidRDefault="00000000" w:rsidRPr="00000000" w14:paraId="0000043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lo largo de este trabajo nos propusimos analizar las consecuencias de la repitencia sobre las expectativas de los y las estudiantes de último año de continuar los estudios en el nivel superior una vez culminados su educación obligatoria. Como dijimos, la literatura especializada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(Tosoni et- al, 2007; Villalobos y Béjares, 2017)</w:t>
      </w:r>
      <w:r w:rsidDel="00000000" w:rsidR="00000000" w:rsidRPr="00000000">
        <w:rPr>
          <w:rFonts w:ascii="Times New Roman" w:cs="Times New Roman" w:eastAsia="Times New Roman" w:hAnsi="Times New Roman"/>
          <w:rtl w:val="0"/>
        </w:rPr>
        <w:t xml:space="preserve"> sostiene que </w:t>
      </w:r>
      <w:r w:rsidDel="00000000" w:rsidR="00000000" w:rsidRPr="00000000">
        <w:rPr>
          <w:rFonts w:ascii="Times New Roman" w:cs="Times New Roman" w:eastAsia="Times New Roman" w:hAnsi="Times New Roman"/>
          <w:rtl w:val="0"/>
        </w:rPr>
        <w:t xml:space="preserve">esta experiencia tiene consecuencias a nivel socioemocional que afectan a la motivación académica, que se monta sobre procesos de acumulación de ventajas y desventajas (Saraví, 2015) relacionadas con desigualdades socioeducativas. </w:t>
      </w:r>
    </w:p>
    <w:p w:rsidR="00000000" w:rsidDel="00000000" w:rsidP="00000000" w:rsidRDefault="00000000" w:rsidRPr="00000000" w14:paraId="0000043B">
      <w:pPr>
        <w:spacing w:line="240" w:lineRule="auto"/>
        <w:jc w:val="both"/>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Ahora bien, el análisis de la EBES-GESDES nos indica algunas cuestiones de relevancia. Primeramente, como mencionamos, los datos sugieren que las personas que atravesaron experiencias de repitencia quieren seguir estudiando en el nivel superior, mayoritariamente en el universitario público. Esto pudimos verlo en la Tabla 8, que nos demuestra que la distribución de las respuestas de las personas repitentes sigue en líneas generales la del total de la muestra.</w:t>
      </w:r>
      <w:r w:rsidDel="00000000" w:rsidR="00000000" w:rsidRPr="00000000">
        <w:rPr>
          <w:rtl w:val="0"/>
        </w:rPr>
      </w:r>
    </w:p>
    <w:p w:rsidR="00000000" w:rsidDel="00000000" w:rsidP="00000000" w:rsidRDefault="00000000" w:rsidRPr="00000000" w14:paraId="0000043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construir los modelos estadísticos nos encontramos con resultados que permiten profundizar sobre esto. Si bien desean continuar con sus estudios, encontramos que la repitencia atenúa las chances estimadas de elegir áreas de estudio típicamente asociadas al nivel universitario. Asimismo, estos datos podrían sugerir que </w:t>
      </w:r>
      <w:r w:rsidDel="00000000" w:rsidR="00000000" w:rsidRPr="00000000">
        <w:rPr>
          <w:rFonts w:ascii="Times New Roman" w:cs="Times New Roman" w:eastAsia="Times New Roman" w:hAnsi="Times New Roman"/>
          <w:rtl w:val="0"/>
        </w:rPr>
        <w:t xml:space="preserve">repetir </w:t>
      </w:r>
      <w:r w:rsidDel="00000000" w:rsidR="00000000" w:rsidRPr="00000000">
        <w:rPr>
          <w:rFonts w:ascii="Times New Roman" w:cs="Times New Roman" w:eastAsia="Times New Roman" w:hAnsi="Times New Roman"/>
          <w:rtl w:val="0"/>
        </w:rPr>
        <w:t xml:space="preserve">influye sobre la elección misma de la Universidad pública como el tipo de institución superior en la que continuar sus estudios. Lo mismo sucede con los motivos por los cuales estas personas eligen una carrera o disciplina. Finalmente, encontramos que, independientemente de haber repetido o no, existe una apuesta mayoritaria por continuar la formación, aún reconociendo la existencia de otras opciones que ofrecen mejoras en sus condiciones de vida. La particularidad viene dada al analizar las estimaciones de los modelos, que podrían indicar que la repitencia influye sobre las chances de reconocer esta situación.</w:t>
      </w:r>
    </w:p>
    <w:p w:rsidR="00000000" w:rsidDel="00000000" w:rsidP="00000000" w:rsidRDefault="00000000" w:rsidRPr="00000000" w14:paraId="0000043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definitiva, los modelos estadísticos nos ofrecen una puerta de entrada para futuras investigaciones que incluyan más variables predictoras, permitiéndonos un análisis pormenorizado de estos fenómenos. Aún con eso, los resultados hasta aquí expuestos nos aportan evidencia empírica sólida para afirmar que la repitencia influye sobre las expectativas de las y los estudiantes de maneras diversas, de forma tal que su posicionamiento frente a la posibilidad de continuar su formación más allá del nivel obligatorio no puede explicarse sin su adición. </w:t>
      </w:r>
    </w:p>
    <w:p w:rsidR="00000000" w:rsidDel="00000000" w:rsidP="00000000" w:rsidRDefault="00000000" w:rsidRPr="00000000" w14:paraId="0000043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Así también, sería interesante observar cómo continúan estas trayectorias; estudios muestran efecto de compensación actúa a favor de las y los estudiantes de sectores más acomodados, permitiendo que, pese a haber obtenido malos resultados o repetir, continúen con estudios superiores (Bernardi, 2025) por lo que, más allá de las expectativas y perspectivas de las y los estudiantes, interesaría indagar si esas expectativas logran concretarse. </w:t>
      </w:r>
      <w:r w:rsidDel="00000000" w:rsidR="00000000" w:rsidRPr="00000000">
        <w:rPr>
          <w:rtl w:val="0"/>
        </w:rPr>
      </w:r>
    </w:p>
    <w:p w:rsidR="00000000" w:rsidDel="00000000" w:rsidP="00000000" w:rsidRDefault="00000000" w:rsidRPr="00000000" w14:paraId="0000043F">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40">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Referencias Bibliográficas</w:t>
      </w:r>
    </w:p>
    <w:p w:rsidR="00000000" w:rsidDel="00000000" w:rsidP="00000000" w:rsidRDefault="00000000" w:rsidRPr="00000000" w14:paraId="0000044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Araujo,  S.  (2017).  Entre  el  ingreso  y  la  graduación:  el  problema  de  la  democratización  en  la  universidad. </w:t>
      </w:r>
      <w:r w:rsidDel="00000000" w:rsidR="00000000" w:rsidRPr="00000000">
        <w:rPr>
          <w:rFonts w:ascii="Times New Roman" w:cs="Times New Roman" w:eastAsia="Times New Roman" w:hAnsi="Times New Roman"/>
          <w:i w:val="1"/>
          <w:iCs w:val="1"/>
          <w:rtl w:val="0"/>
        </w:rPr>
        <w:t xml:space="preserve">Espacios en Blanco. Revista de Educación</w:t>
      </w:r>
      <w:r w:rsidDel="00000000" w:rsidR="00000000" w:rsidRPr="00000000">
        <w:rPr>
          <w:rFonts w:ascii="Times New Roman" w:cs="Times New Roman" w:eastAsia="Times New Roman" w:hAnsi="Times New Roman"/>
          <w:rtl w:val="0"/>
        </w:rPr>
        <w:t xml:space="preserve">, (27), 35-61.</w:t>
      </w:r>
    </w:p>
    <w:p w:rsidR="00000000" w:rsidDel="00000000" w:rsidP="00000000" w:rsidRDefault="00000000" w:rsidRPr="00000000" w14:paraId="0000044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Belloso González, J. T. (En prensa). Algunas notas sobre la Encuesta Bonaerense a Estudiantes Secundarios (EBES-GESDES). En Di Piero, E. y Causa, M. (comp.). Perspectivas estudiantiles. Una exploración cuantitativa sobre cómo piensan el futuro, la educación y las transiciones en tiempos de extrema derecha. Imago Mundi.</w:t>
      </w:r>
    </w:p>
    <w:p w:rsidR="00000000" w:rsidDel="00000000" w:rsidP="00000000" w:rsidRDefault="00000000" w:rsidRPr="00000000" w14:paraId="0000044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Bernardi, F. (2025). La educación como ascensor social: límites de la expansión educativa. </w:t>
      </w:r>
      <w:r w:rsidDel="00000000" w:rsidR="00000000" w:rsidRPr="00000000">
        <w:rPr>
          <w:rFonts w:ascii="Times New Roman" w:cs="Times New Roman" w:eastAsia="Times New Roman" w:hAnsi="Times New Roman"/>
          <w:i w:val="1"/>
          <w:iCs w:val="1"/>
          <w:rtl w:val="0"/>
        </w:rPr>
        <w:t xml:space="preserve">Panorama Social, </w:t>
      </w:r>
      <w:r w:rsidDel="00000000" w:rsidR="00000000" w:rsidRPr="00000000">
        <w:rPr>
          <w:rFonts w:ascii="Times New Roman" w:cs="Times New Roman" w:eastAsia="Times New Roman" w:hAnsi="Times New Roman"/>
          <w:rtl w:val="0"/>
        </w:rPr>
        <w:t xml:space="preserve">42.</w:t>
      </w:r>
      <w:r w:rsidDel="00000000" w:rsidR="00000000" w:rsidRPr="00000000">
        <w:rPr>
          <w:rtl w:val="0"/>
        </w:rPr>
      </w:r>
    </w:p>
    <w:p w:rsidR="00000000" w:rsidDel="00000000" w:rsidP="00000000" w:rsidRDefault="00000000" w:rsidRPr="00000000" w14:paraId="0000044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Carli, S. (2012). </w:t>
      </w:r>
      <w:r w:rsidDel="00000000" w:rsidR="00000000" w:rsidRPr="00000000">
        <w:rPr>
          <w:rFonts w:ascii="Times New Roman" w:cs="Times New Roman" w:eastAsia="Times New Roman" w:hAnsi="Times New Roman"/>
          <w:i w:val="1"/>
          <w:iCs w:val="1"/>
          <w:rtl w:val="0"/>
        </w:rPr>
        <w:t xml:space="preserve">El estudiante universitario. Hacia una historia del presente de la educación pública.</w:t>
      </w:r>
      <w:r w:rsidDel="00000000" w:rsidR="00000000" w:rsidRPr="00000000">
        <w:rPr>
          <w:rFonts w:ascii="Times New Roman" w:cs="Times New Roman" w:eastAsia="Times New Roman" w:hAnsi="Times New Roman"/>
          <w:rtl w:val="0"/>
        </w:rPr>
        <w:t xml:space="preserve"> Buenos Aires: Siglo XXI Editores. </w:t>
      </w:r>
    </w:p>
    <w:p w:rsidR="00000000" w:rsidDel="00000000" w:rsidP="00000000" w:rsidRDefault="00000000" w:rsidRPr="00000000" w14:paraId="0000044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Corica, A. (2012). </w:t>
      </w:r>
      <w:r w:rsidDel="00000000" w:rsidR="00000000" w:rsidRPr="00000000">
        <w:rPr>
          <w:rFonts w:ascii="Times New Roman" w:cs="Times New Roman" w:eastAsia="Times New Roman" w:hAnsi="Times New Roman"/>
          <w:i w:val="1"/>
          <w:iCs w:val="1"/>
          <w:rtl w:val="0"/>
        </w:rPr>
        <w:t xml:space="preserve">Juventud y futuro: educación, trabajo y grupos familiares</w:t>
      </w:r>
      <w:r w:rsidDel="00000000" w:rsidR="00000000" w:rsidRPr="00000000">
        <w:rPr>
          <w:rFonts w:ascii="Times New Roman" w:cs="Times New Roman" w:eastAsia="Times New Roman" w:hAnsi="Times New Roman"/>
          <w:rtl w:val="0"/>
        </w:rPr>
        <w:t xml:space="preserve">, Tesis de Doctorado, Universidad de Buenos Aires.</w:t>
      </w:r>
    </w:p>
    <w:p w:rsidR="00000000" w:rsidDel="00000000" w:rsidP="00000000" w:rsidRDefault="00000000" w:rsidRPr="00000000" w14:paraId="0000044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Cuartero, M. D. (2023). La segregación en la escuela concertada. Un análisis a través de las actividades complementarias. Eunomía.</w:t>
      </w:r>
      <w:r w:rsidDel="00000000" w:rsidR="00000000" w:rsidRPr="00000000">
        <w:rPr>
          <w:rFonts w:ascii="Times New Roman" w:cs="Times New Roman" w:eastAsia="Times New Roman" w:hAnsi="Times New Roman"/>
          <w:i w:val="1"/>
          <w:iCs w:val="1"/>
          <w:rtl w:val="0"/>
        </w:rPr>
        <w:t xml:space="preserve"> Revista en Cultura de la Legalidad,</w:t>
      </w:r>
      <w:r w:rsidDel="00000000" w:rsidR="00000000" w:rsidRPr="00000000">
        <w:rPr>
          <w:rFonts w:ascii="Times New Roman" w:cs="Times New Roman" w:eastAsia="Times New Roman" w:hAnsi="Times New Roman"/>
          <w:rtl w:val="0"/>
        </w:rPr>
        <w:t xml:space="preserve"> 24.</w:t>
      </w:r>
    </w:p>
    <w:p w:rsidR="00000000" w:rsidDel="00000000" w:rsidP="00000000" w:rsidRDefault="00000000" w:rsidRPr="00000000" w14:paraId="0000044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Dávila León, O. y Ghiardo Soto, F. (2005) Trayectorias, transiciones y condiciones juveniles en Chile. En </w:t>
      </w:r>
      <w:r w:rsidDel="00000000" w:rsidR="00000000" w:rsidRPr="00000000">
        <w:rPr>
          <w:rFonts w:ascii="Times New Roman" w:cs="Times New Roman" w:eastAsia="Times New Roman" w:hAnsi="Times New Roman"/>
          <w:i w:val="1"/>
          <w:iCs w:val="1"/>
          <w:rtl w:val="0"/>
        </w:rPr>
        <w:t xml:space="preserve">Nueva Sociedad</w:t>
      </w:r>
      <w:r w:rsidDel="00000000" w:rsidR="00000000" w:rsidRPr="00000000">
        <w:rPr>
          <w:rFonts w:ascii="Times New Roman" w:cs="Times New Roman" w:eastAsia="Times New Roman" w:hAnsi="Times New Roman"/>
          <w:rtl w:val="0"/>
        </w:rPr>
        <w:t xml:space="preserve">, N° 200.</w:t>
      </w:r>
    </w:p>
    <w:p w:rsidR="00000000" w:rsidDel="00000000" w:rsidP="00000000" w:rsidRDefault="00000000" w:rsidRPr="00000000" w14:paraId="0000044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 Piero, E. y Causa, M. (En prensa). Perspectivas estudiantiles. Una exploración cuantitativa sobre cómo piensan el futuro, la educación y las transiciones en tiempos de extrema derecha. Imago Mundi.</w:t>
      </w:r>
    </w:p>
    <w:p w:rsidR="00000000" w:rsidDel="00000000" w:rsidP="00000000" w:rsidRDefault="00000000" w:rsidRPr="00000000" w14:paraId="0000044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 Piero, E., Garriga Olmo, S. y Marchel, A. L. (2024a). Expectativas de estudiantes del nivel secundario bonaerense sobre el nivel superior en la pandemia: entre la ampliación, la reconfiguración y las desigualdades. En Di Piero, E. (comp.)</w:t>
      </w:r>
      <w:r w:rsidDel="00000000" w:rsidR="00000000" w:rsidRPr="00000000">
        <w:rPr>
          <w:rFonts w:ascii="Times New Roman" w:cs="Times New Roman" w:eastAsia="Times New Roman" w:hAnsi="Times New Roman"/>
          <w:i w:val="1"/>
          <w:iCs w:val="1"/>
          <w:rtl w:val="0"/>
        </w:rPr>
        <w:t xml:space="preserve"> Ampliar horizontes. Transiciones desiguales entre los niveles secundario y superior en provincia de Buenos Aires en la pandemia. </w:t>
      </w:r>
      <w:r w:rsidDel="00000000" w:rsidR="00000000" w:rsidRPr="00000000">
        <w:rPr>
          <w:rFonts w:ascii="Times New Roman" w:cs="Times New Roman" w:eastAsia="Times New Roman" w:hAnsi="Times New Roman"/>
          <w:rtl w:val="0"/>
        </w:rPr>
        <w:t xml:space="preserve">I</w:t>
      </w:r>
      <w:r w:rsidDel="00000000" w:rsidR="00000000" w:rsidRPr="00000000">
        <w:rPr>
          <w:rFonts w:ascii="Times New Roman" w:cs="Times New Roman" w:eastAsia="Times New Roman" w:hAnsi="Times New Roman"/>
          <w:rtl w:val="0"/>
        </w:rPr>
        <w:t xml:space="preserve">mago Mundi. </w:t>
      </w:r>
    </w:p>
    <w:p w:rsidR="00000000" w:rsidDel="00000000" w:rsidP="00000000" w:rsidRDefault="00000000" w:rsidRPr="00000000" w14:paraId="0000044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 Piero, E., Garriga Olmo, S. y Marchel, A. L. (2024b). Expectativas de estudiantes del nivel secundario bonaerense sobre el nivel superior en la pandemia: entre la ampliación, la reconfiguración y las desigualdades.</w:t>
      </w:r>
      <w:r w:rsidDel="00000000" w:rsidR="00000000" w:rsidRPr="00000000">
        <w:rPr>
          <w:rFonts w:ascii="Times New Roman" w:cs="Times New Roman" w:eastAsia="Times New Roman" w:hAnsi="Times New Roman"/>
          <w:i w:val="1"/>
          <w:iCs w:val="1"/>
          <w:rtl w:val="0"/>
        </w:rPr>
        <w:t xml:space="preserve"> Revista de Sociología de la Educación - RASE</w:t>
      </w:r>
      <w:r w:rsidDel="00000000" w:rsidR="00000000" w:rsidRPr="00000000">
        <w:rPr>
          <w:rFonts w:ascii="Times New Roman" w:cs="Times New Roman" w:eastAsia="Times New Roman" w:hAnsi="Times New Roman"/>
          <w:rtl w:val="0"/>
        </w:rPr>
        <w:t xml:space="preserve">, 17 (1), 27-49. </w:t>
      </w:r>
      <w:hyperlink r:id="rId8">
        <w:r w:rsidDel="00000000" w:rsidR="00000000" w:rsidRPr="00000000">
          <w:rPr>
            <w:rFonts w:ascii="Times New Roman" w:cs="Times New Roman" w:eastAsia="Times New Roman" w:hAnsi="Times New Roman"/>
            <w:color w:val="1155cc"/>
            <w:u w:val="single"/>
            <w:rtl w:val="0"/>
          </w:rPr>
          <w:t xml:space="preserve">http://dx.doi.org/10.7203/RASE.17.1.26862</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44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 Piero, E., Garriga Olmo, S., Marchel, A. L. y Massigoge, J. (en prensa). Expectativas sobre las trayectorias postescolares de estudiantes del último año del nivel secundario de la provincia de Buenos Aires: factores sociales y escolares. En Di Piero, E. y Causa, M. (comp.)</w:t>
      </w:r>
      <w:r w:rsidDel="00000000" w:rsidR="00000000" w:rsidRPr="00000000">
        <w:rPr>
          <w:rFonts w:ascii="Times New Roman" w:cs="Times New Roman" w:eastAsia="Times New Roman" w:hAnsi="Times New Roman"/>
          <w:i w:val="1"/>
          <w:iCs w:val="1"/>
          <w:rtl w:val="0"/>
        </w:rPr>
        <w:t xml:space="preserve">. Perspectivas estudiantiles. Una exploración cuantitativa sobre cómo piensan el futuro, la educación y las transiciones en tiempos de extrema derecha.</w:t>
      </w:r>
      <w:r w:rsidDel="00000000" w:rsidR="00000000" w:rsidRPr="00000000">
        <w:rPr>
          <w:rFonts w:ascii="Times New Roman" w:cs="Times New Roman" w:eastAsia="Times New Roman" w:hAnsi="Times New Roman"/>
          <w:rtl w:val="0"/>
        </w:rPr>
        <w:t xml:space="preserve"> Imago Mundi.</w:t>
      </w:r>
    </w:p>
    <w:p w:rsidR="00000000" w:rsidDel="00000000" w:rsidP="00000000" w:rsidRDefault="00000000" w:rsidRPr="00000000" w14:paraId="0000044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García de Fanelli, A. M. y Adrogué C. (2019). Equidad en el acceso y la graduación en la educación superior reflexiones desde el Cono Sur. </w:t>
      </w:r>
      <w:r w:rsidDel="00000000" w:rsidR="00000000" w:rsidRPr="00000000">
        <w:rPr>
          <w:rFonts w:ascii="Times New Roman" w:cs="Times New Roman" w:eastAsia="Times New Roman" w:hAnsi="Times New Roman"/>
          <w:i w:val="1"/>
          <w:iCs w:val="1"/>
          <w:rtl w:val="0"/>
        </w:rPr>
        <w:t xml:space="preserve">Archivos Analíticos de Políticas Educativas.</w:t>
      </w:r>
      <w:r w:rsidDel="00000000" w:rsidR="00000000" w:rsidRPr="00000000">
        <w:rPr>
          <w:rFonts w:ascii="Times New Roman" w:cs="Times New Roman" w:eastAsia="Times New Roman" w:hAnsi="Times New Roman"/>
          <w:rtl w:val="0"/>
        </w:rPr>
        <w:t xml:space="preserve"> 27(96).</w:t>
      </w:r>
    </w:p>
    <w:p w:rsidR="00000000" w:rsidDel="00000000" w:rsidP="00000000" w:rsidRDefault="00000000" w:rsidRPr="00000000" w14:paraId="0000044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Instituto de Estadística de la UNESCO. (2012). Oportunidades perdidas: El impacto de la repitencia y de la salida prematura de la escuela. Compendio Mundial de la Educación 2012. https://unesdoc.unesco.org/ark:/48223/pf0000219108 </w:t>
      </w:r>
    </w:p>
    <w:p w:rsidR="00000000" w:rsidDel="00000000" w:rsidP="00000000" w:rsidRDefault="00000000" w:rsidRPr="00000000" w14:paraId="0000044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Krichesky, G., Pogré, P. y Charovsky, M. (2016). Estrategias de las Universidades para acompañar el tránsito de los estudiantes entre la Escuela Secundaria y la Universidad. En V. Seoane (Coord.); M. Feldfeber, F. Saforcada, M. Duhalde, A. Villa, M. E. Martínez y A. Birgin (Comps.), </w:t>
      </w:r>
      <w:r w:rsidDel="00000000" w:rsidR="00000000" w:rsidRPr="00000000">
        <w:rPr>
          <w:rFonts w:ascii="Times New Roman" w:cs="Times New Roman" w:eastAsia="Times New Roman" w:hAnsi="Times New Roman"/>
          <w:i w:val="1"/>
          <w:iCs w:val="1"/>
          <w:rtl w:val="0"/>
        </w:rPr>
        <w:t xml:space="preserve">Actas</w:t>
      </w:r>
      <w:r w:rsidDel="00000000" w:rsidR="00000000" w:rsidRPr="00000000">
        <w:rPr>
          <w:rFonts w:ascii="Times New Roman" w:cs="Times New Roman" w:eastAsia="Times New Roman" w:hAnsi="Times New Roman"/>
          <w:rtl w:val="0"/>
        </w:rPr>
        <w:t xml:space="preserve">. Universidad Nacional de La Plata. Facultad de Humanidades y Ciencias de la Educación. </w:t>
      </w:r>
    </w:p>
    <w:p w:rsidR="00000000" w:rsidDel="00000000" w:rsidP="00000000" w:rsidRDefault="00000000" w:rsidRPr="00000000" w14:paraId="0000044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Marano, M. G. (2023). Problemáticas y desafíos en la articulación entre el nivel secundario y la universidad. Algunas reflexiones a partir del análisis de las políticas de articulación 2006-2020. En Vercellino, S., y Pogré, P. (Eds.), </w:t>
      </w:r>
      <w:r w:rsidDel="00000000" w:rsidR="00000000" w:rsidRPr="00000000">
        <w:rPr>
          <w:rFonts w:ascii="Times New Roman" w:cs="Times New Roman" w:eastAsia="Times New Roman" w:hAnsi="Times New Roman"/>
          <w:i w:val="1"/>
          <w:iCs w:val="1"/>
          <w:rtl w:val="0"/>
        </w:rPr>
        <w:t xml:space="preserve">Transiciones: Instituciones y subjetividades en los inicios de los estudios universitarios.</w:t>
      </w:r>
      <w:r w:rsidDel="00000000" w:rsidR="00000000" w:rsidRPr="00000000">
        <w:rPr>
          <w:rFonts w:ascii="Times New Roman" w:cs="Times New Roman" w:eastAsia="Times New Roman" w:hAnsi="Times New Roman"/>
          <w:rtl w:val="0"/>
        </w:rPr>
        <w:t xml:space="preserve"> Viedma: Editorial UNRN. doi:10.4000/books.eunrn.21043 </w:t>
      </w:r>
    </w:p>
    <w:p w:rsidR="00000000" w:rsidDel="00000000" w:rsidP="00000000" w:rsidRDefault="00000000" w:rsidRPr="00000000" w14:paraId="0000045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Marradi, A., Archenti, N. y Piovani, J. I. (2018). </w:t>
      </w:r>
      <w:r w:rsidDel="00000000" w:rsidR="00000000" w:rsidRPr="00000000">
        <w:rPr>
          <w:rFonts w:ascii="Times New Roman" w:cs="Times New Roman" w:eastAsia="Times New Roman" w:hAnsi="Times New Roman"/>
          <w:i w:val="1"/>
          <w:iCs w:val="1"/>
          <w:rtl w:val="0"/>
        </w:rPr>
        <w:t xml:space="preserve">Manual de metodología de las ciencias sociales.</w:t>
      </w:r>
      <w:r w:rsidDel="00000000" w:rsidR="00000000" w:rsidRPr="00000000">
        <w:rPr>
          <w:rFonts w:ascii="Times New Roman" w:cs="Times New Roman" w:eastAsia="Times New Roman" w:hAnsi="Times New Roman"/>
          <w:rtl w:val="0"/>
        </w:rPr>
        <w:t xml:space="preserve"> Siglo XXI. </w:t>
      </w:r>
    </w:p>
    <w:p w:rsidR="00000000" w:rsidDel="00000000" w:rsidP="00000000" w:rsidRDefault="00000000" w:rsidRPr="00000000" w14:paraId="0000045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Núñez, P., Santos Sharpe, A. y Dallaglio, L. (2022). Decisiones en la incertidumbre: elecciones de carrera y expectativas juveniles sobre su futuro (CABA, Argentina). En Nuñez, P. y Fuentes, S. </w:t>
      </w:r>
      <w:r w:rsidDel="00000000" w:rsidR="00000000" w:rsidRPr="00000000">
        <w:rPr>
          <w:rFonts w:ascii="Times New Roman" w:cs="Times New Roman" w:eastAsia="Times New Roman" w:hAnsi="Times New Roman"/>
          <w:i w:val="1"/>
          <w:iCs w:val="1"/>
          <w:rtl w:val="0"/>
        </w:rPr>
        <w:t xml:space="preserve">Estudiar y transitar la secundaria y el nivel superior. Experiencias, decisiones, pre y post pandemia</w:t>
      </w:r>
      <w:r w:rsidDel="00000000" w:rsidR="00000000" w:rsidRPr="00000000">
        <w:rPr>
          <w:rFonts w:ascii="Times New Roman" w:cs="Times New Roman" w:eastAsia="Times New Roman" w:hAnsi="Times New Roman"/>
          <w:rtl w:val="0"/>
        </w:rPr>
        <w:t xml:space="preserve">. HomoSapiens. </w:t>
      </w:r>
    </w:p>
    <w:p w:rsidR="00000000" w:rsidDel="00000000" w:rsidP="00000000" w:rsidRDefault="00000000" w:rsidRPr="00000000" w14:paraId="0000045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Santos Sharpe, A. (2024). ¿(Cómo) elegimos?: Elecciones de carrera y mercantilización de la universidad en la pospandemia. En M. Unzué, K. Batthyány y P. Vommaro (Coords.), </w:t>
      </w:r>
      <w:r w:rsidDel="00000000" w:rsidR="00000000" w:rsidRPr="00000000">
        <w:rPr>
          <w:rFonts w:ascii="Times New Roman" w:cs="Times New Roman" w:eastAsia="Times New Roman" w:hAnsi="Times New Roman"/>
          <w:i w:val="1"/>
          <w:iCs w:val="1"/>
          <w:rtl w:val="0"/>
        </w:rPr>
        <w:t xml:space="preserve">La universidad latinoamericana entre la mercantilización, los derechos y la evaluación. Premio Pedro Krotsch 2023.</w:t>
      </w:r>
      <w:r w:rsidDel="00000000" w:rsidR="00000000" w:rsidRPr="00000000">
        <w:rPr>
          <w:rFonts w:ascii="Times New Roman" w:cs="Times New Roman" w:eastAsia="Times New Roman" w:hAnsi="Times New Roman"/>
          <w:rtl w:val="0"/>
        </w:rPr>
        <w:t xml:space="preserve"> Buenos Aires: CLACSO. Consejo Latinoamericano de Ciencias Sociales.</w:t>
      </w:r>
    </w:p>
    <w:p w:rsidR="00000000" w:rsidDel="00000000" w:rsidP="00000000" w:rsidRDefault="00000000" w:rsidRPr="00000000" w14:paraId="0000045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Saraví, G. (2015) </w:t>
      </w:r>
      <w:r w:rsidDel="00000000" w:rsidR="00000000" w:rsidRPr="00000000">
        <w:rPr>
          <w:rFonts w:ascii="Times New Roman" w:cs="Times New Roman" w:eastAsia="Times New Roman" w:hAnsi="Times New Roman"/>
          <w:i w:val="1"/>
          <w:iCs w:val="1"/>
          <w:rtl w:val="0"/>
        </w:rPr>
        <w:t xml:space="preserve">Juventudes fragmentadas. Socialización, clase y cultura en la construcción de la desigualdad</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Ciudad de México: FLACSO.</w:t>
      </w:r>
    </w:p>
    <w:p w:rsidR="00000000" w:rsidDel="00000000" w:rsidP="00000000" w:rsidRDefault="00000000" w:rsidRPr="00000000" w14:paraId="0000045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Scasso, M. (2024). Radiografía de las trayectorias escolares. La educación secundaria en América Latina.Oficina para América Latina y el Caribe del IIPE UNESCO.  </w:t>
      </w:r>
    </w:p>
    <w:p w:rsidR="00000000" w:rsidDel="00000000" w:rsidP="00000000" w:rsidRDefault="00000000" w:rsidRPr="00000000" w14:paraId="00000455">
      <w:pPr>
        <w:spacing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Suasnábar, C. y Rovelli, L. (2015). “Ampliaciones y desigualdades en el acceso y egreso de estudiantes a la Educación Superior en la Argentina”. </w:t>
      </w:r>
      <w:r w:rsidDel="00000000" w:rsidR="00000000" w:rsidRPr="00000000">
        <w:rPr>
          <w:rFonts w:ascii="Times New Roman" w:cs="Times New Roman" w:eastAsia="Times New Roman" w:hAnsi="Times New Roman"/>
          <w:i w:val="1"/>
          <w:iCs w:val="1"/>
          <w:rtl w:val="0"/>
        </w:rPr>
        <w:t xml:space="preserve">Revista Pro-Posições.</w:t>
      </w:r>
    </w:p>
    <w:p w:rsidR="00000000" w:rsidDel="00000000" w:rsidP="00000000" w:rsidRDefault="00000000" w:rsidRPr="00000000" w14:paraId="0000045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Tosoni, Natel y Frecentese (2007). Las desigualdades educativas y la experiencia escolar de los estudiantes de sectores populares. Presentado en I Jornadas Nacionales de Investigación Educativa, II Jornadas Regionales y VI Jornadas Institucionales. Universidad Nacional de Cuyo. Mendoza, 3 y 4 de mayo de 2007.</w:t>
      </w:r>
    </w:p>
    <w:p w:rsidR="00000000" w:rsidDel="00000000" w:rsidP="00000000" w:rsidRDefault="00000000" w:rsidRPr="00000000" w14:paraId="0000045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Troiano, H., Vidal, L. y Adell, J. (2021). Riesgos en la transición a la educación terciaria. Narrativas sobre cómo se perciben y gestionan.</w:t>
      </w:r>
      <w:r w:rsidDel="00000000" w:rsidR="00000000" w:rsidRPr="00000000">
        <w:rPr>
          <w:rFonts w:ascii="Times New Roman" w:cs="Times New Roman" w:eastAsia="Times New Roman" w:hAnsi="Times New Roman"/>
          <w:i w:val="1"/>
          <w:iCs w:val="1"/>
          <w:rtl w:val="0"/>
        </w:rPr>
        <w:t xml:space="preserve"> Calidad En La Educación, </w:t>
      </w:r>
      <w:r w:rsidDel="00000000" w:rsidR="00000000" w:rsidRPr="00000000">
        <w:rPr>
          <w:rFonts w:ascii="Times New Roman" w:cs="Times New Roman" w:eastAsia="Times New Roman" w:hAnsi="Times New Roman"/>
          <w:rtl w:val="0"/>
        </w:rPr>
        <w:t xml:space="preserve">55, 175–205. </w:t>
      </w:r>
    </w:p>
    <w:p w:rsidR="00000000" w:rsidDel="00000000" w:rsidP="00000000" w:rsidRDefault="00000000" w:rsidRPr="00000000" w14:paraId="0000045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Trow, M. (1973). Problems in the Transition from Elite to Mass Higher Education. California: Carnegie Commission on Higher Education. </w:t>
      </w:r>
    </w:p>
    <w:p w:rsidR="00000000" w:rsidDel="00000000" w:rsidP="00000000" w:rsidRDefault="00000000" w:rsidRPr="00000000" w14:paraId="0000045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Villalobos, C. y Béjares, C. (2017). Políticas de promoción y repitencia en Chile: recomendaciones desde una mirada comparada. CEPPE Policy Brief N°14.</w:t>
      </w:r>
    </w:p>
    <w:p w:rsidR="00000000" w:rsidDel="00000000" w:rsidP="00000000" w:rsidRDefault="00000000" w:rsidRPr="00000000" w14:paraId="0000045A">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5B">
      <w:pPr>
        <w:spacing w:line="240" w:lineRule="auto"/>
        <w:jc w:val="left"/>
        <w:rPr>
          <w:rFonts w:ascii="Times New Roman" w:cs="Times New Roman" w:eastAsia="Times New Roman" w:hAnsi="Times New Roman"/>
        </w:rPr>
      </w:pPr>
      <w:r w:rsidDel="00000000" w:rsidR="00000000" w:rsidRPr="00000000">
        <w:rPr>
          <w:rtl w:val="0"/>
        </w:rPr>
      </w:r>
    </w:p>
    <w:sectPr>
      <w:headerReference r:id="rId9" w:type="default"/>
      <w:footerReference r:id="rId10"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4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45F">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Originalmente, la encuesta contempló las siguientes opciones: Hombre; Hombre transgénero; Mujer; Mujer transgénero; No binario; Prefiero no decirlo. Sin embargo, en este capítulo se realiza una división entre hombre cis y mujer cis, y las demás identidades de género fueron agrupadas en la opción “Otras identidades de género”.</w:t>
      </w:r>
    </w:p>
  </w:footnote>
  <w:footnote w:id="1">
    <w:p w:rsidR="00000000" w:rsidDel="00000000" w:rsidP="00000000" w:rsidRDefault="00000000" w:rsidRPr="00000000" w14:paraId="00000460">
      <w:pPr>
        <w:spacing w:after="0"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Esta opción se refiere a aquellas personas encuestadas que no conviven ni con su madre ni con su padre.</w:t>
      </w:r>
    </w:p>
  </w:footnote>
  <w:footnote w:id="7">
    <w:p w:rsidR="00000000" w:rsidDel="00000000" w:rsidP="00000000" w:rsidRDefault="00000000" w:rsidRPr="00000000" w14:paraId="00000461">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A la hora de calcular el Pseudo R², y en todos los casos que exhiben la leyenda N/A, el cálculo no pudo completarse. Atribuimos esto a la muy baja frecuencia de elección de estas opciones.</w:t>
      </w:r>
    </w:p>
  </w:footnote>
  <w:footnote w:id="6">
    <w:p w:rsidR="00000000" w:rsidDel="00000000" w:rsidP="00000000" w:rsidRDefault="00000000" w:rsidRPr="00000000" w14:paraId="00000462">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Estos y todos los valores referidos al error estándar corresponden a la escala del coeficiente (log-odds), no al del Odds Ratio exponenciado. </w:t>
      </w:r>
    </w:p>
  </w:footnote>
  <w:footnote w:id="5">
    <w:p w:rsidR="00000000" w:rsidDel="00000000" w:rsidP="00000000" w:rsidRDefault="00000000" w:rsidRPr="00000000" w14:paraId="00000463">
      <w:pPr>
        <w:spacing w:after="0" w:line="240" w:lineRule="auto"/>
        <w:jc w:val="both"/>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Sobre las áreas debemos mencionar que, si bien incluimos la opción “Fuerzas de seguridad” dentro de la tabla N°6 se construyó a posteriori de este modelado estadístico a partir de la opción “Otros” de la pregunta original. Esta era de respuesta abierta, lo cual imposibilitó un trabajo de recodificación y clasificación lo suficientemente exhaustivo para este trabajo. Proyectamos su inclusión en futuros trabajos.</w:t>
      </w:r>
      <w:r w:rsidDel="00000000" w:rsidR="00000000" w:rsidRPr="00000000">
        <w:rPr>
          <w:rtl w:val="0"/>
        </w:rPr>
      </w:r>
    </w:p>
  </w:footnote>
  <w:footnote w:id="9">
    <w:p w:rsidR="00000000" w:rsidDel="00000000" w:rsidP="00000000" w:rsidRDefault="00000000" w:rsidRPr="00000000" w14:paraId="00000464">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La frase difiere de la presentada en la Tabla 12 por la recodificación que hicimos de esta variable para poder estimar las chances relativas de estar de acuerdo con ella.</w:t>
      </w:r>
    </w:p>
  </w:footnote>
  <w:footnote w:id="8">
    <w:p w:rsidR="00000000" w:rsidDel="00000000" w:rsidP="00000000" w:rsidRDefault="00000000" w:rsidRPr="00000000" w14:paraId="00000465">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En este modelado dejamos por fuera la frase “Hay gente que no estudia y logra mejoras en materia económica”, que si fue analizada en el apartado anterior, hipotetizando  que la experiencia de haber repetido no generará cambios en la percepción o el conocimiento de las mejoras que puedan lograr otras personas mientras que hipotetizamos que esta experiencia quizá sí genere modificaciones en la propia percepción, es decir en la propia percepción y expectativas sobre continuar con los estudios.</w:t>
      </w:r>
    </w:p>
  </w:footnote>
  <w:footnote w:id="2">
    <w:p w:rsidR="00000000" w:rsidDel="00000000" w:rsidP="00000000" w:rsidRDefault="00000000" w:rsidRPr="00000000" w14:paraId="00000466">
      <w:pPr>
        <w:spacing w:after="0" w:line="240" w:lineRule="auto"/>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La pregunta por las razones de elección era de respuesta múltiple. La suma de los porcentajes no equivale a 100% porque cada estudiante </w:t>
      </w:r>
      <w:r w:rsidDel="00000000" w:rsidR="00000000" w:rsidRPr="00000000">
        <w:rPr>
          <w:rFonts w:ascii="Times New Roman" w:cs="Times New Roman" w:eastAsia="Times New Roman" w:hAnsi="Times New Roman"/>
          <w:sz w:val="20"/>
          <w:szCs w:val="20"/>
          <w:rtl w:val="0"/>
        </w:rPr>
        <w:t xml:space="preserve">pudo</w:t>
      </w:r>
      <w:r w:rsidDel="00000000" w:rsidR="00000000" w:rsidRPr="00000000">
        <w:rPr>
          <w:rFonts w:ascii="Times New Roman" w:cs="Times New Roman" w:eastAsia="Times New Roman" w:hAnsi="Times New Roman"/>
          <w:sz w:val="20"/>
          <w:szCs w:val="20"/>
          <w:rtl w:val="0"/>
        </w:rPr>
        <w:t xml:space="preserve"> seleccionar más de una respuesta.</w:t>
      </w:r>
      <w:r w:rsidDel="00000000" w:rsidR="00000000" w:rsidRPr="00000000">
        <w:rPr>
          <w:rtl w:val="0"/>
        </w:rPr>
      </w:r>
    </w:p>
  </w:footnote>
  <w:footnote w:id="4">
    <w:p w:rsidR="00000000" w:rsidDel="00000000" w:rsidP="00000000" w:rsidRDefault="00000000" w:rsidRPr="00000000" w14:paraId="00000467">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La pregunta por las razones de elección era de respuesta múltiple. La suma de los porcentajes no equivale a 100% porque cada estudiante </w:t>
      </w:r>
      <w:r w:rsidDel="00000000" w:rsidR="00000000" w:rsidRPr="00000000">
        <w:rPr>
          <w:rFonts w:ascii="Times New Roman" w:cs="Times New Roman" w:eastAsia="Times New Roman" w:hAnsi="Times New Roman"/>
          <w:sz w:val="20"/>
          <w:szCs w:val="20"/>
          <w:rtl w:val="0"/>
        </w:rPr>
        <w:t xml:space="preserve">pudo</w:t>
      </w:r>
      <w:r w:rsidDel="00000000" w:rsidR="00000000" w:rsidRPr="00000000">
        <w:rPr>
          <w:rFonts w:ascii="Times New Roman" w:cs="Times New Roman" w:eastAsia="Times New Roman" w:hAnsi="Times New Roman"/>
          <w:sz w:val="20"/>
          <w:szCs w:val="20"/>
          <w:rtl w:val="0"/>
        </w:rPr>
        <w:t xml:space="preserve"> seleccionar más de una respuesta. </w:t>
      </w:r>
      <w:r w:rsidDel="00000000" w:rsidR="00000000" w:rsidRPr="00000000">
        <w:rPr>
          <w:rtl w:val="0"/>
        </w:rPr>
      </w:r>
    </w:p>
  </w:footnote>
  <w:footnote w:id="3">
    <w:p w:rsidR="00000000" w:rsidDel="00000000" w:rsidP="00000000" w:rsidRDefault="00000000" w:rsidRPr="00000000" w14:paraId="00000468">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Excluimos la opción “Cursos” ya que corresponde al 0,06% del total.</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tblPr>
      <w:tblStyleRowBandSize w:val="1"/>
      <w:tblStyleColBandSize w:val="1"/>
    </w:tblPr>
  </w:style>
  <w:style w:type="table" w:styleId="Table2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dx.doi.org/10.7203/RASE.17.1.26862"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uLEf32zacE6SWBIBrM02KpPknQ==">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