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735995">
      <w:pPr>
        <w:jc w:val="both"/>
        <w:rPr>
          <w:rFonts w:ascii="Times New Roman" w:hAnsi="Times New Roman" w:cs="Times New Roman"/>
        </w:rPr>
      </w:pPr>
    </w:p>
    <w:p w14:paraId="57A0B7A7" w14:textId="5188DB99" w:rsidR="007A18BC" w:rsidRPr="007A18BC" w:rsidRDefault="007A18BC" w:rsidP="00735995">
      <w:pPr>
        <w:spacing w:after="240" w:line="240" w:lineRule="auto"/>
        <w:jc w:val="both"/>
        <w:rPr>
          <w:rFonts w:ascii="Times New Roman" w:eastAsia="Times New Roman" w:hAnsi="Times New Roman" w:cs="Times New Roman"/>
          <w:color w:val="000000"/>
          <w:kern w:val="0"/>
          <w:lang w:val="es-AR" w:eastAsia="es-MX"/>
          <w14:ligatures w14:val="none"/>
        </w:rPr>
      </w:pPr>
      <w:r w:rsidRPr="007A18BC">
        <w:rPr>
          <w:rFonts w:ascii="Times New Roman" w:eastAsia="Times New Roman" w:hAnsi="Times New Roman" w:cs="Times New Roman"/>
          <w:b/>
          <w:bCs/>
          <w:color w:val="000000"/>
          <w:kern w:val="0"/>
          <w:sz w:val="32"/>
          <w:szCs w:val="32"/>
          <w:lang w:val="es-AR" w:eastAsia="es-MX"/>
          <w14:ligatures w14:val="none"/>
        </w:rPr>
        <w:t>Los inicios a la vida universitaria en Argentina:</w:t>
      </w:r>
      <w:r w:rsidR="00735995">
        <w:rPr>
          <w:rFonts w:ascii="Times New Roman" w:eastAsia="Times New Roman" w:hAnsi="Times New Roman" w:cs="Times New Roman"/>
          <w:b/>
          <w:bCs/>
          <w:color w:val="000000"/>
          <w:kern w:val="0"/>
          <w:sz w:val="32"/>
          <w:szCs w:val="32"/>
          <w:lang w:val="es-AR" w:eastAsia="es-MX"/>
          <w14:ligatures w14:val="none"/>
        </w:rPr>
        <w:t xml:space="preserve"> </w:t>
      </w:r>
      <w:r w:rsidRPr="007A18BC">
        <w:rPr>
          <w:rFonts w:ascii="Times New Roman" w:eastAsia="Times New Roman" w:hAnsi="Times New Roman" w:cs="Times New Roman"/>
          <w:b/>
          <w:bCs/>
          <w:color w:val="000000"/>
          <w:kern w:val="0"/>
          <w:sz w:val="32"/>
          <w:szCs w:val="32"/>
          <w:lang w:val="es-AR" w:eastAsia="es-MX"/>
          <w14:ligatures w14:val="none"/>
        </w:rPr>
        <w:t>construcción de un campo de estudios</w:t>
      </w:r>
    </w:p>
    <w:p w14:paraId="4BB26DCA" w14:textId="77777777" w:rsidR="007A18BC" w:rsidRPr="007A18BC" w:rsidRDefault="007A18BC" w:rsidP="00735995">
      <w:pPr>
        <w:spacing w:after="240" w:line="240" w:lineRule="auto"/>
        <w:jc w:val="both"/>
        <w:rPr>
          <w:rFonts w:ascii="Times New Roman" w:eastAsia="Times New Roman" w:hAnsi="Times New Roman" w:cs="Times New Roman"/>
          <w:kern w:val="0"/>
          <w:lang w:val="es-AR" w:eastAsia="es-MX"/>
          <w14:ligatures w14:val="none"/>
        </w:rPr>
      </w:pPr>
    </w:p>
    <w:p w14:paraId="172AC7CF" w14:textId="77777777" w:rsidR="007A18BC" w:rsidRPr="007A18BC" w:rsidRDefault="007A18BC" w:rsidP="00735995">
      <w:pPr>
        <w:spacing w:after="0" w:line="240" w:lineRule="auto"/>
        <w:jc w:val="both"/>
        <w:rPr>
          <w:rFonts w:ascii="Times New Roman" w:eastAsia="Times New Roman" w:hAnsi="Times New Roman" w:cs="Times New Roman"/>
          <w:kern w:val="0"/>
          <w:lang w:val="es-AR" w:eastAsia="es-MX"/>
          <w14:ligatures w14:val="none"/>
        </w:rPr>
      </w:pPr>
    </w:p>
    <w:p w14:paraId="43C49479" w14:textId="77777777" w:rsidR="005F3B2E" w:rsidRPr="00BA642E" w:rsidRDefault="005F3B2E" w:rsidP="00735995">
      <w:pPr>
        <w:jc w:val="both"/>
        <w:rPr>
          <w:rFonts w:ascii="Times New Roman" w:hAnsi="Times New Roman" w:cs="Times New Roman"/>
        </w:rPr>
      </w:pPr>
    </w:p>
    <w:p w14:paraId="389BD952" w14:textId="77777777" w:rsidR="007A18BC" w:rsidRDefault="007A18BC" w:rsidP="00735995">
      <w:pPr>
        <w:spacing w:after="0" w:line="240" w:lineRule="auto"/>
        <w:jc w:val="right"/>
        <w:rPr>
          <w:rFonts w:ascii="Times New Roman" w:hAnsi="Times New Roman" w:cs="Times New Roman"/>
        </w:rPr>
      </w:pPr>
      <w:r>
        <w:rPr>
          <w:rFonts w:ascii="Times New Roman" w:hAnsi="Times New Roman" w:cs="Times New Roman"/>
        </w:rPr>
        <w:t xml:space="preserve">Sotelo, Lucrecia Agustina </w:t>
      </w:r>
    </w:p>
    <w:p w14:paraId="6C2AECCA" w14:textId="523CB871" w:rsidR="005F3B2E" w:rsidRDefault="007A18BC" w:rsidP="00735995">
      <w:pPr>
        <w:spacing w:after="0" w:line="240" w:lineRule="auto"/>
        <w:jc w:val="right"/>
        <w:rPr>
          <w:rFonts w:ascii="Times New Roman" w:hAnsi="Times New Roman" w:cs="Times New Roman"/>
        </w:rPr>
      </w:pPr>
      <w:r>
        <w:rPr>
          <w:rFonts w:ascii="Times New Roman" w:hAnsi="Times New Roman" w:cs="Times New Roman"/>
        </w:rPr>
        <w:t>Universidad Nacional de la Patagonia Austral</w:t>
      </w:r>
    </w:p>
    <w:p w14:paraId="714018CD" w14:textId="7F3CAAD5" w:rsidR="00BA642E" w:rsidRPr="007B5B5F" w:rsidRDefault="007A18BC" w:rsidP="00735995">
      <w:pPr>
        <w:spacing w:after="0" w:line="240" w:lineRule="auto"/>
        <w:jc w:val="right"/>
        <w:rPr>
          <w:rFonts w:ascii="Times New Roman" w:hAnsi="Times New Roman" w:cs="Times New Roman"/>
          <w:b/>
          <w:bCs/>
          <w:color w:val="EE0000"/>
        </w:rPr>
      </w:pPr>
      <w:r>
        <w:rPr>
          <w:rFonts w:ascii="Times New Roman" w:hAnsi="Times New Roman" w:cs="Times New Roman"/>
        </w:rPr>
        <w:t>lucreciasotelo@gmail.com</w:t>
      </w:r>
    </w:p>
    <w:p w14:paraId="7B9027E2" w14:textId="77777777" w:rsidR="00BA642E" w:rsidRDefault="00BA642E" w:rsidP="00735995">
      <w:pPr>
        <w:jc w:val="right"/>
        <w:rPr>
          <w:rFonts w:ascii="Times New Roman" w:hAnsi="Times New Roman" w:cs="Times New Roman"/>
          <w:b/>
          <w:bCs/>
        </w:rPr>
      </w:pPr>
    </w:p>
    <w:p w14:paraId="4C45D984" w14:textId="4ABF579D" w:rsidR="00735995" w:rsidRDefault="00735995" w:rsidP="00735995">
      <w:pPr>
        <w:jc w:val="both"/>
      </w:pPr>
      <w:r>
        <w:rPr>
          <w:rFonts w:ascii="Times New Roman" w:eastAsia="Times New Roman" w:hAnsi="Times New Roman" w:cs="Times New Roman"/>
        </w:rPr>
        <w:t xml:space="preserve">Resumen. </w:t>
      </w:r>
      <w:r>
        <w:rPr>
          <w:rFonts w:ascii="Times New Roman" w:eastAsia="Times New Roman" w:hAnsi="Times New Roman" w:cs="Times New Roman"/>
        </w:rPr>
        <w:t xml:space="preserve">El presente trabajo aborda, mediante un análisis documental bibliográfico, los desafíos que enfrenta la primera vinculación de los estudiantes con la universidad en Argentina en el marco de la masificación del acceso a la educación superior, proceso intensificado a partir de la sanción de la Ley de Educación Superior N° 27.204/2015, que consagró el ingreso libre, gratuito y con enfoque de derechos, reconociendo la educación superior como derecho humano universal y bien público social. En el escenario contemporáneo de policrisis —signado por el deterioro global de las democracias y, en Argentina, por un ataque presupuestario sin precedentes al sistema universitario y científico desde el retorno democrático— la investigación sobre los inicios a la vida universitaria adquiere una urgencia política que trasciende el ámbito académico: produce el conocimiento necesario para que la promesa igualitaria de la educación superior no sea una declaración formal sino una práctica institucional efectiva. El corpus analizado comprende investigaciones, artículos de revistas científicas, libros y conferencias sobre educación superior producidos desde la reapertura democrática hasta 2024, complementado con entrevistas en profundidad a cinco investigadoras e investigadores argentinos con trayectoria reconocida en el campo y el análisis sistemático de 92 artículos científicos organizados en dos períodos: 1990-2006 y 2010-2024. La estrategia metodológica combina el análisis documental bibliográfico desde la perspectiva de la problematización propuesta por Williams (2009) con el marco interpretativo del régimen de desigualdades múltiples de Dubet (2023). Se propone como hipótesis central que la reconceptualización de la primera vinculación del estudiante con la universidad, en términos de 'inicios' a la vida universitaria, implica un cambio de paradigma con consecuencias analíticas y políticas concretas: desplaza el problema desde los déficits del sujeto hacia la articulación compleja entre las condiciones que los sujetos portan y las condiciones que la institución produce, redistribuyendo la responsabilidad del análisis y de los diseños de política. A partir del análisis se identifican cuatro dimensiones que </w:t>
      </w:r>
      <w:r>
        <w:rPr>
          <w:rFonts w:ascii="Times New Roman" w:eastAsia="Times New Roman" w:hAnsi="Times New Roman" w:cs="Times New Roman"/>
        </w:rPr>
        <w:lastRenderedPageBreak/>
        <w:t>estructuran el campo: el ingreso en términos de acceso y admisión; el ingreso como constituyente de la zona de pasaje y articulación entre niveles; el ingreso y el acompañamiento pedagógico; y el ingreso y el aprendizaje del código académico. La investigación revela una tensión fundamental entre democratización y calidad, la importancia de la articulación entre niveles educativos, la necesidad de un acompañamiento pedagógico adaptado a los sujetos inesperados —trabajadores, madres, migrantes, adultos, personas con discapacidad— y el rol crucial de la alfabetización académica entendida desde la desigualdad sociocultural y no desde el déficit. Asimismo, se identifican vacancias que señalan horizontes ineludibles para la expansión del campo: la perspectiva de género —en articulación con la clase, el territorio y la condición migrante como configuradores de experiencias de inicio diferenciales—, la dimensión territorial, la articulación entre investigación y diseño de políticas, y la perspectiva intergeneracional y biográfica. Se concluye que el estudio de los inicios a la vida universitaria requiere un enfoque interdisciplinario, situado y transversalizado por la perspectiva de género, condición necesaria para garantizar el derecho a la educación superior como práctica institucional efectiva en tiempos de crisis globales.</w:t>
      </w:r>
    </w:p>
    <w:p w14:paraId="2EB668C8" w14:textId="77777777" w:rsidR="00735995" w:rsidRDefault="00735995" w:rsidP="00735995">
      <w:pPr>
        <w:jc w:val="both"/>
      </w:pPr>
    </w:p>
    <w:p w14:paraId="26DE939B" w14:textId="2AEFB5DF" w:rsidR="00735995" w:rsidRDefault="00735995" w:rsidP="00735995">
      <w:pPr>
        <w:jc w:val="both"/>
      </w:pPr>
      <w:r>
        <w:rPr>
          <w:rFonts w:ascii="Times New Roman" w:eastAsia="Times New Roman" w:hAnsi="Times New Roman" w:cs="Times New Roman"/>
          <w:b/>
          <w:bCs/>
        </w:rPr>
        <w:t xml:space="preserve">Palabras clave: </w:t>
      </w:r>
      <w:r>
        <w:rPr>
          <w:rFonts w:ascii="Times New Roman" w:eastAsia="Times New Roman" w:hAnsi="Times New Roman" w:cs="Times New Roman"/>
        </w:rPr>
        <w:t>Inicios a la vida universitaria, Campo de estudios, Primera vinculación, Democratización, Inclusión educativa, Perspectiva de género.</w:t>
      </w:r>
    </w:p>
    <w:p w14:paraId="43D157B5" w14:textId="77777777" w:rsidR="00735995" w:rsidRDefault="00735995" w:rsidP="00735995">
      <w:pPr>
        <w:jc w:val="both"/>
      </w:pPr>
    </w:p>
    <w:p w14:paraId="37F2C188" w14:textId="2864F0AD" w:rsidR="00735995" w:rsidRDefault="00735995" w:rsidP="00735995">
      <w:pPr>
        <w:spacing w:before="240"/>
        <w:jc w:val="both"/>
      </w:pPr>
      <w:r>
        <w:rPr>
          <w:rFonts w:ascii="Times New Roman" w:eastAsia="Times New Roman" w:hAnsi="Times New Roman" w:cs="Times New Roman"/>
          <w:b/>
          <w:bCs/>
        </w:rPr>
        <w:t>Introducción</w:t>
      </w:r>
    </w:p>
    <w:p w14:paraId="76F75060" w14:textId="77777777" w:rsidR="00735995" w:rsidRDefault="00735995" w:rsidP="00735995">
      <w:pPr>
        <w:jc w:val="both"/>
      </w:pPr>
      <w:r>
        <w:rPr>
          <w:rFonts w:ascii="Times New Roman" w:eastAsia="Times New Roman" w:hAnsi="Times New Roman" w:cs="Times New Roman"/>
        </w:rPr>
        <w:t>La masificación de la educación superior constituye uno de los procesos estructurales más significativos del siglo XX y principios del XXI a escala global. Desde la década de 1970, la expansión del sistema universitario incorporó, de manera progresiva e irreversible, a sectores sociales históricamente excluidos del nivel terciario, transformando la composición del estudiantado y generando demandas que los modelos universitarios tradicionales no estaban preparados para responder. Como señaló Clark (2015), esta expansión representó un punto de inflexión que obligó a la sociología de la educación superior a reorientar su mirada: ya no se trataba sólo de estudiar la selección de quienes ingresaban, sino de comprender qué ocurría con una población heterogénea que, por primera vez en la historia, era mayoritariamente primera generación universitaria.</w:t>
      </w:r>
    </w:p>
    <w:p w14:paraId="314EEAE5" w14:textId="77777777" w:rsidR="00735995" w:rsidRDefault="00735995" w:rsidP="00735995">
      <w:pPr>
        <w:jc w:val="both"/>
      </w:pPr>
      <w:r>
        <w:rPr>
          <w:rFonts w:ascii="Times New Roman" w:eastAsia="Times New Roman" w:hAnsi="Times New Roman" w:cs="Times New Roman"/>
        </w:rPr>
        <w:t xml:space="preserve">En Argentina, este proceso adquirió una inflexión normativa decisiva con la sanción de la Ley de Educación Superior N° 27.204/2015, que consagró el ingreso libre, gratuito y con enfoque de derechos, reconociendo la educación superior como derecho humano universal y bien público social. Esta ley, que modificó el artículo 7 de la LES N° 24.521/95, cerró el ciclo normativo de un largo proceso de democratización formal y </w:t>
      </w:r>
      <w:r>
        <w:rPr>
          <w:rFonts w:ascii="Times New Roman" w:eastAsia="Times New Roman" w:hAnsi="Times New Roman" w:cs="Times New Roman"/>
        </w:rPr>
        <w:lastRenderedPageBreak/>
        <w:t>abrió, al mismo tiempo, una nueva serie de preguntas: ¿Qué significa garantizar el ingreso si las condiciones de permanencia y egreso siguen siendo profundamente desiguales? ¿Cómo diseñar políticas institucionales para un estudiantado cuyas trayectorias biográficas, capitales culturales y condiciones materiales difieren radicalmente del perfil para el que la universidad fue históricamente concebida? ¿Qué tipo de investigación educativa necesitamos para producir diagnósticos que informen políticas situadas y eficaces? Estas preguntas se vuelven todavía más urgentes en el escenario de crisis global que caracteriza el presente: el deterioro de las democracias, los ataques al financiamiento de lo público y la profundización de las desigualdades estructurales —de clase, de género, de territorio— interpelan directamente la capacidad de las instituciones universitarias para garantizar trayectorias estudiantiles sostenibles.</w:t>
      </w:r>
    </w:p>
    <w:p w14:paraId="0A72C748" w14:textId="77777777" w:rsidR="00735995" w:rsidRDefault="00735995" w:rsidP="00735995">
      <w:pPr>
        <w:jc w:val="both"/>
      </w:pPr>
      <w:r>
        <w:rPr>
          <w:rFonts w:ascii="Times New Roman" w:eastAsia="Times New Roman" w:hAnsi="Times New Roman" w:cs="Times New Roman"/>
        </w:rPr>
        <w:t>El campo de los Inicios a la Vida Universitaria (IVU) surge como respuesta a estas preguntas. Propone trascender la concepción administrativa del ingreso —reducida al acto puntual de matriculación— para concebir la primera vinculación universitaria como un proceso multidimensional, temporalmente extendido, atravesado por desigualdades múltiples y constitutivo de la identidad estudiantil. Este campo, en construcción activa desde la reapertura democrática, articula aportes de la sociología de la educación, la historia de la educación superior, la didáctica de la lengua y la pedagogía universitaria, produciendo una perspectiva interdisciplinaria que ninguna de estas tradiciones por separado puede ofrecer.</w:t>
      </w:r>
    </w:p>
    <w:p w14:paraId="5986DD8C" w14:textId="77777777" w:rsidR="00735995" w:rsidRDefault="00735995" w:rsidP="00735995">
      <w:pPr>
        <w:jc w:val="both"/>
      </w:pPr>
      <w:r>
        <w:rPr>
          <w:rFonts w:ascii="Times New Roman" w:eastAsia="Times New Roman" w:hAnsi="Times New Roman" w:cs="Times New Roman"/>
        </w:rPr>
        <w:t>El presente trabajo tiene un propósito epistemológico: sistematizar el estado de este campo de estudios, identificar sus dimensiones constitutivas, sus tensiones internas y sus áreas de vacancia, con el fin de contribuir a su consolidación como objeto legítimo de investigación educativa en Argentina. Para ello se desarrolló un análisis documental bibliográfico de un corpus conformado por investigaciones, artículos científicos, libros y conferencias sobre educación superior producidos entre la reapertura democrática y el año 2024, complementado con entrevistas en profundidad a investigadoras e investigadores que han producido conocimiento sistemático en este campo. La ponencia se organiza en cinco secciones. La primera presenta el marco teórico-metodológico. La segunda desarrolla las cuatro dimensiones que estructuran el campo de los IVU. La tercera despliega los debates que atraviesan cada dimensión. La cuarta identifica las vacancias y los horizontes del campo. La quinta presenta las conclusiones.</w:t>
      </w:r>
    </w:p>
    <w:p w14:paraId="33434D21" w14:textId="77777777" w:rsidR="00735995" w:rsidRDefault="00735995" w:rsidP="00735995">
      <w:pPr>
        <w:spacing w:line="240" w:lineRule="auto"/>
        <w:jc w:val="both"/>
        <w:rPr>
          <w:rFonts w:ascii="Times New Roman" w:hAnsi="Times New Roman" w:cs="Times New Roman"/>
          <w:b/>
          <w:bCs/>
        </w:rPr>
      </w:pPr>
    </w:p>
    <w:p w14:paraId="2FD138AD" w14:textId="6D53647F" w:rsidR="005F3B2E" w:rsidRPr="007B5B5F" w:rsidRDefault="005F3B2E" w:rsidP="00735995">
      <w:pPr>
        <w:spacing w:line="240" w:lineRule="auto"/>
        <w:jc w:val="both"/>
        <w:rPr>
          <w:rFonts w:ascii="Times New Roman" w:hAnsi="Times New Roman" w:cs="Times New Roman"/>
          <w:b/>
          <w:bCs/>
        </w:rPr>
      </w:pPr>
      <w:r w:rsidRPr="007B5B5F">
        <w:rPr>
          <w:rFonts w:ascii="Times New Roman" w:hAnsi="Times New Roman" w:cs="Times New Roman"/>
          <w:b/>
          <w:bCs/>
        </w:rPr>
        <w:t>Desarrollo</w:t>
      </w:r>
    </w:p>
    <w:p w14:paraId="02425EC8" w14:textId="315D870B" w:rsidR="007A18BC" w:rsidRDefault="007A18BC" w:rsidP="00735995">
      <w:pPr>
        <w:spacing w:before="240"/>
        <w:jc w:val="both"/>
      </w:pPr>
      <w:r>
        <w:rPr>
          <w:rFonts w:ascii="Times New Roman" w:eastAsia="Times New Roman" w:hAnsi="Times New Roman" w:cs="Times New Roman"/>
          <w:b/>
          <w:bCs/>
        </w:rPr>
        <w:t>Marco teórico-metodológico</w:t>
      </w:r>
    </w:p>
    <w:p w14:paraId="473AD92D" w14:textId="1DA18E36" w:rsidR="007A18BC" w:rsidRDefault="007A18BC" w:rsidP="00735995">
      <w:pPr>
        <w:spacing w:before="240"/>
        <w:jc w:val="both"/>
      </w:pPr>
      <w:r>
        <w:rPr>
          <w:rFonts w:ascii="Times New Roman" w:eastAsia="Times New Roman" w:hAnsi="Times New Roman" w:cs="Times New Roman"/>
          <w:b/>
          <w:bCs/>
        </w:rPr>
        <w:t>1 El problema del ingreso como objeto de investigación</w:t>
      </w:r>
    </w:p>
    <w:p w14:paraId="37AA7EDE" w14:textId="77777777" w:rsidR="007A18BC" w:rsidRDefault="007A18BC" w:rsidP="00735995">
      <w:pPr>
        <w:jc w:val="both"/>
      </w:pPr>
      <w:r>
        <w:rPr>
          <w:rFonts w:ascii="Times New Roman" w:eastAsia="Times New Roman" w:hAnsi="Times New Roman" w:cs="Times New Roman"/>
        </w:rPr>
        <w:lastRenderedPageBreak/>
        <w:t>El concepto de 'ingreso' es polisémico y su historia semántica condensa la historia política de la relación entre la universidad y la sociedad en Argentina. Como demuestra el análisis historiográfico (Sotelo, 2025b), el ingreso ha designado, en distintos momentos históricos, el acceso restringido a una élite, la oportunidad de movilidad social para los sectores medios emergentes, el derecho formal reconocido por la Reforma de 1918, la selectividad funcional de los períodos dictatoriales y, finalmente, el derecho humano universal consagrado en 2015. Cada una de estas configuraciones produjo dispositivos institucionales específicos, imaginarios estudiantiles particulares y problemas de investigación propios.</w:t>
      </w:r>
    </w:p>
    <w:p w14:paraId="66156529" w14:textId="77777777" w:rsidR="007A18BC" w:rsidRDefault="007A18BC" w:rsidP="00735995">
      <w:pPr>
        <w:jc w:val="both"/>
      </w:pPr>
      <w:r>
        <w:rPr>
          <w:rFonts w:ascii="Times New Roman" w:eastAsia="Times New Roman" w:hAnsi="Times New Roman" w:cs="Times New Roman"/>
        </w:rPr>
        <w:t>La tesis central de este trabajo es que el desplazamiento conceptual del ingreso a los inicios no es una operación terminológica superficial: es un cambio de paradigma que tiene consecuencias analíticas y políticas concretas. El ingreso, como concepto, sitúa el problema en un momento puntual —la matriculación— y tiende a localizar las causas de la discontinuidad en el sujeto que ingresa (sus déficits académicos, su falta de motivación, su inadecuada preparación). Los inicios, como concepto, sitúan el problema en un proceso —la construcción de la afiliación institucional— y tienden a localizar las causas de la discontinuidad en la fricción entre las condiciones que los sujetos portan y las condiciones que la institución produce. Este desplazamiento no es neutral: implica una reorientación de la responsabilidad del análisis y, consiguientemente, de los diseños de política.</w:t>
      </w:r>
    </w:p>
    <w:p w14:paraId="15A3F179" w14:textId="77777777" w:rsidR="007A18BC" w:rsidRDefault="007A18BC" w:rsidP="00735995">
      <w:pPr>
        <w:jc w:val="both"/>
      </w:pPr>
      <w:r>
        <w:rPr>
          <w:rFonts w:ascii="Times New Roman" w:eastAsia="Times New Roman" w:hAnsi="Times New Roman" w:cs="Times New Roman"/>
        </w:rPr>
        <w:t>La reconceptualización que propone el campo de los IVU dialoga productivamente con Ezcurra (2011), quien formuló con precisión la paradoja de la inclusión excluyente: las políticas que amplían formalmente el acceso pueden, al mismo tiempo, producir nuevas formas de exclusión si no se acompañan de transformaciones en las condiciones de permanencia, en las prácticas de enseñanza y en las lógicas de evaluación. No se logrará una educación superior más inclusiva —advirtió Ezcurra— si porciones apreciables de las y los nuevos estudiantes fracasan sin que la institución se haga cargo de su parte de responsabilidad en ese fracaso. Este argumento adquiere renovada vigencia en el contexto de crisis actual, donde las desigualdades de clase, género y territorio se articulan con el deterioro de las condiciones materiales de estudio, amplificando los mecanismos silenciosos de exclusión que operan al interior de las trayectorias universitarias.</w:t>
      </w:r>
    </w:p>
    <w:p w14:paraId="5FFB5DD4" w14:textId="051DD3FF" w:rsidR="007A18BC" w:rsidRDefault="007A18BC" w:rsidP="00735995">
      <w:pPr>
        <w:spacing w:before="240"/>
        <w:jc w:val="both"/>
      </w:pPr>
      <w:r>
        <w:rPr>
          <w:rFonts w:ascii="Times New Roman" w:eastAsia="Times New Roman" w:hAnsi="Times New Roman" w:cs="Times New Roman"/>
          <w:b/>
          <w:bCs/>
        </w:rPr>
        <w:t>2 Estrategia metodológica</w:t>
      </w:r>
    </w:p>
    <w:p w14:paraId="494B7D5C" w14:textId="77777777" w:rsidR="007A18BC" w:rsidRDefault="007A18BC" w:rsidP="00735995">
      <w:pPr>
        <w:jc w:val="both"/>
      </w:pPr>
      <w:r>
        <w:rPr>
          <w:rFonts w:ascii="Times New Roman" w:eastAsia="Times New Roman" w:hAnsi="Times New Roman" w:cs="Times New Roman"/>
        </w:rPr>
        <w:t xml:space="preserve">La investigación que sustenta esta ponencia se inscribe en una perspectiva cualitativa interpretativa (Vasilachis de Gialdino, 2006). El diseño metodológico articuló dos estrategias complementarias. La primera fue un análisis documental bibliográfico de un corpus de 92 artículos científicos publicados en revistas de educación superior de alcance nacional e internacional, en dos períodos: 1990-2006 y 2010-2024. La construcción del corpus se realizó de manera regresiva, partiendo desde el presente hacia el pasado y desde </w:t>
      </w:r>
      <w:r>
        <w:rPr>
          <w:rFonts w:ascii="Times New Roman" w:eastAsia="Times New Roman" w:hAnsi="Times New Roman" w:cs="Times New Roman"/>
        </w:rPr>
        <w:lastRenderedPageBreak/>
        <w:t>lo local hacia lo internacional: se seleccionaron las principales obras de quienes investigan el ingreso universitario como objeto de estudio, se rastreó su bibliografía, se identificaron los autores y las autoras recurrentes y se construyó una matriz de datos que los relaciona con los temas y objetos que estudian.</w:t>
      </w:r>
    </w:p>
    <w:p w14:paraId="720B7D71" w14:textId="77777777" w:rsidR="007A18BC" w:rsidRDefault="007A18BC" w:rsidP="00735995">
      <w:pPr>
        <w:jc w:val="both"/>
      </w:pPr>
      <w:r>
        <w:rPr>
          <w:rFonts w:ascii="Times New Roman" w:eastAsia="Times New Roman" w:hAnsi="Times New Roman" w:cs="Times New Roman"/>
        </w:rPr>
        <w:t>La segunda estrategia fue la realización de cinco entrevistas en profundidad a investigadoras e investigadores argentinos con trayectoria reconocida en el campo. Las entrevistas buscaron recuperar las perspectivas de quienes producen conocimiento sobre los inicios universitarios: sus lecturas sobre el estado del campo, sus diagnósticos sobre las vacancias, sus valoraciones sobre los conceptos emergentes y sus posicionamientos epistemológicos sobre la relación entre investigación y política educativa.</w:t>
      </w:r>
    </w:p>
    <w:p w14:paraId="2CDEA878" w14:textId="77777777" w:rsidR="007A18BC" w:rsidRDefault="007A18BC" w:rsidP="00735995">
      <w:pPr>
        <w:jc w:val="both"/>
      </w:pPr>
      <w:r>
        <w:rPr>
          <w:rFonts w:ascii="Times New Roman" w:eastAsia="Times New Roman" w:hAnsi="Times New Roman" w:cs="Times New Roman"/>
        </w:rPr>
        <w:t>El análisis del corpus se realizó desde la perspectiva de la problematización bibliográfica propuesta por Williams (2009), reconociendo que los sentidos no son estáticos sino que se constituyen siguiendo una lógica hegemónica que puede hacerlos perdurar en el tiempo como residuales, arcaicos o como estructuras de sentir. Este enfoque permite establecer un campo semántico de las derivaciones conceptuales que rodean al ingreso a la universidad y comprender cómo se ha definido al sujeto universitario en cada momento histórico. El análisis se enmarca en lo que Dubet (2023) denomina el régimen de desigualdades múltiples: la primera vinculación del estudiante con la universidad debe ser comprendida desde el reconocimiento de que las desigualdades estructurales, sociales y culturales —incluidas las de género— producen experiencias individuales que no pueden ser atribuidas sólo a las características de los sujetos ni sólo a las características de la institución, sino a su articulación compleja.</w:t>
      </w:r>
    </w:p>
    <w:p w14:paraId="7BE2F2D9" w14:textId="00C5DF7D" w:rsidR="007A18BC" w:rsidRDefault="00735995" w:rsidP="00735995">
      <w:pPr>
        <w:spacing w:before="240"/>
        <w:jc w:val="both"/>
      </w:pPr>
      <w:r>
        <w:rPr>
          <w:rFonts w:ascii="Times New Roman" w:eastAsia="Times New Roman" w:hAnsi="Times New Roman" w:cs="Times New Roman"/>
          <w:b/>
          <w:bCs/>
        </w:rPr>
        <w:t>2</w:t>
      </w:r>
      <w:r w:rsidR="007A18BC">
        <w:rPr>
          <w:rFonts w:ascii="Times New Roman" w:eastAsia="Times New Roman" w:hAnsi="Times New Roman" w:cs="Times New Roman"/>
          <w:b/>
          <w:bCs/>
        </w:rPr>
        <w:t>. Las cuatro dimensiones del campo de los IVU</w:t>
      </w:r>
    </w:p>
    <w:p w14:paraId="4C8B7494" w14:textId="3123AC31" w:rsidR="007A18BC" w:rsidRDefault="00735995" w:rsidP="00735995">
      <w:pPr>
        <w:spacing w:before="240"/>
        <w:jc w:val="both"/>
      </w:pPr>
      <w:r>
        <w:rPr>
          <w:rFonts w:ascii="Times New Roman" w:eastAsia="Times New Roman" w:hAnsi="Times New Roman" w:cs="Times New Roman"/>
          <w:b/>
          <w:bCs/>
        </w:rPr>
        <w:t>2</w:t>
      </w:r>
      <w:r w:rsidR="007A18BC">
        <w:rPr>
          <w:rFonts w:ascii="Times New Roman" w:eastAsia="Times New Roman" w:hAnsi="Times New Roman" w:cs="Times New Roman"/>
          <w:b/>
          <w:bCs/>
        </w:rPr>
        <w:t>.1 Primera dimensión: el ingreso en términos de acceso y admisión</w:t>
      </w:r>
    </w:p>
    <w:p w14:paraId="1D043473" w14:textId="77777777" w:rsidR="007A18BC" w:rsidRDefault="007A18BC" w:rsidP="00735995">
      <w:pPr>
        <w:jc w:val="both"/>
      </w:pPr>
      <w:r>
        <w:rPr>
          <w:rFonts w:ascii="Times New Roman" w:eastAsia="Times New Roman" w:hAnsi="Times New Roman" w:cs="Times New Roman"/>
        </w:rPr>
        <w:t>La primera dimensión del campo de los IVU concentra la producción académica sobre las políticas y prácticas que regulan quiénes pueden acceder a la educación superior y bajo qué condiciones. Esta dimensión es la más antigua del campo y la que cuenta con mayor acumulación investigativa: se inicia, en el contexto argentino, con los trabajos pioneros de Chiroleu (1999), quien definió la admisión como 'el poder de permitir entrar' y problematizó la disyuntiva entre seleccionar y no seleccionar desde una perspectiva sociohistórica comparativa entre Argentina y Brasil.</w:t>
      </w:r>
    </w:p>
    <w:p w14:paraId="455CDBB8" w14:textId="77777777" w:rsidR="007A18BC" w:rsidRDefault="007A18BC" w:rsidP="00735995">
      <w:pPr>
        <w:jc w:val="both"/>
      </w:pPr>
    </w:p>
    <w:p w14:paraId="6341258D" w14:textId="4091A639" w:rsidR="007A18BC" w:rsidRDefault="007A18BC" w:rsidP="00735995">
      <w:pPr>
        <w:jc w:val="both"/>
      </w:pPr>
      <w:r>
        <w:rPr>
          <w:rFonts w:ascii="Times New Roman" w:eastAsia="Times New Roman" w:hAnsi="Times New Roman" w:cs="Times New Roman"/>
        </w:rPr>
        <w:t xml:space="preserve">El debate en torno al acceso y la admisión en Argentina se organiza en torno a una tensión central que el análisis del corpus permite reconstruir con precisión: la tensión entre selección y democratización. Por un lado, una tradición que concibe el ingreso como </w:t>
      </w:r>
      <w:r>
        <w:rPr>
          <w:rFonts w:ascii="Times New Roman" w:eastAsia="Times New Roman" w:hAnsi="Times New Roman" w:cs="Times New Roman"/>
        </w:rPr>
        <w:lastRenderedPageBreak/>
        <w:t>mecanismo necesario de filtrado, que garantiza la calidad académica y la pertinencia de la formación. Por otro, una tradición que concibe el ingreso irrestricto como condición de la democratización efectiva, argumentando que cualquier mecanismo de selección reproduce y amplía las desigualdades de origen, dado que las condiciones de preparación académica previa se distribuyen de manera profundamente desigual según la clase social, el género y el territorio.</w:t>
      </w:r>
    </w:p>
    <w:p w14:paraId="554A8AC8" w14:textId="77777777" w:rsidR="007A18BC" w:rsidRDefault="007A18BC" w:rsidP="00735995">
      <w:pPr>
        <w:jc w:val="both"/>
      </w:pPr>
      <w:r>
        <w:rPr>
          <w:rFonts w:ascii="Times New Roman" w:eastAsia="Times New Roman" w:hAnsi="Times New Roman" w:cs="Times New Roman"/>
        </w:rPr>
        <w:t>La Ley N° 27.204/2015 zanjó normativamente este debate al establecer que todas las personas pueden ingresar de manera libre e irrestricta a la enseñanza de grado, reconociendo la educación superior como un derecho. Sin embargo, la sanción legal no clausuró el debate analítico: si el acceso formal se amplió, los mecanismos de selección no desaparecieron sino que se desplazaron hacia el interior de las trayectorias, operando como filtros en la permanencia y en las posibilidades de egreso. Ezcurra (2011) nombró este proceso inclusión excluyente y mostró, con evidencia empírica comparada, que la masificación universitaria puede coexistir con una selectividad social que opera silenciosamente a través de las tasas de abandono en el primer año de estudio.</w:t>
      </w:r>
    </w:p>
    <w:p w14:paraId="4BC0CC9C" w14:textId="77777777" w:rsidR="007A18BC" w:rsidRDefault="007A18BC" w:rsidP="00735995">
      <w:pPr>
        <w:jc w:val="both"/>
      </w:pPr>
      <w:r>
        <w:rPr>
          <w:rFonts w:ascii="Times New Roman" w:eastAsia="Times New Roman" w:hAnsi="Times New Roman" w:cs="Times New Roman"/>
        </w:rPr>
        <w:t>García (2023) avanzó en esta línea al realizar una historización y un mapeo exhaustivo de los dispositivos de ingreso en las universidades públicas argentinas, mostrando cómo las instituciones construyen activamente a su estudiantado a través de las modalidades que adoptan para gestionar la primera vinculación: los ciclos básicos comunes, los cursos de articulación, los talleres de ingreso, los sistemas de correlatividades, los mecanismos de orientación vocacional. Estos dispositivos no son neutrales: encarnan concepciones sobre qué es un estudiante universitario legítimo y producen efectos diferenciales sobre quienes se ajustan a ese perfil y quienes no. Esa concepción del estudiante legítimo, además, no es generalmente neutral en términos de género: invisibiliza las trayectorias de estudiantes con responsabilidades de cuidado, trabajadoras, madres y mujeres de sectores populares, cuyas condiciones de acceso difieren estructuralmente de las del estudiante-tipo históricamente imaginado por la institución.</w:t>
      </w:r>
    </w:p>
    <w:p w14:paraId="5B29E50C" w14:textId="77777777" w:rsidR="007A18BC" w:rsidRDefault="007A18BC" w:rsidP="00735995">
      <w:pPr>
        <w:jc w:val="both"/>
      </w:pPr>
      <w:r>
        <w:rPr>
          <w:rFonts w:ascii="Times New Roman" w:eastAsia="Times New Roman" w:hAnsi="Times New Roman" w:cs="Times New Roman"/>
        </w:rPr>
        <w:t>Un punto crucial que emerge del análisis es la disjunción entre el estudiante esperado —aquel que la institución imagina implícitamente cuando diseña sus dispositivos— y el estudiante real, que ingresa con trayectorias biográficas, capitales culturales y condiciones materiales profundamente heterogéneas. Esta brecha, frecuentemente invisible para las propias instituciones, constituye uno de los mecanismos silenciosos más potentes de producción de la desigualdad educativa. El diseño de políticas de ingreso que no contemple esta brecha opera, en última instancia, sobre un sujeto-ingresante que no existe.</w:t>
      </w:r>
    </w:p>
    <w:p w14:paraId="7B705522" w14:textId="31890377" w:rsidR="007A18BC" w:rsidRDefault="00735995" w:rsidP="00735995">
      <w:pPr>
        <w:spacing w:before="240"/>
        <w:jc w:val="both"/>
      </w:pPr>
      <w:r>
        <w:rPr>
          <w:rFonts w:ascii="Times New Roman" w:eastAsia="Times New Roman" w:hAnsi="Times New Roman" w:cs="Times New Roman"/>
          <w:b/>
          <w:bCs/>
        </w:rPr>
        <w:t>2</w:t>
      </w:r>
      <w:r w:rsidR="007A18BC">
        <w:rPr>
          <w:rFonts w:ascii="Times New Roman" w:eastAsia="Times New Roman" w:hAnsi="Times New Roman" w:cs="Times New Roman"/>
          <w:b/>
          <w:bCs/>
        </w:rPr>
        <w:t>.2 Segunda dimensión: el ingreso como zona de pasaje y articulación entre niveles</w:t>
      </w:r>
    </w:p>
    <w:p w14:paraId="1F7EED45" w14:textId="77777777" w:rsidR="007A18BC" w:rsidRDefault="007A18BC" w:rsidP="00735995">
      <w:pPr>
        <w:jc w:val="both"/>
      </w:pPr>
      <w:r>
        <w:rPr>
          <w:rFonts w:ascii="Times New Roman" w:eastAsia="Times New Roman" w:hAnsi="Times New Roman" w:cs="Times New Roman"/>
        </w:rPr>
        <w:lastRenderedPageBreak/>
        <w:t>La segunda dimensión del campo examina la primera vinculación universitaria no como un momento puntual sino como un proceso de transición que articula la escuela secundaria y la universidad. Esta dimensión introdujo en el campo de los IVU conceptos que han resultado analíticamente productivos: la zona de pasaje (Bombini y Labeur, 2017), la zona de transición (Pierella, 2019), el oficio de estudiante (Coulon, 1997, 2017) y la afiliación institucional.</w:t>
      </w:r>
    </w:p>
    <w:p w14:paraId="209D5D2C" w14:textId="77777777" w:rsidR="007A18BC" w:rsidRDefault="007A18BC" w:rsidP="00735995">
      <w:pPr>
        <w:jc w:val="both"/>
      </w:pPr>
      <w:r>
        <w:rPr>
          <w:rFonts w:ascii="Times New Roman" w:eastAsia="Times New Roman" w:hAnsi="Times New Roman" w:cs="Times New Roman"/>
        </w:rPr>
        <w:t>El concepto de zona de pasaje, propuesto por Bombini y Labeur (2017), designa el espacio que comprende al estudiantado desde el momento en que comienza a preguntarse qué hará luego de la secundaria hasta que comienza a rendir sus primeras materias en la universidad. Esta definición tiene consecuencias analíticas importantes: sitúa el inicio del proceso de vinculación universitaria antes de la matriculación, en un tiempo previo que incluye las representaciones sociales sobre la universidad, la deliberación vocacional, las expectativas familiares y las condiciones materiales de posibilidad. El ingreso, así comprendido, no tiene un inicio preciso: comienza cuando el sujeto empieza a imaginarse como estudiante universitario, y ese proceso de imaginación está profundamente condicionado por su posición en el espacio social —incluyendo su posición de género, que condiciona el tipo de carreras que se consideran posibles y legítimas, las expectativas familiares diferenciales y las presiones de cuidado que operan sobre las mujeres desde antes de la matriculación.</w:t>
      </w:r>
    </w:p>
    <w:p w14:paraId="7A688550" w14:textId="77777777" w:rsidR="007A18BC" w:rsidRDefault="007A18BC" w:rsidP="00735995">
      <w:pPr>
        <w:jc w:val="both"/>
      </w:pPr>
      <w:r>
        <w:rPr>
          <w:rFonts w:ascii="Times New Roman" w:eastAsia="Times New Roman" w:hAnsi="Times New Roman" w:cs="Times New Roman"/>
        </w:rPr>
        <w:t>Coulon (1997, 2017) aportó la categoría del oficio de estudiante para designar el conjunto de habilidades, conocimientos, códigos y comportamientos —en gran parte implícitos— que un estudiante debe aprender y dominar para integrarse con éxito a la vida universitaria y lograr la afiliación institucional. Este concepto desplaza la responsabilidad del análisis: si el problema del fracaso universitario se atribuye habitualmente a déficits de los sujetos, el concepto de oficio señala que lo que falta no es una capacidad natural sino un aprendizaje específico que la institución debería facilitar y que actualmente da por supuesto. El paso de 'extraño' a miembro pleno de la comunidad universitaria —que Coulon describe en términos de tres tiempos: tiempo del extraño, tiempo del aprendiz, tiempo del afiliado— es un proceso activo que requiere mediaciones institucionales que el sistema universitario masificado no siempre provee.</w:t>
      </w:r>
    </w:p>
    <w:p w14:paraId="27DDF0C4" w14:textId="77777777" w:rsidR="007A18BC" w:rsidRDefault="007A18BC" w:rsidP="00735995">
      <w:pPr>
        <w:jc w:val="both"/>
      </w:pPr>
      <w:r>
        <w:rPr>
          <w:rFonts w:ascii="Times New Roman" w:eastAsia="Times New Roman" w:hAnsi="Times New Roman" w:cs="Times New Roman"/>
        </w:rPr>
        <w:t xml:space="preserve">La articulación entre niveles educativos emerge del corpus como una demanda persistente y parcialmente insatisfecha. Pogré (2014, 2018) argumenta que la articulación no puede reducirse a acciones puntuales de bienvenida o de nivelación académica: debe ser un proceso integral en el que las prácticas de ambos niveles son revisadas y puestas en diálogo, reconociendo que la escuela secundaria obligatoria y la universidad libre e irrestricta comparten ahora la responsabilidad de garantizar trayectorias continuas. Esta articulación implica revisar los supuestos sobre qué sabe y qué puede quien termina el secundario, y qué debería poder hacer quien ingresa a la universidad, reconociendo que </w:t>
      </w:r>
      <w:r>
        <w:rPr>
          <w:rFonts w:ascii="Times New Roman" w:eastAsia="Times New Roman" w:hAnsi="Times New Roman" w:cs="Times New Roman"/>
        </w:rPr>
        <w:lastRenderedPageBreak/>
        <w:t>esas competencias no se distribuyen igualitariamente y que la institución universitaria tiene responsabilidades activas en su desarrollo.</w:t>
      </w:r>
    </w:p>
    <w:p w14:paraId="71A666B2" w14:textId="77777777" w:rsidR="007A18BC" w:rsidRDefault="007A18BC" w:rsidP="00735995">
      <w:pPr>
        <w:jc w:val="both"/>
      </w:pPr>
      <w:r>
        <w:rPr>
          <w:rFonts w:ascii="Times New Roman" w:eastAsia="Times New Roman" w:hAnsi="Times New Roman" w:cs="Times New Roman"/>
        </w:rPr>
        <w:t>Bracchi (2016) vinculó la construcción del oficio universitario con la desigualdad, señalando que el ingreso a una carrera universitaria implica un cambio que no es sólo institucional o curricular sino que pone en juego los esquemas de percepción, apreciación, valoración y acción —el habitus en el sentido de Bourdieu— que harán posibles las diversas tomas de decisiones constitutivas del oficio del estudiante universitario. Este análisis es especialmente relevante para comprender por qué el ingreso irrestricto no resuelve por sí solo el problema de la inclusión: el habitus de clase —y de género— no se transforma por decreto, sino a través de mediaciones institucionales que lo reconozcan y lo acompañen.</w:t>
      </w:r>
    </w:p>
    <w:p w14:paraId="0A810EEB" w14:textId="4A6CC40F" w:rsidR="007A18BC" w:rsidRDefault="00735995" w:rsidP="00735995">
      <w:pPr>
        <w:spacing w:before="240"/>
        <w:jc w:val="both"/>
      </w:pPr>
      <w:r>
        <w:rPr>
          <w:rFonts w:ascii="Times New Roman" w:eastAsia="Times New Roman" w:hAnsi="Times New Roman" w:cs="Times New Roman"/>
          <w:b/>
          <w:bCs/>
        </w:rPr>
        <w:t>2</w:t>
      </w:r>
      <w:r w:rsidR="007A18BC">
        <w:rPr>
          <w:rFonts w:ascii="Times New Roman" w:eastAsia="Times New Roman" w:hAnsi="Times New Roman" w:cs="Times New Roman"/>
          <w:b/>
          <w:bCs/>
        </w:rPr>
        <w:t>.3 Tercera dimensión: el ingreso y el acompañamiento pedagógico</w:t>
      </w:r>
    </w:p>
    <w:p w14:paraId="142612C2" w14:textId="77777777" w:rsidR="007A18BC" w:rsidRDefault="007A18BC" w:rsidP="00735995">
      <w:pPr>
        <w:jc w:val="both"/>
      </w:pPr>
      <w:r>
        <w:rPr>
          <w:rFonts w:ascii="Times New Roman" w:eastAsia="Times New Roman" w:hAnsi="Times New Roman" w:cs="Times New Roman"/>
        </w:rPr>
        <w:t>La tercera dimensión del campo examina las prácticas de enseñanza y apoyo específicamente diseñadas para facilitar la integración de los estudiantes a la vida universitaria, reconociendo sus diversas trayectorias y necesidades. Esta dimensión interpela directamente la docencia universitaria y produce una pregunta que el campo ha articulado de manera cada vez más precisa: ¿para quién enseña el/la docente universitario/a de primer año?</w:t>
      </w:r>
    </w:p>
    <w:p w14:paraId="08EF4820" w14:textId="244FEDF9" w:rsidR="007A18BC" w:rsidRDefault="007A18BC" w:rsidP="00735995">
      <w:pPr>
        <w:jc w:val="both"/>
      </w:pPr>
      <w:r>
        <w:rPr>
          <w:rFonts w:ascii="Times New Roman" w:eastAsia="Times New Roman" w:hAnsi="Times New Roman" w:cs="Times New Roman"/>
        </w:rPr>
        <w:t>La respuesta convencional a esta pregunta asume, implícitamente, que el destinatario de la enseñanza universitaria es el estudiante esperado: aquel que completó el secundario en tiempo y forma, que tiene disponibilidad de tiempo para dedicarse al estudio, que cuenta con un entorno doméstico propicio para el trabajo intelectual, que ha sido socializado en prácticas de lectura y escritura académicas y que comprende implícitamente las reglas del juego universitario. Mancovsky (Mancovsky y Más Rocha, 2019) cuestionó sistemáticamente este supuesto y propuso, en su lugar, una pedagogía del acompañamiento que reconozca las desigualdades socioeducativas —incluidas las de género— como punto de partida y no como déficit a superar.</w:t>
      </w:r>
    </w:p>
    <w:p w14:paraId="0B656AB1" w14:textId="77777777" w:rsidR="00735995" w:rsidRDefault="007A18BC" w:rsidP="00735995">
      <w:pPr>
        <w:jc w:val="both"/>
      </w:pPr>
      <w:r>
        <w:rPr>
          <w:rFonts w:ascii="Times New Roman" w:eastAsia="Times New Roman" w:hAnsi="Times New Roman" w:cs="Times New Roman"/>
        </w:rPr>
        <w:t>La pedagogía del acompañamiento que Mancovsky propone parte de la lógica de los sujetos —estudiantes y docentes— y de sus experiencias subjetivas en el marco de la institución universitaria. Implica una reconversión del rol docente: ya no se trata exclusivamente de transmitir conocimientos disciplinares, sino de facilitar un proceso de aculturación complejo que va más allá de lo puramente académico. El o la docente de primer año se convierte, así, en un/a mediador/a entre el mundo universitario y el mundo del que provienen las y los estudiantes, una figura de puente que Mancovsky describe como el hacer, el pensar y el sentir del profesor o profesora que recibe a quienes llegan.</w:t>
      </w:r>
    </w:p>
    <w:p w14:paraId="4955D26D" w14:textId="42427A94" w:rsidR="007A18BC" w:rsidRDefault="007A18BC" w:rsidP="00735995">
      <w:pPr>
        <w:jc w:val="both"/>
      </w:pPr>
      <w:r>
        <w:rPr>
          <w:rFonts w:ascii="Times New Roman" w:eastAsia="Times New Roman" w:hAnsi="Times New Roman" w:cs="Times New Roman"/>
        </w:rPr>
        <w:lastRenderedPageBreak/>
        <w:t>Esta dimensión tiene implicaciones directas para la formación docente universitaria, que el campo ha comenzado a tematizar como objeto específico. A diferencia de la docencia en otros niveles, la docencia universitaria no tiene en Argentina una formación pedagógica obligatoria: los docentes universitarios son, en su mayoría, especialistas en sus disciplinas que aprendieron a enseñar en la práctica. En el contexto de la masificación, este modelo de formación muestra sus límites: las competencias disciplinares no son suficientes para acompañar a estudiantes cuyas trayectorias son radicalmente heterogéneas. El campo de los IVU señala la necesidad de institucionalizar la formación pedagógica docente —con perspectiva de género e inclusión— como política universitaria y no como opción individual.</w:t>
      </w:r>
    </w:p>
    <w:p w14:paraId="6A1A5877" w14:textId="77777777" w:rsidR="007A18BC" w:rsidRDefault="007A18BC" w:rsidP="00735995">
      <w:pPr>
        <w:jc w:val="both"/>
      </w:pPr>
      <w:r>
        <w:rPr>
          <w:rFonts w:ascii="Times New Roman" w:eastAsia="Times New Roman" w:hAnsi="Times New Roman" w:cs="Times New Roman"/>
        </w:rPr>
        <w:t>Vercellino (2023) añadió a este debate la dimensión de la organización curricular: las prácticas de enseñanza no pueden transformarse sin que se transformen también las estructuras curriculares que las enmarcan. Los sistemas de correlatividades rígidos, las cargas horarias excesivas, los formatos evaluativos concentrados en instancias formales de acreditación: todos estos dispositivos curriculares producen una temporalidad de la cursada que, para los sujetos inesperados —trabajadores, madres, migrantes, adultos, personas con discapacidad—, es frecuentemente incompatible con las condiciones reales de su vida. La pedagogía del acompañamiento requiere, en consecuencia, una pedagogía institucional que incluya el diseño curricular como variable política, atenta a las condiciones diferenciales que la desigualdad de género impone sobre las trayectorias de las mujeres estudiantes.</w:t>
      </w:r>
    </w:p>
    <w:p w14:paraId="72736E8C" w14:textId="33EAA5A5" w:rsidR="007A18BC" w:rsidRDefault="00735995" w:rsidP="00735995">
      <w:pPr>
        <w:spacing w:before="240"/>
        <w:jc w:val="both"/>
      </w:pPr>
      <w:r>
        <w:rPr>
          <w:rFonts w:ascii="Times New Roman" w:eastAsia="Times New Roman" w:hAnsi="Times New Roman" w:cs="Times New Roman"/>
          <w:b/>
          <w:bCs/>
        </w:rPr>
        <w:t>2</w:t>
      </w:r>
      <w:r w:rsidR="007A18BC">
        <w:rPr>
          <w:rFonts w:ascii="Times New Roman" w:eastAsia="Times New Roman" w:hAnsi="Times New Roman" w:cs="Times New Roman"/>
          <w:b/>
          <w:bCs/>
        </w:rPr>
        <w:t>.4 Cuarta dimensión: el ingreso y el aprendizaje del código académico</w:t>
      </w:r>
    </w:p>
    <w:p w14:paraId="5164D556" w14:textId="77777777" w:rsidR="007A18BC" w:rsidRDefault="007A18BC" w:rsidP="00735995">
      <w:pPr>
        <w:jc w:val="both"/>
      </w:pPr>
      <w:r>
        <w:rPr>
          <w:rFonts w:ascii="Times New Roman" w:eastAsia="Times New Roman" w:hAnsi="Times New Roman" w:cs="Times New Roman"/>
        </w:rPr>
        <w:t>La cuarta dimensión del campo examina el proceso de adquisición de las habilidades de lectura, escritura y comunicación propias del ámbito universitario, que difieren significativamente de las habilidades letradas desarrolladas en la escuela secundaria. Esta dimensión ha producido en Argentina una de las tradiciones de investigación más consolidadas del campo, articulando aportes de la didáctica de la lengua, la pedagogía universitaria y los estudios sobre literacidad.</w:t>
      </w:r>
    </w:p>
    <w:p w14:paraId="0D3C76C4" w14:textId="77777777" w:rsidR="007A18BC" w:rsidRDefault="007A18BC" w:rsidP="00735995">
      <w:pPr>
        <w:jc w:val="both"/>
      </w:pPr>
      <w:r>
        <w:rPr>
          <w:rFonts w:ascii="Times New Roman" w:eastAsia="Times New Roman" w:hAnsi="Times New Roman" w:cs="Times New Roman"/>
        </w:rPr>
        <w:t>La problemática de la lectura y la escritura en la universidad emergió como objeto de investigación en Argentina a partir de los trabajos de Alvarado (2013), quien, retomando la teoría de los géneros discursivos de Bajtín, argumentó que la universidad posee un registro propio que no se enseña en la escuela secundaria y que actúa como un factor de selección en la trayectoria del estudiante. Los géneros académicos —la monografía, el informe, el parcial domiciliario, el abstract— demandan, para su producción y su recepción, habilidades y estrategias maduras de lectura y escritura cuya adquisición requiere un entrenamiento sistemático y especializado que ni la escuela ni la universidad suelen proveer explícitamente.</w:t>
      </w:r>
    </w:p>
    <w:p w14:paraId="63A4EFC7" w14:textId="77777777" w:rsidR="007A18BC" w:rsidRDefault="007A18BC" w:rsidP="00735995">
      <w:pPr>
        <w:jc w:val="both"/>
      </w:pPr>
    </w:p>
    <w:p w14:paraId="498F966F" w14:textId="77777777" w:rsidR="007A18BC" w:rsidRDefault="007A18BC" w:rsidP="00735995">
      <w:pPr>
        <w:jc w:val="both"/>
      </w:pPr>
      <w:r>
        <w:rPr>
          <w:rFonts w:ascii="Times New Roman" w:eastAsia="Times New Roman" w:hAnsi="Times New Roman" w:cs="Times New Roman"/>
        </w:rPr>
        <w:t>A comienzos del siglo XXI, Carlino (2002, 2016) introdujo en Argentina la perspectiva de la alfabetización académica, que propone enseñar a leer y escribir en el contexto de cada materia, como práctica disciplinar específica y no a través de talleres genéricos externos a las cátedras. Esta perspectiva tuvo un impacto significativo en el campo: promovió la creación de dispositivos curriculares de acompañamiento —seminarios de escritura, materias de producción textual, tutorías disciplinares— y reorientó la discusión sobre el fracaso universitario hacia las prácticas pedagógicas y no sólo hacia las competencias de los estudiantes.</w:t>
      </w:r>
    </w:p>
    <w:p w14:paraId="04441C92" w14:textId="77777777" w:rsidR="007A18BC" w:rsidRDefault="007A18BC" w:rsidP="00735995">
      <w:pPr>
        <w:jc w:val="both"/>
      </w:pPr>
      <w:r>
        <w:rPr>
          <w:rFonts w:ascii="Times New Roman" w:eastAsia="Times New Roman" w:hAnsi="Times New Roman" w:cs="Times New Roman"/>
        </w:rPr>
        <w:t>Sin embargo, el análisis del corpus revela que tanto el enfoque de Alvarado como el de Carlino, pese a sus diferencias, comparten un punto de partida: el reconocimiento de un déficit en las y los estudiantes respecto de las prácticas letradas universitarias. Esta perspectiva ha sido cuestionada por desarrollos más recientes que proponen desplazar la mirada desde el déficit hacia la desigualdad. Urus (2023) sistematizó esta crítica, señalando que durante veinte años las prácticas letradas en el primer año se han presentado como un problema de la enseñanza en la educación superior, pero que la manera en que se conceptualiza ese problema tiene consecuencias políticas: si el problema es el déficit de los estudiantes, la solución son talleres remediales; si el problema es la desigualdad sociocultural, la solución son dispositivos que reconozcan las diferentes formas de acceder a la cultura y nombrar el mundo.</w:t>
      </w:r>
    </w:p>
    <w:p w14:paraId="1D476B37" w14:textId="77777777" w:rsidR="007A18BC" w:rsidRDefault="007A18BC" w:rsidP="00735995">
      <w:pPr>
        <w:jc w:val="both"/>
      </w:pPr>
      <w:r>
        <w:rPr>
          <w:rFonts w:ascii="Times New Roman" w:eastAsia="Times New Roman" w:hAnsi="Times New Roman" w:cs="Times New Roman"/>
        </w:rPr>
        <w:t>Las propuestas de literacidad o enfoque comunicacional de enseñanza de la lengua —representadas en Argentina por Natale y Stagnaro (2017), Bombini y Labeur (2017) y Feudal (2017)— se diferencian de las anteriores al no partir de la idea de un déficit sino al reconocer la desigualdad sociocultural como punto de partida. La enseñanza de la escritura y la lectura se concibe, en esta perspectiva, como un acompañamiento que reconoce las diferentes formas de acceder a la cultura y nombrar el mundo: no se enseña a escribir académicamente para corregir lo que los estudiantes hacen mal, sino para ampliar el repertorio de prácticas letradas disponibles, sin deslegitimar las que los sujetos ya poseen. Natale y Stagnaro (2017) formularon esta perspectiva con precisión al señalar que la inclusión de calidad impone el fortalecimiento de los recursos simbólicos de los y las estudiantes, articulando los aportes de la alfabetización académica con el reconocimiento de las trayectorias y los saberes previos.</w:t>
      </w:r>
    </w:p>
    <w:p w14:paraId="1D01829B" w14:textId="253FA360" w:rsidR="007A18BC" w:rsidRDefault="00735995" w:rsidP="00735995">
      <w:pPr>
        <w:spacing w:before="240"/>
        <w:jc w:val="both"/>
      </w:pPr>
      <w:r>
        <w:rPr>
          <w:rFonts w:ascii="Times New Roman" w:eastAsia="Times New Roman" w:hAnsi="Times New Roman" w:cs="Times New Roman"/>
          <w:b/>
          <w:bCs/>
        </w:rPr>
        <w:t>3</w:t>
      </w:r>
      <w:r w:rsidR="007A18BC">
        <w:rPr>
          <w:rFonts w:ascii="Times New Roman" w:eastAsia="Times New Roman" w:hAnsi="Times New Roman" w:cs="Times New Roman"/>
          <w:b/>
          <w:bCs/>
        </w:rPr>
        <w:t>. Vacancias y horizontes del campo</w:t>
      </w:r>
    </w:p>
    <w:p w14:paraId="5DFC2C47" w14:textId="77777777" w:rsidR="007A18BC" w:rsidRDefault="007A18BC" w:rsidP="00735995">
      <w:pPr>
        <w:jc w:val="both"/>
      </w:pPr>
      <w:r>
        <w:rPr>
          <w:rFonts w:ascii="Times New Roman" w:eastAsia="Times New Roman" w:hAnsi="Times New Roman" w:cs="Times New Roman"/>
        </w:rPr>
        <w:t xml:space="preserve">El análisis del corpus permite identificar, junto con las dimensiones consolidadas, un conjunto de vacancias que señalan los horizontes hacia los que el campo debería expandirse. Estas vacancias no son meros 'temas pendientes': son indicadores </w:t>
      </w:r>
      <w:r>
        <w:rPr>
          <w:rFonts w:ascii="Times New Roman" w:eastAsia="Times New Roman" w:hAnsi="Times New Roman" w:cs="Times New Roman"/>
        </w:rPr>
        <w:lastRenderedPageBreak/>
        <w:t>epistemológicos de los límites actuales del campo y, al mismo tiempo, señales de las desigualdades que el propio campo todavía reproduce cuando no las atiende.</w:t>
      </w:r>
    </w:p>
    <w:p w14:paraId="3EA70021" w14:textId="77777777" w:rsidR="007A18BC" w:rsidRDefault="007A18BC" w:rsidP="00735995">
      <w:pPr>
        <w:jc w:val="both"/>
      </w:pPr>
      <w:r>
        <w:rPr>
          <w:rFonts w:ascii="Times New Roman" w:eastAsia="Times New Roman" w:hAnsi="Times New Roman" w:cs="Times New Roman"/>
        </w:rPr>
        <w:t>La primera vacancia —y la más urgente en el contexto del encuentro— es la perspectiva de género como dimensión transversal y no como apéndice de los estudios sobre IVU. Pese a la incorporación progresiva de la categoría de género en la investigación educativa argentina, el campo de los IVU ha avanzado de manera insuficiente en el análisis de cómo el género —en articulación con la clase, el territorio y la condición migrante— configura experiencias de inicio diferenciales. Las investigaciones sobre la 'pobreza de tiempo' como variable estructural que afecta específicamente a las mujeres con responsabilidades de cuidado, sobre la persistencia de los techos de cristal en la acreditación de las trayectorias universitarias, o sobre las condiciones de hospitalidad diferencial que las instituciones ofrecen a distintos géneros, constituyen líneas de indagación apenas iniciadas. La articulación entre género, primera generación universitaria y territorios periféricos configura experiencias de inicio que el campo aún no ha podido capturar en su complejidad.</w:t>
      </w:r>
    </w:p>
    <w:p w14:paraId="128522F0" w14:textId="77777777" w:rsidR="007A18BC" w:rsidRDefault="007A18BC" w:rsidP="00735995">
      <w:pPr>
        <w:jc w:val="both"/>
      </w:pPr>
      <w:r>
        <w:rPr>
          <w:rFonts w:ascii="Times New Roman" w:eastAsia="Times New Roman" w:hAnsi="Times New Roman" w:cs="Times New Roman"/>
        </w:rPr>
        <w:t>La segunda vacancia es la dimensión territorial. El campo de los IVU ha tendido a producir conocimiento desde y para los contextos universitarios metropolitanos de mayor densidad institucional, generalizando hallazgos que no necesariamente se trasladan a las universidades de territorios periféricos, de baja densidad poblacional o de organización bimodal. Las condiciones de inicio de un estudiante de la Universidad Nacional de La Pampa, de la UNPA en Santa Cruz o de la Universidad Nacional de Jujuy difieren sustantivamente de las de una estudiante del Ciclo Básico Común de la UBA. La producción de conocimiento situado —que responda a las particularidades del contexto argentino en su diversidad territorial— es una deuda epistemológica del campo y un imperativo político en contextos de retracción del financiamiento universitario.</w:t>
      </w:r>
    </w:p>
    <w:p w14:paraId="6A104424" w14:textId="77777777" w:rsidR="007A18BC" w:rsidRDefault="007A18BC" w:rsidP="00735995">
      <w:pPr>
        <w:jc w:val="both"/>
      </w:pPr>
      <w:r>
        <w:rPr>
          <w:rFonts w:ascii="Times New Roman" w:eastAsia="Times New Roman" w:hAnsi="Times New Roman" w:cs="Times New Roman"/>
        </w:rPr>
        <w:t>La tercera vacancia es la articulación entre la investigación y el diseño de políticas universitarias. El campo ha producido diagnósticos valiosos sobre las condiciones de los inicios universitarios, pero la traducción de esos diagnósticos en dispositivos institucionales concretos ha sido parcial y discontinua. Esto señala la necesidad de incorporar al campo la investigación sobre los procesos de implementación de políticas: ¿qué condiciones institucionales hacen posible que los dispositivos de acompañamiento funcionen? ¿Qué resistencias se producen en su implementación? ¿Cómo se articula la evidencia de investigación con las decisiones de gestión?</w:t>
      </w:r>
    </w:p>
    <w:p w14:paraId="2CD83DB5" w14:textId="77777777" w:rsidR="007A18BC" w:rsidRDefault="007A18BC" w:rsidP="00735995">
      <w:pPr>
        <w:jc w:val="both"/>
      </w:pPr>
      <w:r>
        <w:rPr>
          <w:rFonts w:ascii="Times New Roman" w:eastAsia="Times New Roman" w:hAnsi="Times New Roman" w:cs="Times New Roman"/>
        </w:rPr>
        <w:t xml:space="preserve">La cuarta vacancia es la perspectiva intergeneracional y biográfica. El campo ha trabajado principalmente con cohortes de ingresantes jóvenes, invisibilizando a los sujetos inesperados —los trabajadores, las madres, los migrantes, los adultos— cuyas trayectorias biográficas representan experiencias de inicio cualitativamente distintas. La </w:t>
      </w:r>
      <w:r>
        <w:rPr>
          <w:rFonts w:ascii="Times New Roman" w:eastAsia="Times New Roman" w:hAnsi="Times New Roman" w:cs="Times New Roman"/>
        </w:rPr>
        <w:lastRenderedPageBreak/>
        <w:t>metodología biográfico-narrativa y los diseños longitudinales que permitan seguir las trayectorias a lo largo del tiempo constituyen herramientas analíticas que el campo ha utilizado de manera insuficiente.</w:t>
      </w:r>
    </w:p>
    <w:p w14:paraId="413443A6" w14:textId="77777777" w:rsidR="007A18BC" w:rsidRDefault="007A18BC" w:rsidP="00735995">
      <w:pPr>
        <w:jc w:val="both"/>
      </w:pPr>
      <w:r>
        <w:rPr>
          <w:rFonts w:ascii="Times New Roman" w:eastAsia="Times New Roman" w:hAnsi="Times New Roman" w:cs="Times New Roman"/>
        </w:rPr>
        <w:t>La quinta vacancia, emergente en el presente escenario, es el impacto de la inteligencia artificial generativa en las prácticas de lectura, escritura y aprendizaje del código académico en el primer año universitario. Las y los ingresantes de 2024 en adelante incorporan estas herramientas en sus prácticas letradas de maneras que el campo aún no ha tematizado sistemáticamente: ni como objeto de investigación sobre las prácticas estudiantiles ni como interrogante pedagógico sobre las condiciones de enseñanza de la escritura académica en un entorno de IA generalizada. Este horizonte abre también preguntas sobre equidad y acceso diferencial a las tecnologías, con potenciales efectos sobre la reproducción de desigualdades en los inicios.</w:t>
      </w:r>
    </w:p>
    <w:p w14:paraId="69755E12" w14:textId="77777777" w:rsidR="007A18BC" w:rsidRDefault="007A18BC" w:rsidP="00735995">
      <w:pPr>
        <w:spacing w:line="240" w:lineRule="auto"/>
        <w:jc w:val="both"/>
        <w:rPr>
          <w:rFonts w:ascii="Times New Roman" w:hAnsi="Times New Roman" w:cs="Times New Roman"/>
        </w:rPr>
      </w:pPr>
    </w:p>
    <w:p w14:paraId="2FDA02CF" w14:textId="368044D4" w:rsidR="007A18BC" w:rsidRPr="007A18BC" w:rsidRDefault="005F3B2E" w:rsidP="00735995">
      <w:pPr>
        <w:spacing w:line="240" w:lineRule="auto"/>
        <w:jc w:val="both"/>
        <w:rPr>
          <w:rFonts w:ascii="Times New Roman" w:hAnsi="Times New Roman" w:cs="Times New Roman"/>
          <w:b/>
          <w:bCs/>
        </w:rPr>
      </w:pPr>
      <w:r w:rsidRPr="007B5B5F">
        <w:rPr>
          <w:rFonts w:ascii="Times New Roman" w:hAnsi="Times New Roman" w:cs="Times New Roman"/>
          <w:b/>
          <w:bCs/>
        </w:rPr>
        <w:t>Conclusiones</w:t>
      </w:r>
    </w:p>
    <w:p w14:paraId="59AA9DC2" w14:textId="77777777" w:rsidR="007A18BC" w:rsidRDefault="007A18BC" w:rsidP="00735995">
      <w:pPr>
        <w:jc w:val="both"/>
      </w:pPr>
      <w:r>
        <w:rPr>
          <w:rFonts w:ascii="Times New Roman" w:eastAsia="Times New Roman" w:hAnsi="Times New Roman" w:cs="Times New Roman"/>
        </w:rPr>
        <w:t>El análisis presentado permite sostener que el campo de los Inicios a la Vida Universitaria en Argentina es un campo de estudios en construcción activa, con una acumulación investigativa significativa desde la recuperación democrática, con dimensiones analíticas identificables y articuladas entre sí, y con vacancias que señalan los horizontes hacia los que el campo deberá expandirse en los próximos años.</w:t>
      </w:r>
    </w:p>
    <w:p w14:paraId="0172FE29" w14:textId="77777777" w:rsidR="007A18BC" w:rsidRDefault="007A18BC" w:rsidP="00735995">
      <w:pPr>
        <w:jc w:val="both"/>
      </w:pPr>
    </w:p>
    <w:p w14:paraId="338D26D7" w14:textId="77777777" w:rsidR="007A18BC" w:rsidRDefault="007A18BC" w:rsidP="00735995">
      <w:pPr>
        <w:jc w:val="both"/>
      </w:pPr>
      <w:r>
        <w:rPr>
          <w:rFonts w:ascii="Times New Roman" w:eastAsia="Times New Roman" w:hAnsi="Times New Roman" w:cs="Times New Roman"/>
        </w:rPr>
        <w:t>La hipótesis central que organizó este trabajo puede considerarse confirmada por el análisis: la reconceptualización de la primera vinculación universitaria en términos de inicios implica un cambio de paradigma que tiene consecuencias analíticas y políticas concretas. Este cambio desplaza el problema desde el sujeto —sus déficits, su inadecuación al perfil esperado— hacia la articulación entre las condiciones que los sujetos portan y las condiciones que la institución produce. Al hacerlo, redistribuye la responsabilidad del análisis y, consiguientemente, de los diseños de política.</w:t>
      </w:r>
    </w:p>
    <w:p w14:paraId="3003519D" w14:textId="77777777" w:rsidR="007A18BC" w:rsidRDefault="007A18BC" w:rsidP="00735995">
      <w:pPr>
        <w:jc w:val="both"/>
      </w:pPr>
      <w:r>
        <w:rPr>
          <w:rFonts w:ascii="Times New Roman" w:eastAsia="Times New Roman" w:hAnsi="Times New Roman" w:cs="Times New Roman"/>
        </w:rPr>
        <w:t xml:space="preserve">Las cuatro dimensiones identificadas —acceso y admisión, zona de pasaje y articulación entre niveles, acompañamiento pedagógico, y aprendizaje del código académico— no son compartimentos estancos sino dimensiones interrelacionadas de un único proceso: el proceso por el cual una persona que nunca fue universitaria comienza a serlo, aprende a serlo y decide, o no, seguir siéndolo. Ese proceso es complejo, multidimensional, temporalmente extendido y profundamente desigual. Las desigualdades que lo atraviesan —de clase, de género, de territorio— no son variables independientes sino sistemas articulados de producción de experiencias diferenciales. Comprenderlo en esa </w:t>
      </w:r>
      <w:r>
        <w:rPr>
          <w:rFonts w:ascii="Times New Roman" w:eastAsia="Times New Roman" w:hAnsi="Times New Roman" w:cs="Times New Roman"/>
        </w:rPr>
        <w:lastRenderedPageBreak/>
        <w:t>complejidad es condición para diseñar instituciones universitarias que sean hospitalarias no con el sujeto que imaginan, sino con el sujeto que efectivamente llega.</w:t>
      </w:r>
    </w:p>
    <w:p w14:paraId="6D5B521A" w14:textId="156B542C" w:rsidR="007A18BC" w:rsidRDefault="007A18BC" w:rsidP="00735995">
      <w:pPr>
        <w:jc w:val="both"/>
      </w:pPr>
      <w:r>
        <w:rPr>
          <w:rFonts w:ascii="Times New Roman" w:eastAsia="Times New Roman" w:hAnsi="Times New Roman" w:cs="Times New Roman"/>
        </w:rPr>
        <w:t>La perspectiva de género, que el campo ha tratado históricamente como una vacancia, debe ser reposicionada como dimensión transversal: no hay análisis de los inicios a la vida universitaria que sea epistemológicamente sólido si no incorpora la pregunta por cómo el género —articulado con la clase y el territorio— condiciona el tipo de inicio que es posible tener, el tipo de trayectoria que es sostenible y el tipo de estudiante que la institución reconoce o invisibiliza. En el marco de los ejes transversales del X Encuentro Nacional —equidad de género, inclusión educativa, democratización del conocimiento, este reposicionamiento no es solo académico: es político.</w:t>
      </w:r>
    </w:p>
    <w:p w14:paraId="67E34C4B" w14:textId="77777777" w:rsidR="007A18BC" w:rsidRDefault="007A18BC" w:rsidP="00735995">
      <w:pPr>
        <w:jc w:val="both"/>
      </w:pPr>
      <w:r>
        <w:rPr>
          <w:rFonts w:ascii="Times New Roman" w:eastAsia="Times New Roman" w:hAnsi="Times New Roman" w:cs="Times New Roman"/>
        </w:rPr>
        <w:t>La construcción de un campo de estudios sólido sobre los inicios a la vida universitaria es, en última instancia, una contribución política: produce el conocimiento necesario para que la promesa de la educación superior como derecho humano universal no sea una declaración formal sino una práctica institucional efectiva. En el escenario de policrisis actual —con el sistema universitario y científico argentino bajo un ataque presupuestario sin precedentes desde el retorno a la democracia— ese conocimiento no es un lujo académico. Es una herramienta de resistencia y de construcción de futuros posibles, tanto más urgente cuanto más se profundizan las desigualdades estructurales que condicionan quién puede comenzar, sostener y completar una trayectoria universitaria.</w:t>
      </w:r>
    </w:p>
    <w:p w14:paraId="544B704F" w14:textId="77777777" w:rsidR="00BC236F" w:rsidRPr="00BA642E" w:rsidRDefault="00BC236F" w:rsidP="00735995">
      <w:pPr>
        <w:spacing w:line="240" w:lineRule="auto"/>
        <w:jc w:val="both"/>
        <w:rPr>
          <w:rFonts w:ascii="Times New Roman" w:hAnsi="Times New Roman" w:cs="Times New Roman"/>
        </w:rPr>
      </w:pPr>
    </w:p>
    <w:p w14:paraId="13253725" w14:textId="77777777" w:rsidR="007A18BC" w:rsidRDefault="005F3B2E" w:rsidP="00735995">
      <w:pPr>
        <w:spacing w:line="240" w:lineRule="auto"/>
        <w:jc w:val="both"/>
        <w:rPr>
          <w:rFonts w:ascii="Times New Roman" w:hAnsi="Times New Roman" w:cs="Times New Roman"/>
        </w:rPr>
      </w:pPr>
      <w:r w:rsidRPr="00BA642E">
        <w:rPr>
          <w:rFonts w:ascii="Times New Roman" w:hAnsi="Times New Roman" w:cs="Times New Roman"/>
          <w:b/>
          <w:bCs/>
        </w:rPr>
        <w:t xml:space="preserve">Referencias Bibliográficas </w:t>
      </w:r>
    </w:p>
    <w:p w14:paraId="232A21E6" w14:textId="77777777" w:rsidR="007A18BC" w:rsidRDefault="007A18BC" w:rsidP="00735995">
      <w:pPr>
        <w:jc w:val="both"/>
      </w:pPr>
      <w:r>
        <w:rPr>
          <w:rFonts w:ascii="Times New Roman" w:eastAsia="Times New Roman" w:hAnsi="Times New Roman" w:cs="Times New Roman"/>
        </w:rPr>
        <w:t>Alvarado, M. (2013). Escritura e invención en la escuela. Fondo de Cultura Económica.</w:t>
      </w:r>
    </w:p>
    <w:p w14:paraId="53876F9C" w14:textId="77777777" w:rsidR="007A18BC" w:rsidRDefault="007A18BC" w:rsidP="00735995">
      <w:pPr>
        <w:jc w:val="both"/>
      </w:pPr>
      <w:r>
        <w:rPr>
          <w:rFonts w:ascii="Times New Roman" w:eastAsia="Times New Roman" w:hAnsi="Times New Roman" w:cs="Times New Roman"/>
        </w:rPr>
        <w:t>Bombini, G., y Labeur, P. (Eds.). (2017). Leer y escribir en las zonas de pasaje: Articulaciones entre la escuela secundaria y el nivel superior. Biblos.</w:t>
      </w:r>
    </w:p>
    <w:p w14:paraId="3AC1712D" w14:textId="77777777" w:rsidR="007A18BC" w:rsidRDefault="007A18BC" w:rsidP="00735995">
      <w:pPr>
        <w:jc w:val="both"/>
      </w:pPr>
      <w:r>
        <w:rPr>
          <w:rFonts w:ascii="Times New Roman" w:eastAsia="Times New Roman" w:hAnsi="Times New Roman" w:cs="Times New Roman"/>
        </w:rPr>
        <w:t>Bracchi, C. (2016). Descifrando el oficio de ser estudiantes universitarios: entre la desigualdad, la fragmentación y las trayectorias educativas diversificadas. Trayectorias Universitarias, 2(3), 3-14.</w:t>
      </w:r>
    </w:p>
    <w:p w14:paraId="1B786F75" w14:textId="77777777" w:rsidR="007A18BC" w:rsidRDefault="007A18BC" w:rsidP="00735995">
      <w:pPr>
        <w:jc w:val="both"/>
      </w:pPr>
      <w:r>
        <w:rPr>
          <w:rFonts w:ascii="Times New Roman" w:eastAsia="Times New Roman" w:hAnsi="Times New Roman" w:cs="Times New Roman"/>
        </w:rPr>
        <w:t>Cambours de Donini, A., y Gorostiaga, J. (Eds.). (2016). Hacia una universidad inclusiva: nuevos escenarios y miradas. Aique Educación.</w:t>
      </w:r>
    </w:p>
    <w:p w14:paraId="3F243CD6" w14:textId="77777777" w:rsidR="007A18BC" w:rsidRDefault="007A18BC" w:rsidP="00735995">
      <w:pPr>
        <w:jc w:val="both"/>
      </w:pPr>
      <w:r>
        <w:rPr>
          <w:rFonts w:ascii="Times New Roman" w:eastAsia="Times New Roman" w:hAnsi="Times New Roman" w:cs="Times New Roman"/>
        </w:rPr>
        <w:t>Carlino, P. (2002). Enseñar a escribir en la universidad: cómo lo hacen en Estados Unidos y por qué. UniPluri/versidad, 2(2), 57-67.</w:t>
      </w:r>
    </w:p>
    <w:p w14:paraId="3EF88B13" w14:textId="77777777" w:rsidR="007A18BC" w:rsidRDefault="007A18BC" w:rsidP="00735995">
      <w:pPr>
        <w:jc w:val="both"/>
      </w:pPr>
      <w:r>
        <w:rPr>
          <w:rFonts w:ascii="Times New Roman" w:eastAsia="Times New Roman" w:hAnsi="Times New Roman" w:cs="Times New Roman"/>
        </w:rPr>
        <w:t>Carlino, P. (2016). Escribir, leer y aprender en la universidad: Una introducción a la alfabetización académica. Fondo de Cultura Económica.</w:t>
      </w:r>
    </w:p>
    <w:p w14:paraId="68B6DB93" w14:textId="77777777" w:rsidR="007A18BC" w:rsidRDefault="007A18BC" w:rsidP="00735995">
      <w:pPr>
        <w:jc w:val="both"/>
      </w:pPr>
      <w:r>
        <w:rPr>
          <w:rFonts w:ascii="Times New Roman" w:eastAsia="Times New Roman" w:hAnsi="Times New Roman" w:cs="Times New Roman"/>
        </w:rPr>
        <w:lastRenderedPageBreak/>
        <w:t>Carli, S. (2012). El estudiante universitario: hacia una historia del presente de la educación pública. Siglo Veintiuno Editores.</w:t>
      </w:r>
    </w:p>
    <w:p w14:paraId="419F3E3A" w14:textId="77777777" w:rsidR="007A18BC" w:rsidRDefault="007A18BC" w:rsidP="00735995">
      <w:pPr>
        <w:jc w:val="both"/>
      </w:pPr>
      <w:r>
        <w:rPr>
          <w:rFonts w:ascii="Times New Roman" w:eastAsia="Times New Roman" w:hAnsi="Times New Roman" w:cs="Times New Roman"/>
        </w:rPr>
        <w:t>Chiroleu, A. (1999). El ingreso a la universidad: las experiencias de Argentina y Brasil. UNR Editora.</w:t>
      </w:r>
    </w:p>
    <w:p w14:paraId="7F85B2B5" w14:textId="77777777" w:rsidR="007A18BC" w:rsidRDefault="007A18BC" w:rsidP="00735995">
      <w:pPr>
        <w:jc w:val="both"/>
      </w:pPr>
      <w:r>
        <w:rPr>
          <w:rFonts w:ascii="Times New Roman" w:eastAsia="Times New Roman" w:hAnsi="Times New Roman" w:cs="Times New Roman"/>
        </w:rPr>
        <w:t>Clark, B. R. (2015). El desarrollo de la sociología de la educación superior. En P. Gubort (Ed.), Sociología de la educación superior: Contribuciones y sus contextos (pp. 19-37). Universidad de Palermo.</w:t>
      </w:r>
    </w:p>
    <w:p w14:paraId="0E23A061" w14:textId="77777777" w:rsidR="007A18BC" w:rsidRDefault="007A18BC" w:rsidP="00735995">
      <w:pPr>
        <w:jc w:val="both"/>
      </w:pPr>
      <w:r>
        <w:rPr>
          <w:rFonts w:ascii="Times New Roman" w:eastAsia="Times New Roman" w:hAnsi="Times New Roman" w:cs="Times New Roman"/>
        </w:rPr>
        <w:t>Coulon, A. (1997). Le métier d'étudiant: L'entrée dans la vie universitaire. Presses Universitaires de France.</w:t>
      </w:r>
    </w:p>
    <w:p w14:paraId="43F9E214" w14:textId="77777777" w:rsidR="007A18BC" w:rsidRDefault="007A18BC" w:rsidP="00735995">
      <w:pPr>
        <w:jc w:val="both"/>
      </w:pPr>
      <w:r>
        <w:rPr>
          <w:rFonts w:ascii="Times New Roman" w:eastAsia="Times New Roman" w:hAnsi="Times New Roman" w:cs="Times New Roman"/>
        </w:rPr>
        <w:t>Coulon, A. (2017). El oficio de estudiante: La entrada en la vida universitaria. Educação e Pesquisa, 43(4), 1239-1250.</w:t>
      </w:r>
    </w:p>
    <w:p w14:paraId="42490DAA" w14:textId="77777777" w:rsidR="007A18BC" w:rsidRDefault="007A18BC" w:rsidP="00735995">
      <w:pPr>
        <w:jc w:val="both"/>
      </w:pPr>
      <w:r>
        <w:rPr>
          <w:rFonts w:ascii="Times New Roman" w:eastAsia="Times New Roman" w:hAnsi="Times New Roman" w:cs="Times New Roman"/>
        </w:rPr>
        <w:t>Di Piero, M. E. (2015). Puentes hacia la inclusión universitaria: Un análisis a partir de la experiencia en el curso de ingreso a las carreras de sociología de la FaHCE-UNLP (2012-2015). Cuestiones de Sociología.</w:t>
      </w:r>
    </w:p>
    <w:p w14:paraId="531FD4BB" w14:textId="77777777" w:rsidR="007A18BC" w:rsidRDefault="007A18BC" w:rsidP="00735995">
      <w:pPr>
        <w:jc w:val="both"/>
      </w:pPr>
      <w:r>
        <w:rPr>
          <w:rFonts w:ascii="Times New Roman" w:eastAsia="Times New Roman" w:hAnsi="Times New Roman" w:cs="Times New Roman"/>
        </w:rPr>
        <w:t>Di Piero, M. E. (Comp.). (2024). Ampliar horizontes: Transiciones desiguales entre los niveles secundario y superior en la pandemia bonaerense. Imago Mundi.</w:t>
      </w:r>
    </w:p>
    <w:p w14:paraId="7A7C4AA4" w14:textId="77777777" w:rsidR="007A18BC" w:rsidRDefault="007A18BC" w:rsidP="00735995">
      <w:pPr>
        <w:jc w:val="both"/>
      </w:pPr>
      <w:r>
        <w:rPr>
          <w:rFonts w:ascii="Times New Roman" w:eastAsia="Times New Roman" w:hAnsi="Times New Roman" w:cs="Times New Roman"/>
        </w:rPr>
        <w:t>Dubet, F. (2023). Experiencias estudiantiles en la educación superior. Pensamiento Universitario, (21). https://www.pensamientouniversitario.com.ar/index.php/pensamiento-universitario/revista-21/</w:t>
      </w:r>
    </w:p>
    <w:p w14:paraId="2E3A7E15" w14:textId="77777777" w:rsidR="007A18BC" w:rsidRDefault="007A18BC" w:rsidP="00735995">
      <w:pPr>
        <w:jc w:val="both"/>
      </w:pPr>
      <w:r>
        <w:rPr>
          <w:rFonts w:ascii="Times New Roman" w:eastAsia="Times New Roman" w:hAnsi="Times New Roman" w:cs="Times New Roman"/>
        </w:rPr>
        <w:t>Ezcurra, A. M. (2011). Igualdad en educación superior: Un desafío mundial. IEC-UNGS.</w:t>
      </w:r>
    </w:p>
    <w:p w14:paraId="4A3A5B1B" w14:textId="77777777" w:rsidR="007A18BC" w:rsidRDefault="007A18BC" w:rsidP="00735995">
      <w:pPr>
        <w:jc w:val="both"/>
      </w:pPr>
      <w:r>
        <w:rPr>
          <w:rFonts w:ascii="Times New Roman" w:eastAsia="Times New Roman" w:hAnsi="Times New Roman" w:cs="Times New Roman"/>
        </w:rPr>
        <w:t>Feudal, G. (2017). Desde la escuela secundaria hacia la universidad: prácticas de lectura y escritura para el ingreso en los estudios superiores. UNGS.</w:t>
      </w:r>
    </w:p>
    <w:p w14:paraId="33F3F9BA" w14:textId="77777777" w:rsidR="007A18BC" w:rsidRDefault="007A18BC" w:rsidP="00735995">
      <w:pPr>
        <w:jc w:val="both"/>
      </w:pPr>
      <w:r>
        <w:rPr>
          <w:rFonts w:ascii="Times New Roman" w:eastAsia="Times New Roman" w:hAnsi="Times New Roman" w:cs="Times New Roman"/>
        </w:rPr>
        <w:t>García, P. (2023). Historia, disputas y políticas en la organización del ingreso a las universidades nacionales en Argentina. Anuario de la Historia de la Educación, 24(2), 159-176.</w:t>
      </w:r>
    </w:p>
    <w:p w14:paraId="35599CF7" w14:textId="77777777" w:rsidR="007A18BC" w:rsidRDefault="007A18BC" w:rsidP="00735995">
      <w:pPr>
        <w:jc w:val="both"/>
      </w:pPr>
      <w:r>
        <w:rPr>
          <w:rFonts w:ascii="Times New Roman" w:eastAsia="Times New Roman" w:hAnsi="Times New Roman" w:cs="Times New Roman"/>
        </w:rPr>
        <w:t>Mancovsky, V., y Más Rocha, S. M. (Eds.). (2019). Por una pedagogía de 'los inicios': más allá del ingreso a la vida universitaria. Biblos.</w:t>
      </w:r>
    </w:p>
    <w:p w14:paraId="4E87C666" w14:textId="77777777" w:rsidR="007A18BC" w:rsidRDefault="007A18BC" w:rsidP="00735995">
      <w:pPr>
        <w:jc w:val="both"/>
      </w:pPr>
      <w:r>
        <w:rPr>
          <w:rFonts w:ascii="Times New Roman" w:eastAsia="Times New Roman" w:hAnsi="Times New Roman" w:cs="Times New Roman"/>
        </w:rPr>
        <w:t>Natale, L., y Stagnaro, D. (Eds.). (2017). Alfabetización académica: un camino hacia la inclusión en el nivel superior. Ediciones UNGS.</w:t>
      </w:r>
    </w:p>
    <w:p w14:paraId="3FE5E241" w14:textId="77777777" w:rsidR="007A18BC" w:rsidRDefault="007A18BC" w:rsidP="00735995">
      <w:pPr>
        <w:jc w:val="both"/>
      </w:pPr>
      <w:r>
        <w:rPr>
          <w:rFonts w:ascii="Times New Roman" w:eastAsia="Times New Roman" w:hAnsi="Times New Roman" w:cs="Times New Roman"/>
        </w:rPr>
        <w:t>Núñez, P., y Fuentes, S. (2022). Estudiar y transitar la secundaria y el nivel superior: experiencias, decisiones pre y post pandemia. Homo Sapiens Ediciones.</w:t>
      </w:r>
    </w:p>
    <w:p w14:paraId="4CC52FF1" w14:textId="77777777" w:rsidR="007A18BC" w:rsidRDefault="007A18BC" w:rsidP="00735995">
      <w:pPr>
        <w:jc w:val="both"/>
      </w:pPr>
      <w:r>
        <w:rPr>
          <w:rFonts w:ascii="Times New Roman" w:eastAsia="Times New Roman" w:hAnsi="Times New Roman" w:cs="Times New Roman"/>
        </w:rPr>
        <w:lastRenderedPageBreak/>
        <w:t>Parrino, M. d. C. (2014). ¿Evasión o expulsión? Los mecanismos de la deserción universitaria. Biblos.</w:t>
      </w:r>
    </w:p>
    <w:p w14:paraId="2F4A8B04" w14:textId="77777777" w:rsidR="007A18BC" w:rsidRDefault="007A18BC" w:rsidP="00735995">
      <w:pPr>
        <w:jc w:val="both"/>
      </w:pPr>
      <w:r>
        <w:rPr>
          <w:rFonts w:ascii="Times New Roman" w:eastAsia="Times New Roman" w:hAnsi="Times New Roman" w:cs="Times New Roman"/>
        </w:rPr>
        <w:t>Pierella, M. P. (2019). Entre recorridos señalizados y caminos cerrados: la transición entre la escuela media y la universidad desde la perspectiva de profesores y profesoras de primer año. Archivos de Ciencias de la Educación, 13(16). https://doi.org/10.24215/234688</w:t>
      </w:r>
    </w:p>
    <w:p w14:paraId="48FA298B" w14:textId="77777777" w:rsidR="007A18BC" w:rsidRDefault="007A18BC" w:rsidP="00735995">
      <w:pPr>
        <w:jc w:val="both"/>
      </w:pPr>
      <w:r>
        <w:rPr>
          <w:rFonts w:ascii="Times New Roman" w:eastAsia="Times New Roman" w:hAnsi="Times New Roman" w:cs="Times New Roman"/>
        </w:rPr>
        <w:t>Pogré, P. (2014). Los desafíos actuales de la enseñanza en el nivel superior. Enseñar en la universidad para que todos puedan comprender. En Didáctica general y didácticas específicas: la complejidad de sus relaciones en el nivel superior (pp. 61-74). UNVM.</w:t>
      </w:r>
    </w:p>
    <w:p w14:paraId="0C06C2D4" w14:textId="77777777" w:rsidR="007A18BC" w:rsidRDefault="007A18BC" w:rsidP="00735995">
      <w:pPr>
        <w:jc w:val="both"/>
      </w:pPr>
      <w:r>
        <w:rPr>
          <w:rFonts w:ascii="Times New Roman" w:eastAsia="Times New Roman" w:hAnsi="Times New Roman" w:cs="Times New Roman"/>
        </w:rPr>
        <w:t>Pogré, P., De Gatica, A., García, A. L., y Krichesky, G. (2018). Los inicios de la vida universitaria: políticas, prácticas y estrategias para garantizar el derecho a la educación superior (Vol. 1). Teseo. https://www.doi.org/10.55778/ts877231762</w:t>
      </w:r>
    </w:p>
    <w:p w14:paraId="417A139E" w14:textId="77777777" w:rsidR="007A18BC" w:rsidRDefault="007A18BC" w:rsidP="00735995">
      <w:pPr>
        <w:jc w:val="both"/>
      </w:pPr>
      <w:r>
        <w:rPr>
          <w:rFonts w:ascii="Times New Roman" w:eastAsia="Times New Roman" w:hAnsi="Times New Roman" w:cs="Times New Roman"/>
        </w:rPr>
        <w:t>Santos Sharpe, A., Nierotka, R., Da Costa Muylaert Lima, N., y Bonamino, A. (2022). Acceso y permanencia en la educación superior: un análisis comparativo Argentina-Brasil. Revista de Educación Superior del Sur Global, (14). https://doi.org/10.25087/resur14a6</w:t>
      </w:r>
    </w:p>
    <w:p w14:paraId="18423779" w14:textId="77777777" w:rsidR="007A18BC" w:rsidRDefault="007A18BC" w:rsidP="00735995">
      <w:pPr>
        <w:jc w:val="both"/>
      </w:pPr>
      <w:r>
        <w:rPr>
          <w:rFonts w:ascii="Times New Roman" w:eastAsia="Times New Roman" w:hAnsi="Times New Roman" w:cs="Times New Roman"/>
        </w:rPr>
        <w:t>Sotelo, L. A. (2024). Los inicios a la vida universitaria. Un campo de estudio en construcción. Journal of the Academy, 11, 5-32. https://doi.org/10.47058/joa11.2</w:t>
      </w:r>
    </w:p>
    <w:p w14:paraId="044CEF8D" w14:textId="77777777" w:rsidR="007A18BC" w:rsidRDefault="007A18BC" w:rsidP="00735995">
      <w:pPr>
        <w:jc w:val="both"/>
      </w:pPr>
      <w:r>
        <w:rPr>
          <w:rFonts w:ascii="Times New Roman" w:eastAsia="Times New Roman" w:hAnsi="Times New Roman" w:cs="Times New Roman"/>
        </w:rPr>
        <w:t>Sotelo, L. A. (2025a). Los Inicios a la Vida Universitaria en Argentina: hacia la construcción del campo de estudios. Espacios en Blanco, 2(35), 233-243. https://doi.org/10.37177/UNICEN/EB35-442</w:t>
      </w:r>
    </w:p>
    <w:p w14:paraId="77CD4654" w14:textId="77777777" w:rsidR="007A18BC" w:rsidRDefault="007A18BC" w:rsidP="00735995">
      <w:pPr>
        <w:jc w:val="both"/>
      </w:pPr>
      <w:r>
        <w:rPr>
          <w:rFonts w:ascii="Times New Roman" w:eastAsia="Times New Roman" w:hAnsi="Times New Roman" w:cs="Times New Roman"/>
        </w:rPr>
        <w:t>Sotelo, L. A. (2025b). Sobre los ingresos, el acceso y el inicio a la universidad argentina. Un estudio a través del tiempo. Praxis educativa, 29(3), 1-21. https://dx.doi.org/10.19137/praxiseducativa-2025-290312</w:t>
      </w:r>
    </w:p>
    <w:p w14:paraId="1558869D" w14:textId="77777777" w:rsidR="007A18BC" w:rsidRDefault="007A18BC" w:rsidP="00735995">
      <w:pPr>
        <w:jc w:val="both"/>
      </w:pPr>
      <w:r>
        <w:rPr>
          <w:rFonts w:ascii="Times New Roman" w:eastAsia="Times New Roman" w:hAnsi="Times New Roman" w:cs="Times New Roman"/>
        </w:rPr>
        <w:t>Suasnábar, C., y Rovelli, L. I. (2016). Ampliaciones y desigualdades en el acceso y egreso de estudiantes a la educación superior en la Argentina. Pro.posições, (27), 81-104.</w:t>
      </w:r>
    </w:p>
    <w:p w14:paraId="7356ED17" w14:textId="77777777" w:rsidR="007A18BC" w:rsidRDefault="007A18BC" w:rsidP="00735995">
      <w:pPr>
        <w:jc w:val="both"/>
      </w:pPr>
      <w:r>
        <w:rPr>
          <w:rFonts w:ascii="Times New Roman" w:eastAsia="Times New Roman" w:hAnsi="Times New Roman" w:cs="Times New Roman"/>
        </w:rPr>
        <w:t>Urus, M. (2023). Acá hablan distinto. Literacidades y tutorías en la educación superior. El Hacedor.</w:t>
      </w:r>
    </w:p>
    <w:p w14:paraId="6E2D04EE" w14:textId="77777777" w:rsidR="007A18BC" w:rsidRDefault="007A18BC" w:rsidP="00735995">
      <w:pPr>
        <w:jc w:val="both"/>
      </w:pPr>
      <w:r>
        <w:rPr>
          <w:rFonts w:ascii="Times New Roman" w:eastAsia="Times New Roman" w:hAnsi="Times New Roman" w:cs="Times New Roman"/>
        </w:rPr>
        <w:t>Vasilachis de Gialdino, I. (Coord.). (2006). Estrategias de investigación cualitativa. Gedisa.</w:t>
      </w:r>
    </w:p>
    <w:p w14:paraId="6CD822E3" w14:textId="77777777" w:rsidR="007A18BC" w:rsidRDefault="007A18BC" w:rsidP="00735995">
      <w:pPr>
        <w:jc w:val="both"/>
      </w:pPr>
      <w:r>
        <w:rPr>
          <w:rFonts w:ascii="Times New Roman" w:eastAsia="Times New Roman" w:hAnsi="Times New Roman" w:cs="Times New Roman"/>
        </w:rPr>
        <w:t xml:space="preserve">Vercellino, S. (2023). Los inicios de los estudios universitarios: notas sobre algunos (des)encuentros en la relación con el saber. En S. Vercellino y P. Pogré (Eds.), </w:t>
      </w:r>
      <w:r>
        <w:rPr>
          <w:rFonts w:ascii="Times New Roman" w:eastAsia="Times New Roman" w:hAnsi="Times New Roman" w:cs="Times New Roman"/>
        </w:rPr>
        <w:lastRenderedPageBreak/>
        <w:t>Transiciones: Instituciones y subjetividades en los inicios de los estudios universitarios (pp. 105-115). Editorial UNRN. https://doi.org/10.4000/books.eunrn.20683</w:t>
      </w:r>
    </w:p>
    <w:p w14:paraId="57B1598C" w14:textId="77777777" w:rsidR="007A18BC" w:rsidRDefault="007A18BC" w:rsidP="00735995">
      <w:pPr>
        <w:jc w:val="both"/>
      </w:pPr>
      <w:r>
        <w:rPr>
          <w:rFonts w:ascii="Times New Roman" w:eastAsia="Times New Roman" w:hAnsi="Times New Roman" w:cs="Times New Roman"/>
        </w:rPr>
        <w:t>Williams, R. (2009). Marxismo y literatura. Las Cuarenta.</w:t>
      </w:r>
    </w:p>
    <w:p w14:paraId="7E83515B" w14:textId="62BE39EF" w:rsidR="001923DC" w:rsidRPr="00BA642E" w:rsidRDefault="001923DC" w:rsidP="00735995">
      <w:pPr>
        <w:spacing w:line="240" w:lineRule="auto"/>
        <w:jc w:val="both"/>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D372E" w14:textId="77777777" w:rsidR="005739F8" w:rsidRPr="00BA642E" w:rsidRDefault="005739F8" w:rsidP="00C802F5">
      <w:pPr>
        <w:spacing w:after="0" w:line="240" w:lineRule="auto"/>
      </w:pPr>
      <w:r w:rsidRPr="00BA642E">
        <w:separator/>
      </w:r>
    </w:p>
  </w:endnote>
  <w:endnote w:type="continuationSeparator" w:id="0">
    <w:p w14:paraId="37B8B7EF" w14:textId="77777777" w:rsidR="005739F8" w:rsidRPr="00BA642E" w:rsidRDefault="005739F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34FB8" w14:textId="77777777" w:rsidR="005739F8" w:rsidRPr="00BA642E" w:rsidRDefault="005739F8" w:rsidP="00C802F5">
      <w:pPr>
        <w:spacing w:after="0" w:line="240" w:lineRule="auto"/>
      </w:pPr>
      <w:r w:rsidRPr="00BA642E">
        <w:separator/>
      </w:r>
    </w:p>
  </w:footnote>
  <w:footnote w:type="continuationSeparator" w:id="0">
    <w:p w14:paraId="16628830" w14:textId="77777777" w:rsidR="005739F8" w:rsidRPr="00BA642E" w:rsidRDefault="005739F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F1377"/>
    <w:rsid w:val="001816D6"/>
    <w:rsid w:val="00185F5E"/>
    <w:rsid w:val="001923DC"/>
    <w:rsid w:val="002327C3"/>
    <w:rsid w:val="00312392"/>
    <w:rsid w:val="004040C0"/>
    <w:rsid w:val="00437E9C"/>
    <w:rsid w:val="00550766"/>
    <w:rsid w:val="005739F8"/>
    <w:rsid w:val="005F3B2E"/>
    <w:rsid w:val="00701F64"/>
    <w:rsid w:val="00735995"/>
    <w:rsid w:val="007A18BC"/>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7A18BC"/>
    <w:pPr>
      <w:spacing w:before="100" w:beforeAutospacing="1" w:after="100" w:afterAutospacing="1" w:line="240" w:lineRule="auto"/>
    </w:pPr>
    <w:rPr>
      <w:rFonts w:ascii="Times New Roman" w:eastAsia="Times New Roman" w:hAnsi="Times New Roman" w:cs="Times New Roman"/>
      <w:kern w:val="0"/>
      <w:lang w:val="es-AR"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16</Pages>
  <Words>5929</Words>
  <Characters>35284</Characters>
  <Application>Microsoft Office Word</Application>
  <DocSecurity>0</DocSecurity>
  <Lines>569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Lucrecia Sotelo</cp:lastModifiedBy>
  <cp:revision>5</cp:revision>
  <dcterms:created xsi:type="dcterms:W3CDTF">2026-03-14T03:50:00Z</dcterms:created>
  <dcterms:modified xsi:type="dcterms:W3CDTF">2026-05-26T16:20:00Z</dcterms:modified>
</cp:coreProperties>
</file>