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B3483" w14:textId="77777777" w:rsidR="00C802F5" w:rsidRPr="00DD3A5A" w:rsidRDefault="00C802F5" w:rsidP="00DD3A5A">
      <w:pPr>
        <w:spacing w:line="240" w:lineRule="auto"/>
        <w:jc w:val="center"/>
        <w:rPr>
          <w:rFonts w:ascii="Times New Roman" w:hAnsi="Times New Roman" w:cs="Times New Roman"/>
          <w:lang w:val="es-EC"/>
        </w:rPr>
      </w:pPr>
    </w:p>
    <w:p w14:paraId="3566FCBF" w14:textId="77777777" w:rsidR="009F442E" w:rsidRPr="00DD3A5A" w:rsidRDefault="009F442E" w:rsidP="00DD3A5A">
      <w:pPr>
        <w:spacing w:line="240" w:lineRule="auto"/>
        <w:jc w:val="center"/>
        <w:rPr>
          <w:rFonts w:ascii="Times New Roman" w:hAnsi="Times New Roman" w:cs="Times New Roman"/>
          <w:b/>
          <w:bCs/>
          <w:lang w:val="es-EC"/>
        </w:rPr>
      </w:pPr>
      <w:r w:rsidRPr="00DD3A5A">
        <w:rPr>
          <w:rFonts w:ascii="Times New Roman" w:hAnsi="Times New Roman" w:cs="Times New Roman"/>
          <w:b/>
          <w:bCs/>
          <w:lang w:val="es-EC"/>
        </w:rPr>
        <w:t>Aseguramiento de la calidad en la normativa ecuatoriana de educación superior: continuidades y tensiones entre los períodos (2010-2017 y 2018–2025)</w:t>
      </w:r>
    </w:p>
    <w:p w14:paraId="43C49479" w14:textId="77777777" w:rsidR="005F3B2E" w:rsidRPr="00DD3A5A" w:rsidRDefault="005F3B2E" w:rsidP="00DD3A5A">
      <w:pPr>
        <w:spacing w:line="240" w:lineRule="auto"/>
        <w:jc w:val="center"/>
        <w:rPr>
          <w:rFonts w:ascii="Times New Roman" w:hAnsi="Times New Roman" w:cs="Times New Roman"/>
          <w:lang w:val="es-EC"/>
        </w:rPr>
      </w:pPr>
    </w:p>
    <w:p w14:paraId="4E738780" w14:textId="5121DD6E" w:rsidR="005F3B2E" w:rsidRPr="00DD3A5A" w:rsidRDefault="009F442E" w:rsidP="00DD3A5A">
      <w:pPr>
        <w:spacing w:after="0" w:line="240" w:lineRule="auto"/>
        <w:jc w:val="right"/>
        <w:rPr>
          <w:rFonts w:ascii="Times New Roman" w:hAnsi="Times New Roman" w:cs="Times New Roman"/>
        </w:rPr>
      </w:pPr>
      <w:r w:rsidRPr="00DD3A5A">
        <w:rPr>
          <w:rFonts w:ascii="Times New Roman" w:hAnsi="Times New Roman" w:cs="Times New Roman"/>
        </w:rPr>
        <w:t>Cabrera Ortiz, Freddy</w:t>
      </w:r>
    </w:p>
    <w:p w14:paraId="6C2AECCA" w14:textId="7933B453" w:rsidR="005F3B2E" w:rsidRPr="00DD3A5A" w:rsidRDefault="009F442E" w:rsidP="00DD3A5A">
      <w:pPr>
        <w:spacing w:after="0" w:line="240" w:lineRule="auto"/>
        <w:jc w:val="right"/>
        <w:rPr>
          <w:rFonts w:ascii="Times New Roman" w:hAnsi="Times New Roman" w:cs="Times New Roman"/>
        </w:rPr>
      </w:pPr>
      <w:r w:rsidRPr="00DD3A5A">
        <w:rPr>
          <w:rFonts w:ascii="Times New Roman" w:hAnsi="Times New Roman" w:cs="Times New Roman"/>
        </w:rPr>
        <w:t>Universidad de Cuenca</w:t>
      </w:r>
    </w:p>
    <w:p w14:paraId="7D0026CD" w14:textId="3BE3A7EF" w:rsidR="005F3B2E" w:rsidRPr="00DD3A5A" w:rsidRDefault="009F442E" w:rsidP="00DD3A5A">
      <w:pPr>
        <w:spacing w:after="0" w:line="240" w:lineRule="auto"/>
        <w:jc w:val="right"/>
        <w:rPr>
          <w:rFonts w:ascii="Times New Roman" w:hAnsi="Times New Roman" w:cs="Times New Roman"/>
        </w:rPr>
      </w:pPr>
      <w:r w:rsidRPr="00DD3A5A">
        <w:rPr>
          <w:rFonts w:ascii="Times New Roman" w:hAnsi="Times New Roman" w:cs="Times New Roman"/>
        </w:rPr>
        <w:t>freddy.cabrera@ucuenca.edu.ec</w:t>
      </w:r>
    </w:p>
    <w:p w14:paraId="1FA0F857" w14:textId="77777777" w:rsidR="005F3B2E" w:rsidRPr="00DD3A5A" w:rsidRDefault="005F3B2E" w:rsidP="00DD3A5A">
      <w:pPr>
        <w:spacing w:line="240" w:lineRule="auto"/>
        <w:rPr>
          <w:rFonts w:ascii="Times New Roman" w:hAnsi="Times New Roman" w:cs="Times New Roman"/>
        </w:rPr>
      </w:pPr>
    </w:p>
    <w:p w14:paraId="1275A9C7" w14:textId="3E74AA28" w:rsidR="005F3B2E" w:rsidRPr="00DD3A5A" w:rsidRDefault="009F442E" w:rsidP="00DD3A5A">
      <w:pPr>
        <w:spacing w:after="0" w:line="240" w:lineRule="auto"/>
        <w:jc w:val="right"/>
        <w:rPr>
          <w:rFonts w:ascii="Times New Roman" w:hAnsi="Times New Roman" w:cs="Times New Roman"/>
        </w:rPr>
      </w:pPr>
      <w:r w:rsidRPr="00DD3A5A">
        <w:rPr>
          <w:rFonts w:ascii="Times New Roman" w:hAnsi="Times New Roman" w:cs="Times New Roman"/>
        </w:rPr>
        <w:t>Reyes Guaranda, Mauricio Esteban</w:t>
      </w:r>
    </w:p>
    <w:p w14:paraId="46FEEBE4" w14:textId="2721BC2E" w:rsidR="005F3B2E" w:rsidRPr="00DD3A5A" w:rsidRDefault="009F442E" w:rsidP="00DD3A5A">
      <w:pPr>
        <w:spacing w:after="0" w:line="240" w:lineRule="auto"/>
        <w:jc w:val="right"/>
        <w:rPr>
          <w:rFonts w:ascii="Times New Roman" w:hAnsi="Times New Roman" w:cs="Times New Roman"/>
        </w:rPr>
      </w:pPr>
      <w:r w:rsidRPr="00DD3A5A">
        <w:rPr>
          <w:rFonts w:ascii="Times New Roman" w:hAnsi="Times New Roman" w:cs="Times New Roman"/>
        </w:rPr>
        <w:t>Universidad de Cuenca</w:t>
      </w:r>
    </w:p>
    <w:p w14:paraId="3CAC774D" w14:textId="5C82766C" w:rsidR="005F3B2E" w:rsidRPr="00DD3A5A" w:rsidRDefault="009F442E" w:rsidP="00DD3A5A">
      <w:pPr>
        <w:spacing w:after="0" w:line="240" w:lineRule="auto"/>
        <w:jc w:val="right"/>
        <w:rPr>
          <w:rFonts w:ascii="Times New Roman" w:hAnsi="Times New Roman" w:cs="Times New Roman"/>
        </w:rPr>
      </w:pPr>
      <w:r w:rsidRPr="00DD3A5A">
        <w:rPr>
          <w:rFonts w:ascii="Times New Roman" w:hAnsi="Times New Roman" w:cs="Times New Roman"/>
        </w:rPr>
        <w:t>mauricio.reyes@ucuenca.edu.ec</w:t>
      </w:r>
    </w:p>
    <w:p w14:paraId="7B9027E2" w14:textId="77777777" w:rsidR="00BA642E" w:rsidRPr="00DD3A5A" w:rsidRDefault="00BA642E" w:rsidP="00DD3A5A">
      <w:pPr>
        <w:spacing w:line="240" w:lineRule="auto"/>
        <w:rPr>
          <w:rFonts w:ascii="Times New Roman" w:hAnsi="Times New Roman" w:cs="Times New Roman"/>
          <w:b/>
          <w:bCs/>
        </w:rPr>
      </w:pPr>
    </w:p>
    <w:p w14:paraId="1F54F46F" w14:textId="5729EE02" w:rsidR="00EC2718" w:rsidRPr="00DD3A5A" w:rsidRDefault="00BA642E" w:rsidP="00DD3A5A">
      <w:pPr>
        <w:spacing w:line="240" w:lineRule="auto"/>
        <w:jc w:val="both"/>
        <w:rPr>
          <w:rFonts w:ascii="Times New Roman" w:hAnsi="Times New Roman" w:cs="Times New Roman"/>
        </w:rPr>
      </w:pPr>
      <w:r w:rsidRPr="00DD3A5A">
        <w:rPr>
          <w:rFonts w:ascii="Times New Roman" w:hAnsi="Times New Roman" w:cs="Times New Roman"/>
          <w:b/>
          <w:bCs/>
          <w:lang w:val="es-EC"/>
        </w:rPr>
        <w:t>Resumen:</w:t>
      </w:r>
      <w:r w:rsidR="007B5B5F" w:rsidRPr="00DD3A5A">
        <w:rPr>
          <w:rFonts w:ascii="Times New Roman" w:hAnsi="Times New Roman" w:cs="Times New Roman"/>
          <w:b/>
          <w:bCs/>
          <w:lang w:val="es-EC"/>
        </w:rPr>
        <w:t xml:space="preserve"> </w:t>
      </w:r>
      <w:r w:rsidR="00EC2718" w:rsidRPr="00DD3A5A">
        <w:rPr>
          <w:rFonts w:ascii="Times New Roman" w:hAnsi="Times New Roman" w:cs="Times New Roman"/>
        </w:rPr>
        <w:t>En la primera década del presente siglo, el Sistema de Educación Superior ecuatoriano experimentó un proceso de transformación que incluyó el fortalecimiento de mecanismos para el aseguramiento de la calidad de las instituciones de educación superior del país. Este proceso estuvo amparado en la promulgación de la Constitución del 2008 y su respectiva normativa, en el marco del gobierno progresista de la revolución ciudadana (2006-2017). A partir del 2018, hasta la fecha, se han sucedido gobiernos de corte neoliberal, en los que se ha propiciado algunos ajustes y reformas a la normativa. El presente trabajo analiza las continuidades y rupturas en dicho marco regulatorio, a partir de la revisión comparada de la normativa nacional que regula la evaluación y acreditación de las instituciones de educación superior, en los dos períodos. Desde un enfoque cualitativo que se nutre de la construcción de un archivo documental que recupera normativas e informes de evaluación de los dos períodos</w:t>
      </w:r>
      <w:r w:rsidR="003235FD">
        <w:rPr>
          <w:rFonts w:ascii="Times New Roman" w:hAnsi="Times New Roman" w:cs="Times New Roman"/>
        </w:rPr>
        <w:t xml:space="preserve">, </w:t>
      </w:r>
      <w:r w:rsidR="00EC2718" w:rsidRPr="00DD3A5A">
        <w:rPr>
          <w:rFonts w:ascii="Times New Roman" w:hAnsi="Times New Roman" w:cs="Times New Roman"/>
        </w:rPr>
        <w:t>se plantea el propósito de identificar los principales cambios en la arquitectura normativa del sistema y las tensiones que emergen entre regulación estatal, mejora institucional y autonomía universitaria</w:t>
      </w:r>
      <w:r w:rsidR="003235FD">
        <w:rPr>
          <w:rFonts w:ascii="Times New Roman" w:hAnsi="Times New Roman" w:cs="Times New Roman"/>
        </w:rPr>
        <w:t xml:space="preserve">, a través de un </w:t>
      </w:r>
      <w:r w:rsidR="003235FD">
        <w:rPr>
          <w:rFonts w:ascii="Times New Roman" w:hAnsi="Times New Roman" w:cs="Times New Roman"/>
        </w:rPr>
        <w:t>análisis documental comparado</w:t>
      </w:r>
      <w:r w:rsidR="00EC2718" w:rsidRPr="00DD3A5A">
        <w:rPr>
          <w:rFonts w:ascii="Times New Roman" w:hAnsi="Times New Roman" w:cs="Times New Roman"/>
        </w:rPr>
        <w:t xml:space="preserve">. El proceso de diseño e implementación de la política de evaluación y acreditación de la calidad de la educación superior (2010–2017), amparada en la LOES 2010 y su respectiva reglamentación, evidenciaba una activa participación estatal basada en la regulación del sistema. No obstante, existieron críticas desde algunos sectores del sistema, especialmente por su énfasis cuantitativo, la ausencia de mecanismos de diálogo con las universidades y el efecto </w:t>
      </w:r>
      <w:r w:rsidR="00A951A7" w:rsidRPr="00DD3A5A">
        <w:rPr>
          <w:rFonts w:ascii="Times New Roman" w:hAnsi="Times New Roman" w:cs="Times New Roman"/>
        </w:rPr>
        <w:t>homogeneizador</w:t>
      </w:r>
      <w:r w:rsidR="00EC2718" w:rsidRPr="00DD3A5A">
        <w:rPr>
          <w:rFonts w:ascii="Times New Roman" w:hAnsi="Times New Roman" w:cs="Times New Roman"/>
        </w:rPr>
        <w:t xml:space="preserve"> de la evaluación con impactos no previstos sobre la au</w:t>
      </w:r>
      <w:bookmarkStart w:id="0" w:name="_GoBack"/>
      <w:bookmarkEnd w:id="0"/>
      <w:r w:rsidR="00EC2718" w:rsidRPr="00DD3A5A">
        <w:rPr>
          <w:rFonts w:ascii="Times New Roman" w:hAnsi="Times New Roman" w:cs="Times New Roman"/>
        </w:rPr>
        <w:t xml:space="preserve">tonomía y la cultura organizacional. A partir del 2018, el corpus normativo evidencia un giro hacia una propuesta centrada en el aseguramiento interno y la mejora </w:t>
      </w:r>
      <w:r w:rsidR="00A951A7" w:rsidRPr="00DD3A5A">
        <w:rPr>
          <w:rFonts w:ascii="Times New Roman" w:hAnsi="Times New Roman" w:cs="Times New Roman"/>
        </w:rPr>
        <w:t>continua</w:t>
      </w:r>
      <w:r w:rsidR="00EC2718" w:rsidRPr="00DD3A5A">
        <w:rPr>
          <w:rFonts w:ascii="Times New Roman" w:hAnsi="Times New Roman" w:cs="Times New Roman"/>
        </w:rPr>
        <w:t xml:space="preserve"> de las IES, reservándose el estado la capacidad de imponer obligaciones, plazos y mecanismos de seguimiento. No obstante, estos ajustes normativos revelan también tensiones persistentes en la gobernanza del sistema. Por un lado, se promueve la construcción de una cultura institucional de calidad basada en la autoevaluación, la planificación estratégica y la mejora continua</w:t>
      </w:r>
      <w:r w:rsidR="003235FD">
        <w:rPr>
          <w:rFonts w:ascii="Times New Roman" w:hAnsi="Times New Roman" w:cs="Times New Roman"/>
        </w:rPr>
        <w:t>, pero p</w:t>
      </w:r>
      <w:r w:rsidR="00EC2718" w:rsidRPr="00DD3A5A">
        <w:rPr>
          <w:rFonts w:ascii="Times New Roman" w:hAnsi="Times New Roman" w:cs="Times New Roman"/>
        </w:rPr>
        <w:t xml:space="preserve">or otro, se mantiene una arquitectura regulatoria centralizada que establece criterios, indicadores y procedimientos obligatorios para todas las instituciones del sistema. Esta dualidad refleja un modelo de gobernanza híbrido que combina responsabilidad institucional en la gestión de la calidad con mecanismos de supervisión estatal. El análisis muestra que la normativa ecuatoriana transita hacia un modelo más complejo de </w:t>
      </w:r>
      <w:r w:rsidR="00EC2718" w:rsidRPr="00DD3A5A">
        <w:rPr>
          <w:rFonts w:ascii="Times New Roman" w:hAnsi="Times New Roman" w:cs="Times New Roman"/>
        </w:rPr>
        <w:lastRenderedPageBreak/>
        <w:t>aseguramiento de la calidad que integra evaluación, planificación y seguimiento dentro de un mismo ciclo regulatorio, aunque su implementación continúa enfrentando desafíos asociados a la diversidad institucional y a la necesidad de equilibrar regulación y autonomía universitaria.</w:t>
      </w:r>
    </w:p>
    <w:p w14:paraId="2994BAB3" w14:textId="4588DF7A" w:rsidR="00BA642E" w:rsidRPr="00DD3A5A" w:rsidRDefault="00BA642E" w:rsidP="00DD3A5A">
      <w:pPr>
        <w:spacing w:line="240" w:lineRule="auto"/>
        <w:jc w:val="both"/>
        <w:rPr>
          <w:rFonts w:ascii="Times New Roman" w:hAnsi="Times New Roman" w:cs="Times New Roman"/>
          <w:b/>
          <w:bCs/>
        </w:rPr>
      </w:pPr>
      <w:r w:rsidRPr="00DD3A5A">
        <w:rPr>
          <w:rFonts w:ascii="Times New Roman" w:hAnsi="Times New Roman" w:cs="Times New Roman"/>
          <w:b/>
          <w:bCs/>
        </w:rPr>
        <w:t xml:space="preserve">Palabras clave: </w:t>
      </w:r>
      <w:r w:rsidR="00EC2718" w:rsidRPr="00DD3A5A">
        <w:rPr>
          <w:rFonts w:ascii="Times New Roman" w:hAnsi="Times New Roman" w:cs="Times New Roman"/>
        </w:rPr>
        <w:t>Aseguramiento, calidad, educación superior, tensiones, continuidades</w:t>
      </w:r>
      <w:r w:rsidRPr="00DD3A5A">
        <w:rPr>
          <w:rFonts w:ascii="Times New Roman" w:hAnsi="Times New Roman" w:cs="Times New Roman"/>
        </w:rPr>
        <w:t xml:space="preserve">. </w:t>
      </w:r>
    </w:p>
    <w:p w14:paraId="6A5547A1" w14:textId="36B7FAC2" w:rsidR="00BA642E" w:rsidRPr="00121528" w:rsidRDefault="00BA642E" w:rsidP="00DD3A5A">
      <w:pPr>
        <w:spacing w:line="240" w:lineRule="auto"/>
        <w:rPr>
          <w:rFonts w:ascii="Times New Roman" w:hAnsi="Times New Roman" w:cs="Times New Roman"/>
          <w:b/>
          <w:bCs/>
          <w:lang w:val="es-EC"/>
        </w:rPr>
      </w:pPr>
      <w:r w:rsidRPr="00121528">
        <w:rPr>
          <w:rFonts w:ascii="Times New Roman" w:hAnsi="Times New Roman" w:cs="Times New Roman"/>
          <w:b/>
          <w:bCs/>
          <w:lang w:val="es-EC"/>
        </w:rPr>
        <w:t>Introducción</w:t>
      </w:r>
    </w:p>
    <w:p w14:paraId="3A996E08" w14:textId="7932E8B1" w:rsidR="00DD3A5A" w:rsidRDefault="00DD3A5A" w:rsidP="00DD3A5A">
      <w:pPr>
        <w:spacing w:line="240" w:lineRule="auto"/>
        <w:jc w:val="both"/>
        <w:rPr>
          <w:rFonts w:ascii="Times New Roman" w:hAnsi="Times New Roman" w:cs="Times New Roman"/>
          <w:lang w:val="es-EC"/>
        </w:rPr>
      </w:pPr>
      <w:r w:rsidRPr="00DD3A5A">
        <w:rPr>
          <w:rFonts w:ascii="Times New Roman" w:hAnsi="Times New Roman" w:cs="Times New Roman"/>
          <w:lang w:val="es-EC"/>
        </w:rPr>
        <w:t>Desde la década de los ochenta, los sistemas de educación superior han experimentado, a nivel mundial, transformaciones significativas atravesadas por la implementación de procesos de evaluación y acreditación, los cuales han buscado garantizar la calidad académica y la sostenibilidad de las instituciones educativas (Gómez et al., 2017). La calidad dejó de ser un atributo implícito para convertirse en un objetivo explícito regulado por estándares, políticas y procedimientos que permitieran medir y comparar el desempeño de las universidades (Veliz-Briones et al., 2020). Esta tendencia mundial encontró en América Latina un terreno fértil para su desarrollo, especialmente ante los retos de la expansión educativa, la democratización del acceso y las crecientes demandas de pertinencia social y económica (Tünnermann, 2008).</w:t>
      </w:r>
    </w:p>
    <w:p w14:paraId="55DB2F3F" w14:textId="77777777" w:rsidR="003235FD" w:rsidRDefault="003235FD" w:rsidP="003235FD">
      <w:pPr>
        <w:spacing w:line="240" w:lineRule="auto"/>
        <w:jc w:val="both"/>
        <w:rPr>
          <w:rFonts w:ascii="Times New Roman" w:hAnsi="Times New Roman" w:cs="Times New Roman"/>
          <w:lang w:val="es-EC"/>
        </w:rPr>
      </w:pPr>
      <w:r w:rsidRPr="003235FD">
        <w:rPr>
          <w:rFonts w:ascii="Times New Roman" w:hAnsi="Times New Roman" w:cs="Times New Roman"/>
          <w:lang w:val="es-EC"/>
        </w:rPr>
        <w:t xml:space="preserve">Los sistemas de evaluación y acreditación universitaria han crecido significativamente en los últimos años, </w:t>
      </w:r>
      <w:r>
        <w:rPr>
          <w:rFonts w:ascii="Times New Roman" w:hAnsi="Times New Roman" w:cs="Times New Roman"/>
          <w:lang w:val="es-EC"/>
        </w:rPr>
        <w:t>dando lugar a</w:t>
      </w:r>
      <w:r w:rsidRPr="003235FD">
        <w:rPr>
          <w:rFonts w:ascii="Times New Roman" w:hAnsi="Times New Roman" w:cs="Times New Roman"/>
          <w:lang w:val="es-EC"/>
        </w:rPr>
        <w:t xml:space="preserve"> múltiples </w:t>
      </w:r>
      <w:r>
        <w:rPr>
          <w:rFonts w:ascii="Times New Roman" w:hAnsi="Times New Roman" w:cs="Times New Roman"/>
          <w:lang w:val="es-EC"/>
        </w:rPr>
        <w:t>diseños</w:t>
      </w:r>
      <w:r w:rsidRPr="003235FD">
        <w:rPr>
          <w:rFonts w:ascii="Times New Roman" w:hAnsi="Times New Roman" w:cs="Times New Roman"/>
          <w:lang w:val="es-EC"/>
        </w:rPr>
        <w:t xml:space="preserve">, </w:t>
      </w:r>
      <w:r>
        <w:rPr>
          <w:rFonts w:ascii="Times New Roman" w:hAnsi="Times New Roman" w:cs="Times New Roman"/>
          <w:lang w:val="es-EC"/>
        </w:rPr>
        <w:t>normativas</w:t>
      </w:r>
      <w:r w:rsidRPr="003235FD">
        <w:rPr>
          <w:rFonts w:ascii="Times New Roman" w:hAnsi="Times New Roman" w:cs="Times New Roman"/>
          <w:lang w:val="es-EC"/>
        </w:rPr>
        <w:t xml:space="preserve"> y </w:t>
      </w:r>
      <w:r>
        <w:rPr>
          <w:rFonts w:ascii="Times New Roman" w:hAnsi="Times New Roman" w:cs="Times New Roman"/>
          <w:lang w:val="es-EC"/>
        </w:rPr>
        <w:t>procesos evaluativos en los sistemas de educación superior</w:t>
      </w:r>
      <w:r w:rsidRPr="003235FD">
        <w:rPr>
          <w:rFonts w:ascii="Times New Roman" w:hAnsi="Times New Roman" w:cs="Times New Roman"/>
          <w:lang w:val="es-EC"/>
        </w:rPr>
        <w:t xml:space="preserve">. </w:t>
      </w:r>
      <w:r>
        <w:rPr>
          <w:rFonts w:ascii="Times New Roman" w:hAnsi="Times New Roman" w:cs="Times New Roman"/>
          <w:lang w:val="es-EC"/>
        </w:rPr>
        <w:t>Algunos</w:t>
      </w:r>
      <w:r w:rsidRPr="003235FD">
        <w:rPr>
          <w:rFonts w:ascii="Times New Roman" w:hAnsi="Times New Roman" w:cs="Times New Roman"/>
          <w:lang w:val="es-EC"/>
        </w:rPr>
        <w:t xml:space="preserve"> países convergen en la necesidad de usar estas metodologías para certificar la excelencia pedagógica y </w:t>
      </w:r>
      <w:r>
        <w:rPr>
          <w:rFonts w:ascii="Times New Roman" w:hAnsi="Times New Roman" w:cs="Times New Roman"/>
          <w:lang w:val="es-EC"/>
        </w:rPr>
        <w:t>regular</w:t>
      </w:r>
      <w:r w:rsidRPr="003235FD">
        <w:rPr>
          <w:rFonts w:ascii="Times New Roman" w:hAnsi="Times New Roman" w:cs="Times New Roman"/>
          <w:lang w:val="es-EC"/>
        </w:rPr>
        <w:t xml:space="preserve"> la acelerada proliferación de </w:t>
      </w:r>
      <w:r>
        <w:rPr>
          <w:rFonts w:ascii="Times New Roman" w:hAnsi="Times New Roman" w:cs="Times New Roman"/>
          <w:lang w:val="es-EC"/>
        </w:rPr>
        <w:t>instituciones</w:t>
      </w:r>
      <w:r w:rsidRPr="003235FD">
        <w:rPr>
          <w:rFonts w:ascii="Times New Roman" w:hAnsi="Times New Roman" w:cs="Times New Roman"/>
          <w:lang w:val="es-EC"/>
        </w:rPr>
        <w:t xml:space="preserve"> universitari</w:t>
      </w:r>
      <w:r>
        <w:rPr>
          <w:rFonts w:ascii="Times New Roman" w:hAnsi="Times New Roman" w:cs="Times New Roman"/>
          <w:lang w:val="es-EC"/>
        </w:rPr>
        <w:t>as, en particular dentro del ámbito privado</w:t>
      </w:r>
      <w:r w:rsidRPr="003235FD">
        <w:rPr>
          <w:rFonts w:ascii="Times New Roman" w:hAnsi="Times New Roman" w:cs="Times New Roman"/>
          <w:lang w:val="es-EC"/>
        </w:rPr>
        <w:t xml:space="preserve">, </w:t>
      </w:r>
      <w:r>
        <w:rPr>
          <w:rFonts w:ascii="Times New Roman" w:hAnsi="Times New Roman" w:cs="Times New Roman"/>
          <w:lang w:val="es-EC"/>
        </w:rPr>
        <w:t xml:space="preserve">para lo cual han incorporado algunos mecanismos comunes como </w:t>
      </w:r>
      <w:r w:rsidRPr="003235FD">
        <w:rPr>
          <w:rFonts w:ascii="Times New Roman" w:hAnsi="Times New Roman" w:cs="Times New Roman"/>
          <w:lang w:val="es-EC"/>
        </w:rPr>
        <w:t xml:space="preserve">la autoevaluación interna y las revisiones externas por parte de </w:t>
      </w:r>
      <w:r>
        <w:rPr>
          <w:rFonts w:ascii="Times New Roman" w:hAnsi="Times New Roman" w:cs="Times New Roman"/>
          <w:lang w:val="es-EC"/>
        </w:rPr>
        <w:t>pares evaluadores</w:t>
      </w:r>
      <w:r w:rsidRPr="003235FD">
        <w:rPr>
          <w:rFonts w:ascii="Times New Roman" w:hAnsi="Times New Roman" w:cs="Times New Roman"/>
          <w:lang w:val="es-EC"/>
        </w:rPr>
        <w:t xml:space="preserve"> (Strah, 2020). </w:t>
      </w:r>
      <w:r>
        <w:rPr>
          <w:rFonts w:ascii="Times New Roman" w:hAnsi="Times New Roman" w:cs="Times New Roman"/>
          <w:lang w:val="es-EC"/>
        </w:rPr>
        <w:t>Por otro lado</w:t>
      </w:r>
      <w:r w:rsidRPr="003235FD">
        <w:rPr>
          <w:rFonts w:ascii="Times New Roman" w:hAnsi="Times New Roman" w:cs="Times New Roman"/>
          <w:lang w:val="es-EC"/>
        </w:rPr>
        <w:t xml:space="preserve">, los rasgos más divergentes se vinculan directamente con los </w:t>
      </w:r>
      <w:r>
        <w:rPr>
          <w:rFonts w:ascii="Times New Roman" w:hAnsi="Times New Roman" w:cs="Times New Roman"/>
          <w:lang w:val="es-EC"/>
        </w:rPr>
        <w:t>propósitos</w:t>
      </w:r>
      <w:r w:rsidRPr="003235FD">
        <w:rPr>
          <w:rFonts w:ascii="Times New Roman" w:hAnsi="Times New Roman" w:cs="Times New Roman"/>
          <w:lang w:val="es-EC"/>
        </w:rPr>
        <w:t xml:space="preserve"> de cada </w:t>
      </w:r>
      <w:r>
        <w:rPr>
          <w:rFonts w:ascii="Times New Roman" w:hAnsi="Times New Roman" w:cs="Times New Roman"/>
          <w:lang w:val="es-EC"/>
        </w:rPr>
        <w:t>sistema</w:t>
      </w:r>
      <w:r w:rsidRPr="003235FD">
        <w:rPr>
          <w:rFonts w:ascii="Times New Roman" w:hAnsi="Times New Roman" w:cs="Times New Roman"/>
          <w:lang w:val="es-EC"/>
        </w:rPr>
        <w:t xml:space="preserve">, los cuales abarcan </w:t>
      </w:r>
      <w:r>
        <w:rPr>
          <w:rFonts w:ascii="Times New Roman" w:hAnsi="Times New Roman" w:cs="Times New Roman"/>
          <w:lang w:val="es-EC"/>
        </w:rPr>
        <w:t>una serie de elementos como:</w:t>
      </w:r>
      <w:r w:rsidRPr="003235FD">
        <w:rPr>
          <w:rFonts w:ascii="Times New Roman" w:hAnsi="Times New Roman" w:cs="Times New Roman"/>
          <w:lang w:val="es-EC"/>
        </w:rPr>
        <w:t xml:space="preserve"> </w:t>
      </w:r>
      <w:r>
        <w:rPr>
          <w:rFonts w:ascii="Times New Roman" w:hAnsi="Times New Roman" w:cs="Times New Roman"/>
          <w:lang w:val="es-EC"/>
        </w:rPr>
        <w:t>criterios de</w:t>
      </w:r>
      <w:r w:rsidRPr="003235FD">
        <w:rPr>
          <w:rFonts w:ascii="Times New Roman" w:hAnsi="Times New Roman" w:cs="Times New Roman"/>
          <w:lang w:val="es-EC"/>
        </w:rPr>
        <w:t xml:space="preserve"> </w:t>
      </w:r>
      <w:r>
        <w:rPr>
          <w:rFonts w:ascii="Times New Roman" w:hAnsi="Times New Roman" w:cs="Times New Roman"/>
          <w:lang w:val="es-EC"/>
        </w:rPr>
        <w:t>rendición de cuentas regulada, prestigio institucional, acceso a fuentes financiamiento y, por supuesto, la constante mejora institucional; así como la naturaleza, sea de carácter obligatorio o voluntario, que elija cada institución y, finalmente el enfoque, ya sea basado en criterios y estándares rígidos de desempeño institucional o uno que respete la propia misión y proyecto de cada institución.</w:t>
      </w:r>
      <w:r w:rsidRPr="003235FD">
        <w:rPr>
          <w:rFonts w:ascii="Times New Roman" w:hAnsi="Times New Roman" w:cs="Times New Roman"/>
          <w:lang w:val="es-EC"/>
        </w:rPr>
        <w:t xml:space="preserve"> (Rushforth, et al., 2025).</w:t>
      </w:r>
    </w:p>
    <w:p w14:paraId="72FE9246" w14:textId="2E0CD79F" w:rsidR="003235FD" w:rsidRDefault="003235FD" w:rsidP="003235FD">
      <w:pPr>
        <w:spacing w:line="240" w:lineRule="auto"/>
        <w:jc w:val="both"/>
        <w:rPr>
          <w:rFonts w:ascii="Times New Roman" w:hAnsi="Times New Roman" w:cs="Times New Roman"/>
          <w:lang w:val="es-EC"/>
        </w:rPr>
      </w:pPr>
      <w:r w:rsidRPr="003235FD">
        <w:rPr>
          <w:rFonts w:ascii="Times New Roman" w:hAnsi="Times New Roman" w:cs="Times New Roman"/>
          <w:lang w:val="es-EC"/>
        </w:rPr>
        <w:t xml:space="preserve">El caso de Ecuador exhibe particularidades exclusivas que marcan una clara distancia frente al resto del contexto latinoamericano. A diferencia de naciones como Argentina, Brasil, Colombia y México, donde las </w:t>
      </w:r>
      <w:r>
        <w:rPr>
          <w:rFonts w:ascii="Times New Roman" w:hAnsi="Times New Roman" w:cs="Times New Roman"/>
          <w:lang w:val="es-EC"/>
        </w:rPr>
        <w:t xml:space="preserve">políticas </w:t>
      </w:r>
      <w:r w:rsidRPr="003235FD">
        <w:rPr>
          <w:rFonts w:ascii="Times New Roman" w:hAnsi="Times New Roman" w:cs="Times New Roman"/>
          <w:lang w:val="es-EC"/>
        </w:rPr>
        <w:t xml:space="preserve">se estructuraron durante los años noventa a raíz de modificaciones estructurales de corte </w:t>
      </w:r>
      <w:r>
        <w:rPr>
          <w:rFonts w:ascii="Times New Roman" w:hAnsi="Times New Roman" w:cs="Times New Roman"/>
          <w:lang w:val="es-EC"/>
        </w:rPr>
        <w:t>neo</w:t>
      </w:r>
      <w:r w:rsidRPr="003235FD">
        <w:rPr>
          <w:rFonts w:ascii="Times New Roman" w:hAnsi="Times New Roman" w:cs="Times New Roman"/>
          <w:lang w:val="es-EC"/>
        </w:rPr>
        <w:t>liberal impulsadas por entidades crediticias globales (Krotsch, 2001),</w:t>
      </w:r>
      <w:r>
        <w:rPr>
          <w:rFonts w:ascii="Times New Roman" w:hAnsi="Times New Roman" w:cs="Times New Roman"/>
          <w:lang w:val="es-EC"/>
        </w:rPr>
        <w:t xml:space="preserve"> en Ecuador, la institucionalización de estas políticas ocurrió dos décadas después y en contextos políticos, económicos e históricos, diferentes</w:t>
      </w:r>
      <w:r>
        <w:rPr>
          <w:rFonts w:ascii="Times New Roman" w:hAnsi="Times New Roman" w:cs="Times New Roman"/>
          <w:lang w:val="es-EC"/>
        </w:rPr>
        <w:t xml:space="preserve"> </w:t>
      </w:r>
      <w:r w:rsidRPr="003235FD">
        <w:rPr>
          <w:rFonts w:ascii="Times New Roman" w:hAnsi="Times New Roman" w:cs="Times New Roman"/>
          <w:lang w:val="es-EC"/>
        </w:rPr>
        <w:t>(Herrera et al., 2019)</w:t>
      </w:r>
      <w:r>
        <w:rPr>
          <w:rFonts w:ascii="Times New Roman" w:hAnsi="Times New Roman" w:cs="Times New Roman"/>
          <w:lang w:val="es-EC"/>
        </w:rPr>
        <w:t xml:space="preserve">. </w:t>
      </w:r>
      <w:r>
        <w:rPr>
          <w:rFonts w:ascii="Times New Roman" w:eastAsia="Times New Roman" w:hAnsi="Times New Roman" w:cs="Times New Roman"/>
          <w:highlight w:val="white"/>
        </w:rPr>
        <w:t>Además, si bien es cierto que el modelo ecuatoriano siguió alineado con tendencias globales que priorizaban la medición de resultados y la rendición de cuentas, la influencia de organismos internacionales fue menor que en los casos anteriores.</w:t>
      </w:r>
    </w:p>
    <w:p w14:paraId="2B1EF543" w14:textId="3E54DB38" w:rsidR="00DD3A5A" w:rsidRPr="00DD3A5A" w:rsidRDefault="003235FD" w:rsidP="00DD3A5A">
      <w:pPr>
        <w:spacing w:line="240" w:lineRule="auto"/>
        <w:jc w:val="both"/>
        <w:rPr>
          <w:rFonts w:ascii="Times New Roman" w:hAnsi="Times New Roman" w:cs="Times New Roman"/>
          <w:lang w:val="es-EC"/>
        </w:rPr>
      </w:pPr>
      <w:r>
        <w:rPr>
          <w:rFonts w:ascii="Times New Roman" w:hAnsi="Times New Roman" w:cs="Times New Roman"/>
          <w:lang w:val="es-EC"/>
        </w:rPr>
        <w:t xml:space="preserve">Si bien, </w:t>
      </w:r>
      <w:r w:rsidR="00DD3A5A" w:rsidRPr="00121528">
        <w:rPr>
          <w:rFonts w:ascii="Times New Roman" w:hAnsi="Times New Roman" w:cs="Times New Roman"/>
          <w:lang w:val="es-EC"/>
        </w:rPr>
        <w:t xml:space="preserve">el surgimiento de </w:t>
      </w:r>
      <w:r>
        <w:rPr>
          <w:rFonts w:ascii="Times New Roman" w:hAnsi="Times New Roman" w:cs="Times New Roman"/>
          <w:lang w:val="es-EC"/>
        </w:rPr>
        <w:t xml:space="preserve">las </w:t>
      </w:r>
      <w:r w:rsidR="00DD3A5A" w:rsidRPr="00121528">
        <w:rPr>
          <w:rFonts w:ascii="Times New Roman" w:hAnsi="Times New Roman" w:cs="Times New Roman"/>
          <w:lang w:val="es-EC"/>
        </w:rPr>
        <w:t>políticas de evaluación y acreditación</w:t>
      </w:r>
      <w:r>
        <w:rPr>
          <w:rFonts w:ascii="Times New Roman" w:hAnsi="Times New Roman" w:cs="Times New Roman"/>
          <w:lang w:val="es-EC"/>
        </w:rPr>
        <w:t xml:space="preserve"> en este país,</w:t>
      </w:r>
      <w:r w:rsidR="00DD3A5A" w:rsidRPr="00121528">
        <w:rPr>
          <w:rFonts w:ascii="Times New Roman" w:hAnsi="Times New Roman" w:cs="Times New Roman"/>
          <w:lang w:val="es-EC"/>
        </w:rPr>
        <w:t xml:space="preserve"> tiene sus raíces en la Constitución de 1998, que estableció el Sistema Nacional de Evaluación y Acreditación como un mecanismo para promover la calidad y la rendición de cuentas en </w:t>
      </w:r>
      <w:r w:rsidR="00DD3A5A" w:rsidRPr="00121528">
        <w:rPr>
          <w:rFonts w:ascii="Times New Roman" w:hAnsi="Times New Roman" w:cs="Times New Roman"/>
          <w:lang w:val="es-EC"/>
        </w:rPr>
        <w:lastRenderedPageBreak/>
        <w:t>las instituciones de educación superior (IES)</w:t>
      </w:r>
      <w:r>
        <w:rPr>
          <w:rFonts w:ascii="Times New Roman" w:hAnsi="Times New Roman" w:cs="Times New Roman"/>
          <w:lang w:val="es-EC"/>
        </w:rPr>
        <w:t>, l</w:t>
      </w:r>
      <w:r w:rsidR="00DD3A5A" w:rsidRPr="00121528">
        <w:rPr>
          <w:rFonts w:ascii="Times New Roman" w:hAnsi="Times New Roman" w:cs="Times New Roman"/>
          <w:lang w:val="es-EC"/>
        </w:rPr>
        <w:t>a promulgación de la Constitución de 2008 marcó un cambio paradigmático al declarar la educación como un derecho y un bien público (Rojas, 2011).</w:t>
      </w:r>
      <w:r w:rsidR="00DD3A5A" w:rsidRPr="00DD3A5A">
        <w:rPr>
          <w:rFonts w:ascii="Times New Roman" w:hAnsi="Times New Roman" w:cs="Times New Roman"/>
          <w:lang w:val="es-EC"/>
        </w:rPr>
        <w:t xml:space="preserve"> Este enfoque se materializó en la Ley Orgánica de Educación Superior (LOES) de 2010, que fortaleció el rol del Estado como garante de la calidad educativa y estableció nuevos mecanismos de evaluación y acreditación, creando el Consejo de Educación Superior (CES) y el Consejo de Evaluación, Acreditación y Aseguramiento de la Calidad de la Educación Superior (CEAACES), como instituciones rectoras del sistema (LOES, art. 173).</w:t>
      </w:r>
    </w:p>
    <w:p w14:paraId="5DB3C256" w14:textId="77777777" w:rsidR="00DD3A5A" w:rsidRPr="00DD3A5A" w:rsidRDefault="00DD3A5A" w:rsidP="00DD3A5A">
      <w:pPr>
        <w:spacing w:line="240" w:lineRule="auto"/>
        <w:jc w:val="both"/>
        <w:rPr>
          <w:rFonts w:ascii="Times New Roman" w:hAnsi="Times New Roman" w:cs="Times New Roman"/>
          <w:lang w:val="es-EC"/>
        </w:rPr>
      </w:pPr>
      <w:r w:rsidRPr="00DD3A5A">
        <w:rPr>
          <w:rFonts w:ascii="Times New Roman" w:hAnsi="Times New Roman" w:cs="Times New Roman"/>
          <w:lang w:val="es-EC"/>
        </w:rPr>
        <w:t>La implementación del modelo de evaluación del CEAACES a partir de 2013 clasificó a las universidades ecuatorianas en categorías (A, B, C, D y E) conforme a criterios de academia, eficiencia, investigación, organización e infraestructura, y culminó en la suspensión definitiva de 14 instituciones clasificadas en la categoría E por presentar falencias críticas (Pazmiño, 2018). Este proceso, si bien generó importantes transformaciones en el sistema, también suscitó debates sobre su énfasis cuantitativo, la ausencia de mecanismos de diálogo con las universidades y sus efectos homogeneizadores sobre la autonomía institucional (Raza, 2019; Cruz-Sánchez, 2016).</w:t>
      </w:r>
    </w:p>
    <w:p w14:paraId="26CD430E" w14:textId="2857943D" w:rsidR="00DD3A5A" w:rsidRPr="00DD3A5A" w:rsidRDefault="00DD3A5A" w:rsidP="00DD3A5A">
      <w:pPr>
        <w:spacing w:line="240" w:lineRule="auto"/>
        <w:jc w:val="both"/>
        <w:rPr>
          <w:rFonts w:ascii="Times New Roman" w:hAnsi="Times New Roman" w:cs="Times New Roman"/>
          <w:lang w:val="es-EC"/>
        </w:rPr>
      </w:pPr>
      <w:r w:rsidRPr="00DD3A5A">
        <w:rPr>
          <w:rFonts w:ascii="Times New Roman" w:hAnsi="Times New Roman" w:cs="Times New Roman"/>
          <w:lang w:val="es-EC"/>
        </w:rPr>
        <w:t>A partir de 2018, con el cambio de gobierno</w:t>
      </w:r>
      <w:r w:rsidR="003235FD">
        <w:rPr>
          <w:rFonts w:ascii="Times New Roman" w:hAnsi="Times New Roman" w:cs="Times New Roman"/>
          <w:lang w:val="es-EC"/>
        </w:rPr>
        <w:t xml:space="preserve"> y dirección política</w:t>
      </w:r>
      <w:r w:rsidRPr="00DD3A5A">
        <w:rPr>
          <w:rFonts w:ascii="Times New Roman" w:hAnsi="Times New Roman" w:cs="Times New Roman"/>
          <w:lang w:val="es-EC"/>
        </w:rPr>
        <w:t xml:space="preserve">, el CEAACES fue transformado en el Consejo de Aseguramiento de la Calidad de la Educación Superior (CACES), organismo que </w:t>
      </w:r>
      <w:r w:rsidR="003235FD">
        <w:rPr>
          <w:rFonts w:ascii="Times New Roman" w:hAnsi="Times New Roman" w:cs="Times New Roman"/>
          <w:lang w:val="es-EC"/>
        </w:rPr>
        <w:t xml:space="preserve">propuso </w:t>
      </w:r>
      <w:r w:rsidRPr="00DD3A5A">
        <w:rPr>
          <w:rFonts w:ascii="Times New Roman" w:hAnsi="Times New Roman" w:cs="Times New Roman"/>
          <w:lang w:val="es-EC"/>
        </w:rPr>
        <w:t>su acción hacia el aseguramiento interno de la calidad y la mejora continua, reservando al Estado la capacidad de imponer obligaciones, plazos y mecanismos de seguimiento. Esta reconfiguración normativa, cuya producción abarca el período 201</w:t>
      </w:r>
      <w:r w:rsidR="003235FD">
        <w:rPr>
          <w:rFonts w:ascii="Times New Roman" w:hAnsi="Times New Roman" w:cs="Times New Roman"/>
          <w:lang w:val="es-EC"/>
        </w:rPr>
        <w:t>8</w:t>
      </w:r>
      <w:r w:rsidRPr="00DD3A5A">
        <w:rPr>
          <w:rFonts w:ascii="Times New Roman" w:hAnsi="Times New Roman" w:cs="Times New Roman"/>
          <w:lang w:val="es-EC"/>
        </w:rPr>
        <w:t>–2025, merece un análisis sistemático que permita identificar continuidades y rupturas respecto al régimen regulatorio anterior, así como las tensiones emergentes en la gobernanza del sistema.</w:t>
      </w:r>
    </w:p>
    <w:p w14:paraId="5B47EE40" w14:textId="596DCF2D" w:rsidR="003235FD" w:rsidRDefault="00DD3A5A" w:rsidP="00DD3A5A">
      <w:pPr>
        <w:spacing w:line="240" w:lineRule="auto"/>
        <w:jc w:val="both"/>
        <w:rPr>
          <w:rFonts w:ascii="Times New Roman" w:hAnsi="Times New Roman" w:cs="Times New Roman"/>
        </w:rPr>
      </w:pPr>
      <w:r w:rsidRPr="00DD3A5A">
        <w:rPr>
          <w:rFonts w:ascii="Times New Roman" w:hAnsi="Times New Roman" w:cs="Times New Roman"/>
        </w:rPr>
        <w:t>La revisión de la literatura científica sobre los procesos de evaluación y acreditación en América Latina evidencia un campo de estudio consolidado, con particularidades nacionales que enriquecen el análisis comparado. En el caso ecuatoriano, los estudios disponibles abordan tanto el diseño normativo del sistema como sus efectos sobre las instituciones.</w:t>
      </w:r>
    </w:p>
    <w:p w14:paraId="254B4B49" w14:textId="77777777" w:rsidR="003235FD" w:rsidRPr="003235FD" w:rsidRDefault="003235FD" w:rsidP="003235FD">
      <w:pPr>
        <w:jc w:val="both"/>
        <w:rPr>
          <w:rFonts w:ascii="Times New Roman" w:hAnsi="Times New Roman" w:cs="Times New Roman"/>
        </w:rPr>
      </w:pPr>
      <w:r w:rsidRPr="003235FD">
        <w:rPr>
          <w:rFonts w:ascii="Times New Roman" w:hAnsi="Times New Roman" w:cs="Times New Roman"/>
        </w:rPr>
        <w:t>Desde una perspectiva comparada regional, Carvalho y Malavasi (2020) identificaron que los sistemas de evaluación y acreditación en América Latina comparten una tendencia hacia la cuantificación de los procesos educativos, lo que genera tensiones entre la rendición de cuentas y la autonomía universitaria. Esta tensión, documentada también por Guzmán-Puentes y Guevara-Ramírez (2022) para el caso latinoamericano en general, se expresa en Ecuador a través de los debates sobre el control estatal sobre las prioridades académicas y la capacidad de las IES para definir sus propias trayectorias de desarrollo institucional.</w:t>
      </w:r>
    </w:p>
    <w:p w14:paraId="4162F081" w14:textId="16429A2D" w:rsidR="003235FD" w:rsidRPr="003235FD" w:rsidRDefault="003235FD" w:rsidP="003235FD">
      <w:pPr>
        <w:spacing w:line="240" w:lineRule="auto"/>
        <w:jc w:val="both"/>
        <w:rPr>
          <w:rFonts w:ascii="Times New Roman" w:hAnsi="Times New Roman" w:cs="Times New Roman"/>
        </w:rPr>
      </w:pPr>
      <w:r w:rsidRPr="003235FD">
        <w:rPr>
          <w:rFonts w:ascii="Times New Roman" w:hAnsi="Times New Roman" w:cs="Times New Roman"/>
          <w:lang w:val="es-EC"/>
        </w:rPr>
        <w:t>Dillon et al. (2020)</w:t>
      </w:r>
      <w:r>
        <w:rPr>
          <w:rFonts w:ascii="Times New Roman" w:hAnsi="Times New Roman" w:cs="Times New Roman"/>
          <w:lang w:val="es-EC"/>
        </w:rPr>
        <w:t>, analizando el proceso ecuatoriano,</w:t>
      </w:r>
      <w:r w:rsidRPr="003235FD">
        <w:rPr>
          <w:rFonts w:ascii="Times New Roman" w:hAnsi="Times New Roman" w:cs="Times New Roman"/>
          <w:lang w:val="es-EC"/>
        </w:rPr>
        <w:t xml:space="preserve"> </w:t>
      </w:r>
      <w:r w:rsidRPr="003235FD">
        <w:rPr>
          <w:rFonts w:ascii="Times New Roman" w:hAnsi="Times New Roman" w:cs="Times New Roman"/>
        </w:rPr>
        <w:t xml:space="preserve">identificaron una asociación entre los procesos de acreditación y la mejora de la calidad de la enseñanza universitaria, aunque señalaron que el modelo tiende a priorizar el cumplimiento normativo por encima de una transformación sustantiva . Así mismo, Cabrera y Jerves (2022), documentaron las tensiones entre las estrategias de adaptación institucional y las exigencias del modelo CEAACES. Su análisis identificó que, si bien la política impulsó mejoras en calidad y </w:t>
      </w:r>
      <w:r w:rsidRPr="003235FD">
        <w:rPr>
          <w:rFonts w:ascii="Times New Roman" w:hAnsi="Times New Roman" w:cs="Times New Roman"/>
        </w:rPr>
        <w:lastRenderedPageBreak/>
        <w:t>gestión, su aplicación homogénea generó efectos no previstos sobre la autonomía y la cultura organizacional.</w:t>
      </w:r>
    </w:p>
    <w:p w14:paraId="6EED58D3" w14:textId="77777777" w:rsidR="003235FD" w:rsidRPr="003235FD" w:rsidRDefault="003235FD" w:rsidP="003235FD">
      <w:pPr>
        <w:spacing w:line="240" w:lineRule="auto"/>
        <w:jc w:val="both"/>
        <w:rPr>
          <w:rFonts w:ascii="Times New Roman" w:hAnsi="Times New Roman" w:cs="Times New Roman"/>
        </w:rPr>
      </w:pPr>
      <w:r w:rsidRPr="003235FD">
        <w:rPr>
          <w:rFonts w:ascii="Times New Roman" w:hAnsi="Times New Roman" w:cs="Times New Roman"/>
          <w:lang w:val="es-EC"/>
        </w:rPr>
        <w:t xml:space="preserve">Por otro lado, </w:t>
      </w:r>
      <w:r w:rsidRPr="003235FD">
        <w:rPr>
          <w:rFonts w:ascii="Times New Roman" w:hAnsi="Times New Roman" w:cs="Times New Roman"/>
        </w:rPr>
        <w:t>Cabezas-Guerra et al. (2019), desde una visión crítica,  analizaron algunos elementos del sistema de aseguramiento de la calidad ecuatoriano, aplicados en la última década, identificando que la excesiva centralización y el énfasis cuantitativo, constituyen limitaciones estructurales del modelo. Por su parte, Moreira et al. (2022) destacaron que la percepción de los actores institucionales sobre la utilidad de los procesos evaluativos resulta central para su efectividad transformadora, dado que el isomorfismo institucional —es decir, la presión para que todas las universidades adopten formas similares de organización— limita la diversidad académica y la pertinencia contextual de las instituciones.</w:t>
      </w:r>
    </w:p>
    <w:p w14:paraId="79E219CB" w14:textId="77777777" w:rsidR="003235FD" w:rsidRPr="003235FD" w:rsidRDefault="003235FD" w:rsidP="003235FD">
      <w:pPr>
        <w:spacing w:line="240" w:lineRule="auto"/>
        <w:jc w:val="both"/>
        <w:rPr>
          <w:rFonts w:ascii="Times New Roman" w:hAnsi="Times New Roman" w:cs="Times New Roman"/>
        </w:rPr>
      </w:pPr>
      <w:r>
        <w:rPr>
          <w:rFonts w:ascii="Times New Roman" w:hAnsi="Times New Roman" w:cs="Times New Roman"/>
        </w:rPr>
        <w:t xml:space="preserve">En este contexto, a través de los estudios desarrollados sobre la temática, hasta la actualidad, se evidencia el carácter dilemático del análisis </w:t>
      </w:r>
      <w:r w:rsidRPr="003235FD">
        <w:rPr>
          <w:rFonts w:ascii="Times New Roman" w:hAnsi="Times New Roman" w:cs="Times New Roman"/>
        </w:rPr>
        <w:t>de la política de evaluación y acreditación de la educación superior en Ecuador</w:t>
      </w:r>
      <w:r>
        <w:rPr>
          <w:rFonts w:ascii="Times New Roman" w:hAnsi="Times New Roman" w:cs="Times New Roman"/>
        </w:rPr>
        <w:t xml:space="preserve">. Por un lado, algunos estudios destacan el mejoramiento de las funciones sustanciales de la educación superior (docencia, investigación y vinculación con la sociedad), así como la profesionalización </w:t>
      </w:r>
      <w:r w:rsidRPr="003235FD">
        <w:rPr>
          <w:rFonts w:ascii="Times New Roman" w:hAnsi="Times New Roman" w:cs="Times New Roman"/>
        </w:rPr>
        <w:t xml:space="preserve">de distintas áreas académicas (Ramírez Gallegos, 2014; </w:t>
      </w:r>
      <w:r w:rsidRPr="003235FD">
        <w:rPr>
          <w:rFonts w:ascii="Times New Roman" w:hAnsi="Times New Roman" w:cs="Times New Roman"/>
          <w:lang w:val="es-MX"/>
        </w:rPr>
        <w:t>Dillon et al., 2020</w:t>
      </w:r>
      <w:r w:rsidRPr="003235FD">
        <w:rPr>
          <w:rFonts w:ascii="Times New Roman" w:hAnsi="Times New Roman" w:cs="Times New Roman"/>
        </w:rPr>
        <w:t>)</w:t>
      </w:r>
      <w:r>
        <w:rPr>
          <w:rFonts w:ascii="Times New Roman" w:hAnsi="Times New Roman" w:cs="Times New Roman"/>
        </w:rPr>
        <w:t xml:space="preserve">, por otro lado, otros trabajos ponen énfasis en la centralización del modelo y el uso excesivo de indicadores cuantitativos desconectados de las realidades institucionales </w:t>
      </w:r>
      <w:r w:rsidRPr="003235FD">
        <w:rPr>
          <w:rFonts w:ascii="Times New Roman" w:hAnsi="Times New Roman" w:cs="Times New Roman"/>
        </w:rPr>
        <w:t>en un sistema con profundas desigualdades estructurales (Jiménez-Moreno, 2019 y Guzmán-Puentes y Guevara-Ramírez, 2022)</w:t>
      </w:r>
    </w:p>
    <w:p w14:paraId="2FD138AD" w14:textId="3BBCEBDA" w:rsidR="005F3B2E" w:rsidRPr="00DD3A5A" w:rsidRDefault="00DD3A5A" w:rsidP="00DD3A5A">
      <w:pPr>
        <w:spacing w:line="240" w:lineRule="auto"/>
        <w:rPr>
          <w:rFonts w:ascii="Times New Roman" w:hAnsi="Times New Roman" w:cs="Times New Roman"/>
          <w:b/>
          <w:bCs/>
          <w:lang w:val="es-EC"/>
        </w:rPr>
      </w:pPr>
      <w:r w:rsidRPr="00DD3A5A">
        <w:rPr>
          <w:rFonts w:ascii="Times New Roman" w:hAnsi="Times New Roman" w:cs="Times New Roman"/>
          <w:b/>
          <w:bCs/>
          <w:lang w:val="es-EC"/>
        </w:rPr>
        <w:t>Metodología</w:t>
      </w:r>
    </w:p>
    <w:p w14:paraId="389B3AC1"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Este trabajo adopta un enfoque cualitativo articulado a través del análisis documental comparativo como estrategia metodológica central. El análisis documental comparativo, definido por Mogalakwe (2006) como una forma de investigación sistemática que examina documentos como fuentes primarias para comprender fenómenos sociales, permite reconstruir la evolución de marcos normativos, identificar transformaciones en el tiempo e interpretar las tensiones y continuidades que emergen de la comparación entre períodos o corpus documentales distintos.</w:t>
      </w:r>
    </w:p>
    <w:p w14:paraId="3629D016"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En el ámbito de las políticas educativas, esta estrategia ha sido ampliamente utilizada para el análisis de sistemas de evaluación y acreditación (Carvalho y Malavasi, 2020; Guzmán-Puentes y Guevara-Ramírez, 2022), dado que permite examinar la arquitectura normativa de los sistemas sin reducirla a sus efectos estadísticos, preservando la riqueza de los dispositivos regulatorios y los significados que los actores institucionales les asignan.</w:t>
      </w:r>
    </w:p>
    <w:p w14:paraId="7D20AAE3" w14:textId="4000474A"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 xml:space="preserve">El corpus documental del estudio se organizó en dos períodos. El primer período (2010–2017) corresponde al diseño e implementación de la política de evaluación y acreditación bajo la LOES 2010 y la rectoría del CEAACES, y fue sistematizado sobre el caso de la Universidad de Cuenca, que constituye la línea base comparativa. El segundo período (2019–2025) comprende 13 documentos normativos vigentes emitidos por el CACES: reglamentos de evaluación y acreditación de universidades y escuelas politécnicas (2019 y 2023), reglamento de acreditación de carreras (2023), reglamento de cualificación académica (2024), reglamento de reconocimiento de acreditaciones extranjeras (2023/2025), política institucional de aseguramiento de la calidad (2022), reglamento de </w:t>
      </w:r>
      <w:r w:rsidRPr="00DD3A5A">
        <w:rPr>
          <w:rFonts w:ascii="Times New Roman" w:eastAsia="Times New Roman" w:hAnsi="Times New Roman" w:cs="Times New Roman"/>
        </w:rPr>
        <w:lastRenderedPageBreak/>
        <w:t>evaluación y validación de revistas científicas (2019), guía metodológica de revistas (2019), instructivo para la elaboración del Plan de Aseguramiento de la Calidad (2020) e instructivo de informes previos para la creación de universidades (2017).</w:t>
      </w:r>
    </w:p>
    <w:p w14:paraId="6948D0EE"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El procedimiento analítico siguió tres fases. En primer lugar, se elaboró un índice clasificatorio de los documentos del segundo período, tipificándolos según su naturaleza (reglamento, política, instructivo, guía), órgano emisor y fecha de emisión. En segundo lugar, se extrajeron artículos y disposiciones relevantes mediante criterios de pertinencia temática referida a las funciones sustantivas de docencia, investigación y vinculación, y a las competencias regulatorias del sistema. En tercer lugar, se realizó un análisis comparativo de cada disposición con su equivalente o antecedente en el período 2010–2017, clasificando los cambios como continuidad, modificación, eliminación o novedad, con justificación documental en cada caso.</w:t>
      </w:r>
    </w:p>
    <w:p w14:paraId="29842E14"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La validez del análisis se sustenta en la triangulación entre fuentes normativas primarias y literatura especializada sobre el caso ecuatoriano y la región. Las limitaciones del estudio se relacionan con la disponibilidad de documentos: dos de los instrumentos analizados (el instructivo de informes previos de 2017 y la guía metodológica de revistas de 2019) se encontraron en formato escaneado sin texto seleccionable, por lo que los extractos utilizados se basan en la lectura de las páginas visibles.</w:t>
      </w:r>
    </w:p>
    <w:p w14:paraId="4EE87328" w14:textId="4D3334DE" w:rsidR="00DD3A5A" w:rsidRPr="00DD3A5A" w:rsidRDefault="00DD3A5A" w:rsidP="00DD3A5A">
      <w:pPr>
        <w:pStyle w:val="Ttulo1"/>
        <w:spacing w:line="240" w:lineRule="auto"/>
        <w:rPr>
          <w:rFonts w:ascii="Times New Roman" w:hAnsi="Times New Roman" w:cs="Times New Roman"/>
          <w:color w:val="auto"/>
          <w:sz w:val="24"/>
          <w:szCs w:val="24"/>
        </w:rPr>
      </w:pPr>
      <w:r w:rsidRPr="00DD3A5A">
        <w:rPr>
          <w:rFonts w:ascii="Times New Roman" w:eastAsia="Times New Roman" w:hAnsi="Times New Roman" w:cs="Times New Roman"/>
          <w:b/>
          <w:bCs/>
          <w:color w:val="auto"/>
          <w:sz w:val="24"/>
          <w:szCs w:val="24"/>
        </w:rPr>
        <w:t>Resultados</w:t>
      </w:r>
    </w:p>
    <w:p w14:paraId="4696A0B8" w14:textId="408018F7" w:rsidR="00DD3A5A" w:rsidRPr="00DD3A5A" w:rsidRDefault="00DD3A5A" w:rsidP="00DD3A5A">
      <w:pPr>
        <w:pStyle w:val="Ttulo2"/>
        <w:spacing w:line="240" w:lineRule="auto"/>
        <w:rPr>
          <w:rFonts w:ascii="Times New Roman" w:hAnsi="Times New Roman" w:cs="Times New Roman"/>
          <w:color w:val="auto"/>
          <w:sz w:val="24"/>
          <w:szCs w:val="24"/>
        </w:rPr>
      </w:pPr>
      <w:r w:rsidRPr="00DD3A5A">
        <w:rPr>
          <w:rFonts w:ascii="Times New Roman" w:eastAsia="Times New Roman" w:hAnsi="Times New Roman" w:cs="Times New Roman"/>
          <w:b/>
          <w:bCs/>
          <w:color w:val="auto"/>
          <w:sz w:val="24"/>
          <w:szCs w:val="24"/>
        </w:rPr>
        <w:t>La arquitectura normativa del período 2010–2017: estandarización y control estatal</w:t>
      </w:r>
    </w:p>
    <w:p w14:paraId="1BA08EDC"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El período 2010–2017 estuvo definido por la LOES de 2010, que consolidó a la educación superior como un bien público y estableció tres instituciones clave para la planificación y regulación del sistema: la SENESCYT como ministerio rector, el CES como organismo de regulación y autorización de carreras, y el CEAACES como entidad de evaluación, acreditación y categorización (LOES, arts. 166–174). Esta arquitectura institucional respondía a una lógica de recuperación del rol estatal frente a la proliferación no regulada de instituciones durante la época neoliberal precedente (Ramírez-Gallegos, 2016).</w:t>
      </w:r>
    </w:p>
    <w:p w14:paraId="7995437E"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La LOES estableció los principios de calidad y pertinencia social como ejes del sistema (arts. 93 y 107), definiendo la evaluación como un proceso de determinación de condiciones de las IES y la acreditación como un reconocimiento temporal de calidad con vigencia de cinco años (art. 95). En 2013, el CEAACES implementó el modelo de evaluación institucional que clasificó a las universidades en cinco categorías conforme a cinco criterios principales: academia, eficiencia, investigación, organización e infraestructura. La aplicación de este modelo implicó la suspensión definitiva de 14 universidades categorizadas en E y tensionó profundamente al sistema.</w:t>
      </w:r>
    </w:p>
    <w:p w14:paraId="31137CE9" w14:textId="34ED1684" w:rsidR="003235FD" w:rsidRDefault="003235FD" w:rsidP="00DD3A5A">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Algunos estudios críticos al proceso, plantearon </w:t>
      </w:r>
      <w:r w:rsidR="00DD3A5A" w:rsidRPr="00DD3A5A">
        <w:rPr>
          <w:rFonts w:ascii="Times New Roman" w:eastAsia="Times New Roman" w:hAnsi="Times New Roman" w:cs="Times New Roman"/>
        </w:rPr>
        <w:t xml:space="preserve">las limitaciones </w:t>
      </w:r>
      <w:r>
        <w:rPr>
          <w:rFonts w:ascii="Times New Roman" w:eastAsia="Times New Roman" w:hAnsi="Times New Roman" w:cs="Times New Roman"/>
        </w:rPr>
        <w:t xml:space="preserve">que percibieron de </w:t>
      </w:r>
      <w:r w:rsidR="00DD3A5A" w:rsidRPr="00DD3A5A">
        <w:rPr>
          <w:rFonts w:ascii="Times New Roman" w:eastAsia="Times New Roman" w:hAnsi="Times New Roman" w:cs="Times New Roman"/>
        </w:rPr>
        <w:t>este modelo. Raza (2019)</w:t>
      </w:r>
      <w:r>
        <w:rPr>
          <w:rFonts w:ascii="Times New Roman" w:eastAsia="Times New Roman" w:hAnsi="Times New Roman" w:cs="Times New Roman"/>
        </w:rPr>
        <w:t xml:space="preserve">, </w:t>
      </w:r>
      <w:r w:rsidR="00DD3A5A" w:rsidRPr="00DD3A5A">
        <w:rPr>
          <w:rFonts w:ascii="Times New Roman" w:eastAsia="Times New Roman" w:hAnsi="Times New Roman" w:cs="Times New Roman"/>
        </w:rPr>
        <w:t xml:space="preserve">señaló que el carácter excesivamente cuantitativo de los sistemas de evaluación tendió a generalizar los resultados y a simplificar la complejidad </w:t>
      </w:r>
      <w:r>
        <w:rPr>
          <w:rFonts w:ascii="Times New Roman" w:eastAsia="Times New Roman" w:hAnsi="Times New Roman" w:cs="Times New Roman"/>
        </w:rPr>
        <w:t xml:space="preserve">y especificidades </w:t>
      </w:r>
      <w:r w:rsidR="00DD3A5A" w:rsidRPr="00DD3A5A">
        <w:rPr>
          <w:rFonts w:ascii="Times New Roman" w:eastAsia="Times New Roman" w:hAnsi="Times New Roman" w:cs="Times New Roman"/>
        </w:rPr>
        <w:t xml:space="preserve">de las IES. </w:t>
      </w:r>
      <w:r w:rsidR="00DD3A5A" w:rsidRPr="003235FD">
        <w:rPr>
          <w:rFonts w:ascii="Times New Roman" w:eastAsia="Times New Roman" w:hAnsi="Times New Roman" w:cs="Times New Roman"/>
        </w:rPr>
        <w:t>Cruz-Sánchez (2016) y Johnson (2017) identificaron que muchos actores universitarios percibieron las nuevas regulaciones como un intento del Estado de controlar las decisiones internas de las instituciones. Carrasco</w:t>
      </w:r>
      <w:r w:rsidR="00DD3A5A" w:rsidRPr="00DD3A5A">
        <w:rPr>
          <w:rFonts w:ascii="Times New Roman" w:eastAsia="Times New Roman" w:hAnsi="Times New Roman" w:cs="Times New Roman"/>
        </w:rPr>
        <w:t xml:space="preserve"> (2017)</w:t>
      </w:r>
      <w:r>
        <w:rPr>
          <w:rFonts w:ascii="Times New Roman" w:eastAsia="Times New Roman" w:hAnsi="Times New Roman" w:cs="Times New Roman"/>
        </w:rPr>
        <w:t xml:space="preserve">, por su </w:t>
      </w:r>
      <w:r>
        <w:rPr>
          <w:rFonts w:ascii="Times New Roman" w:eastAsia="Times New Roman" w:hAnsi="Times New Roman" w:cs="Times New Roman"/>
        </w:rPr>
        <w:lastRenderedPageBreak/>
        <w:t>parte, concluyó que</w:t>
      </w:r>
      <w:r w:rsidR="00DD3A5A" w:rsidRPr="00DD3A5A">
        <w:rPr>
          <w:rFonts w:ascii="Times New Roman" w:eastAsia="Times New Roman" w:hAnsi="Times New Roman" w:cs="Times New Roman"/>
        </w:rPr>
        <w:t xml:space="preserve"> la aplicación homogénea del esquema evaluativo ignoró las particularidades de cada universidad, generando efectos no previstos en la autonomía y la cultura organizacional. En conjunto, estas críticas apuntan a</w:t>
      </w:r>
      <w:r>
        <w:rPr>
          <w:rFonts w:ascii="Times New Roman" w:eastAsia="Times New Roman" w:hAnsi="Times New Roman" w:cs="Times New Roman"/>
        </w:rPr>
        <w:t xml:space="preserve">l isomorfismo estructural o institucional, entendida como </w:t>
      </w:r>
      <w:r w:rsidRPr="00DD3A5A">
        <w:rPr>
          <w:rFonts w:ascii="Times New Roman" w:eastAsia="Times New Roman" w:hAnsi="Times New Roman" w:cs="Times New Roman"/>
        </w:rPr>
        <w:t>la presión para que todas las universidades se adapten de manera similar a los requerimientos de acreditación</w:t>
      </w:r>
      <w:r>
        <w:rPr>
          <w:rFonts w:ascii="Times New Roman" w:eastAsia="Times New Roman" w:hAnsi="Times New Roman" w:cs="Times New Roman"/>
        </w:rPr>
        <w:t xml:space="preserve"> (Raza, 2019; Buendía, 2014; Suárez-Landazábal, 2023).</w:t>
      </w:r>
    </w:p>
    <w:p w14:paraId="561AC90C" w14:textId="0BB32F12" w:rsidR="00DD3A5A" w:rsidRPr="003235FD" w:rsidRDefault="00DD3A5A" w:rsidP="00DD3A5A">
      <w:pPr>
        <w:spacing w:line="240" w:lineRule="auto"/>
        <w:jc w:val="both"/>
        <w:rPr>
          <w:rFonts w:ascii="Times New Roman" w:eastAsia="Times New Roman" w:hAnsi="Times New Roman" w:cs="Times New Roman"/>
        </w:rPr>
      </w:pPr>
      <w:r w:rsidRPr="00DD3A5A">
        <w:rPr>
          <w:rFonts w:ascii="Times New Roman" w:eastAsia="Times New Roman" w:hAnsi="Times New Roman" w:cs="Times New Roman"/>
        </w:rPr>
        <w:t xml:space="preserve">No obstante, </w:t>
      </w:r>
      <w:r w:rsidR="003235FD">
        <w:rPr>
          <w:rFonts w:ascii="Times New Roman" w:eastAsia="Times New Roman" w:hAnsi="Times New Roman" w:cs="Times New Roman"/>
        </w:rPr>
        <w:t xml:space="preserve">otros estudios recuperan los razgos positivos percibidos como resultados del proceso, </w:t>
      </w:r>
      <w:r w:rsidR="003235FD" w:rsidRPr="003235FD">
        <w:rPr>
          <w:rFonts w:ascii="Times New Roman" w:eastAsia="Times New Roman" w:hAnsi="Times New Roman" w:cs="Times New Roman"/>
        </w:rPr>
        <w:t>Cruz-Mera y Ponce-Andrade (2019) / Dillon et al. (2020)</w:t>
      </w:r>
      <w:r w:rsidR="003235FD">
        <w:rPr>
          <w:rFonts w:ascii="Times New Roman" w:eastAsia="Times New Roman" w:hAnsi="Times New Roman" w:cs="Times New Roman"/>
        </w:rPr>
        <w:t>, por ejemplo, reconocen</w:t>
      </w:r>
      <w:r w:rsidR="003235FD" w:rsidRPr="003235FD">
        <w:rPr>
          <w:rFonts w:ascii="Times New Roman" w:eastAsia="Times New Roman" w:hAnsi="Times New Roman" w:cs="Times New Roman"/>
        </w:rPr>
        <w:t xml:space="preserve"> que el sistema obligatorio liderado por el CEAACES permitió identificar brechas críticas y fomentar la mejora continua en aspectos tangibles como la infraestructura universitaria y los procesos de contratación docente.</w:t>
      </w:r>
      <w:r w:rsidR="003235FD">
        <w:rPr>
          <w:rFonts w:ascii="Times New Roman" w:eastAsia="Times New Roman" w:hAnsi="Times New Roman" w:cs="Times New Roman"/>
        </w:rPr>
        <w:t xml:space="preserve"> De la misma manera, </w:t>
      </w:r>
      <w:r w:rsidR="003235FD" w:rsidRPr="003235FD">
        <w:rPr>
          <w:rFonts w:ascii="Times New Roman" w:eastAsia="Times New Roman" w:hAnsi="Times New Roman" w:cs="Times New Roman"/>
        </w:rPr>
        <w:t>Anchundia-Carrasco y Santos-Jiménez (2020)</w:t>
      </w:r>
      <w:r w:rsidR="003235FD">
        <w:rPr>
          <w:rFonts w:ascii="Times New Roman" w:eastAsia="Times New Roman" w:hAnsi="Times New Roman" w:cs="Times New Roman"/>
        </w:rPr>
        <w:t>, d</w:t>
      </w:r>
      <w:r w:rsidR="003235FD" w:rsidRPr="003235FD">
        <w:rPr>
          <w:rFonts w:ascii="Times New Roman" w:eastAsia="Times New Roman" w:hAnsi="Times New Roman" w:cs="Times New Roman"/>
        </w:rPr>
        <w:t>estacan que los procesos de acreditación en Ecuador han sido un estímulo positivo al incentivar la capacitación, la profesionalización del cuerpo docente y la mejora en la calidad de la enseñanza universitaria.</w:t>
      </w:r>
      <w:r w:rsidR="003235FD">
        <w:rPr>
          <w:rFonts w:ascii="Times New Roman" w:eastAsia="Times New Roman" w:hAnsi="Times New Roman" w:cs="Times New Roman"/>
        </w:rPr>
        <w:t xml:space="preserve"> Respecto a los aprendizajes institucionales, el estudio de Cabrera y Jerves (2022), ilustra cómo el proceso evaluativo actuó como catalizador de reformas en gestión académica, investigación, infraestructura y cualificación docente. </w:t>
      </w:r>
      <w:r w:rsidRPr="00DD3A5A">
        <w:rPr>
          <w:rFonts w:ascii="Times New Roman" w:eastAsia="Times New Roman" w:hAnsi="Times New Roman" w:cs="Times New Roman"/>
        </w:rPr>
        <w:t>Esto sugiere que el modelo, a pesar de sus limitaciones, cumplió una función de dinamización del sistema que no puede ser ignorada en el balance comparado.</w:t>
      </w:r>
    </w:p>
    <w:p w14:paraId="5C9FB816" w14:textId="4727B2CA" w:rsidR="00DD3A5A" w:rsidRPr="00DD3A5A" w:rsidRDefault="00DD3A5A" w:rsidP="00DD3A5A">
      <w:pPr>
        <w:pStyle w:val="Ttulo2"/>
        <w:spacing w:line="240" w:lineRule="auto"/>
        <w:rPr>
          <w:rFonts w:ascii="Times New Roman" w:hAnsi="Times New Roman" w:cs="Times New Roman"/>
          <w:color w:val="auto"/>
          <w:sz w:val="24"/>
          <w:szCs w:val="24"/>
        </w:rPr>
      </w:pPr>
      <w:r w:rsidRPr="00DD3A5A">
        <w:rPr>
          <w:rFonts w:ascii="Times New Roman" w:eastAsia="Times New Roman" w:hAnsi="Times New Roman" w:cs="Times New Roman"/>
          <w:b/>
          <w:bCs/>
          <w:color w:val="auto"/>
          <w:sz w:val="24"/>
          <w:szCs w:val="24"/>
        </w:rPr>
        <w:t>El giro normativo del período 201</w:t>
      </w:r>
      <w:r w:rsidR="003235FD">
        <w:rPr>
          <w:rFonts w:ascii="Times New Roman" w:eastAsia="Times New Roman" w:hAnsi="Times New Roman" w:cs="Times New Roman"/>
          <w:b/>
          <w:bCs/>
          <w:color w:val="auto"/>
          <w:sz w:val="24"/>
          <w:szCs w:val="24"/>
        </w:rPr>
        <w:t>8</w:t>
      </w:r>
      <w:r w:rsidRPr="00DD3A5A">
        <w:rPr>
          <w:rFonts w:ascii="Times New Roman" w:eastAsia="Times New Roman" w:hAnsi="Times New Roman" w:cs="Times New Roman"/>
          <w:b/>
          <w:bCs/>
          <w:color w:val="auto"/>
          <w:sz w:val="24"/>
          <w:szCs w:val="24"/>
        </w:rPr>
        <w:t>–2025: aseguramiento interno y gobernanza por planes</w:t>
      </w:r>
    </w:p>
    <w:p w14:paraId="7665FEF4" w14:textId="1264D831" w:rsidR="00DD3A5A" w:rsidRPr="003235FD" w:rsidRDefault="00DD3A5A" w:rsidP="00DD3A5A">
      <w:pPr>
        <w:spacing w:line="240" w:lineRule="auto"/>
        <w:jc w:val="both"/>
        <w:rPr>
          <w:rFonts w:ascii="Times New Roman" w:eastAsia="Times New Roman" w:hAnsi="Times New Roman" w:cs="Times New Roman"/>
        </w:rPr>
      </w:pPr>
      <w:r w:rsidRPr="00DD3A5A">
        <w:rPr>
          <w:rFonts w:ascii="Times New Roman" w:eastAsia="Times New Roman" w:hAnsi="Times New Roman" w:cs="Times New Roman"/>
        </w:rPr>
        <w:t>El conjunto normativo del período 201</w:t>
      </w:r>
      <w:r w:rsidR="003235FD">
        <w:rPr>
          <w:rFonts w:ascii="Times New Roman" w:eastAsia="Times New Roman" w:hAnsi="Times New Roman" w:cs="Times New Roman"/>
        </w:rPr>
        <w:t>8</w:t>
      </w:r>
      <w:r w:rsidRPr="00DD3A5A">
        <w:rPr>
          <w:rFonts w:ascii="Times New Roman" w:eastAsia="Times New Roman" w:hAnsi="Times New Roman" w:cs="Times New Roman"/>
        </w:rPr>
        <w:t>–2025</w:t>
      </w:r>
      <w:r w:rsidR="003235FD">
        <w:rPr>
          <w:rFonts w:ascii="Times New Roman" w:eastAsia="Times New Roman" w:hAnsi="Times New Roman" w:cs="Times New Roman"/>
        </w:rPr>
        <w:t xml:space="preserve">, </w:t>
      </w:r>
      <w:r w:rsidRPr="00DD3A5A">
        <w:rPr>
          <w:rFonts w:ascii="Times New Roman" w:eastAsia="Times New Roman" w:hAnsi="Times New Roman" w:cs="Times New Roman"/>
        </w:rPr>
        <w:t>evidencia un desplazamiento conceptual y procedimental respecto al régimen anterior</w:t>
      </w:r>
      <w:r w:rsidR="003235FD">
        <w:rPr>
          <w:rFonts w:ascii="Times New Roman" w:eastAsia="Times New Roman" w:hAnsi="Times New Roman" w:cs="Times New Roman"/>
        </w:rPr>
        <w:t xml:space="preserve">, marcando un proceso de transición hacia la cualificación académica establecida en las reformas de la LOES del 2018. </w:t>
      </w:r>
      <w:r w:rsidRPr="00DD3A5A">
        <w:rPr>
          <w:rFonts w:ascii="Times New Roman" w:eastAsia="Times New Roman" w:hAnsi="Times New Roman" w:cs="Times New Roman"/>
        </w:rPr>
        <w:t>El cambio más estructural radica en la sustitución de</w:t>
      </w:r>
      <w:r w:rsidR="003235FD">
        <w:rPr>
          <w:rFonts w:ascii="Times New Roman" w:eastAsia="Times New Roman" w:hAnsi="Times New Roman" w:cs="Times New Roman"/>
        </w:rPr>
        <w:t xml:space="preserve"> un </w:t>
      </w:r>
      <w:r w:rsidRPr="00DD3A5A">
        <w:rPr>
          <w:rFonts w:ascii="Times New Roman" w:eastAsia="Times New Roman" w:hAnsi="Times New Roman" w:cs="Times New Roman"/>
        </w:rPr>
        <w:t xml:space="preserve">modelo de evaluación puntual con consecuencias de categorización como tecnología regulatoria central, por </w:t>
      </w:r>
      <w:r w:rsidR="003235FD">
        <w:rPr>
          <w:rFonts w:ascii="Times New Roman" w:eastAsia="Times New Roman" w:hAnsi="Times New Roman" w:cs="Times New Roman"/>
        </w:rPr>
        <w:t xml:space="preserve">otro que plantea, al menos en el papel, </w:t>
      </w:r>
      <w:r w:rsidRPr="00DD3A5A">
        <w:rPr>
          <w:rFonts w:ascii="Times New Roman" w:eastAsia="Times New Roman" w:hAnsi="Times New Roman" w:cs="Times New Roman"/>
        </w:rPr>
        <w:t>un ciclo integrado de gobernanza que artic</w:t>
      </w:r>
      <w:r w:rsidR="003235FD">
        <w:rPr>
          <w:rFonts w:ascii="Times New Roman" w:eastAsia="Times New Roman" w:hAnsi="Times New Roman" w:cs="Times New Roman"/>
        </w:rPr>
        <w:t xml:space="preserve">ule, </w:t>
      </w:r>
      <w:r w:rsidRPr="00DD3A5A">
        <w:rPr>
          <w:rFonts w:ascii="Times New Roman" w:eastAsia="Times New Roman" w:hAnsi="Times New Roman" w:cs="Times New Roman"/>
        </w:rPr>
        <w:t>evaluación externa, planes institucionales de aseguramiento y mejoramiento, indicadores de seguimiento y mecanismos periódicos de reporte.</w:t>
      </w:r>
    </w:p>
    <w:p w14:paraId="41F2C41C" w14:textId="72FA9A02"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 xml:space="preserve">La Política Institucional de Aseguramiento de la Calidad (CACES, 2022) </w:t>
      </w:r>
      <w:r w:rsidR="003235FD">
        <w:rPr>
          <w:rFonts w:ascii="Times New Roman" w:eastAsia="Times New Roman" w:hAnsi="Times New Roman" w:cs="Times New Roman"/>
        </w:rPr>
        <w:t xml:space="preserve">intenta </w:t>
      </w:r>
      <w:r w:rsidRPr="00DD3A5A">
        <w:rPr>
          <w:rFonts w:ascii="Times New Roman" w:eastAsia="Times New Roman" w:hAnsi="Times New Roman" w:cs="Times New Roman"/>
        </w:rPr>
        <w:t>formaliza</w:t>
      </w:r>
      <w:r w:rsidR="003235FD">
        <w:rPr>
          <w:rFonts w:ascii="Times New Roman" w:eastAsia="Times New Roman" w:hAnsi="Times New Roman" w:cs="Times New Roman"/>
        </w:rPr>
        <w:t>r</w:t>
      </w:r>
      <w:r w:rsidRPr="00DD3A5A">
        <w:rPr>
          <w:rFonts w:ascii="Times New Roman" w:eastAsia="Times New Roman" w:hAnsi="Times New Roman" w:cs="Times New Roman"/>
        </w:rPr>
        <w:t xml:space="preserve"> este giro al declarar </w:t>
      </w:r>
      <w:r w:rsidR="003235FD">
        <w:rPr>
          <w:rFonts w:ascii="Times New Roman" w:eastAsia="Times New Roman" w:hAnsi="Times New Roman" w:cs="Times New Roman"/>
        </w:rPr>
        <w:t xml:space="preserve">a </w:t>
      </w:r>
      <w:r w:rsidRPr="00DD3A5A">
        <w:rPr>
          <w:rFonts w:ascii="Times New Roman" w:eastAsia="Times New Roman" w:hAnsi="Times New Roman" w:cs="Times New Roman"/>
        </w:rPr>
        <w:t xml:space="preserve">las IES </w:t>
      </w:r>
      <w:r w:rsidR="003235FD">
        <w:rPr>
          <w:rFonts w:ascii="Times New Roman" w:eastAsia="Times New Roman" w:hAnsi="Times New Roman" w:cs="Times New Roman"/>
        </w:rPr>
        <w:t>como</w:t>
      </w:r>
      <w:r w:rsidRPr="00DD3A5A">
        <w:rPr>
          <w:rFonts w:ascii="Times New Roman" w:eastAsia="Times New Roman" w:hAnsi="Times New Roman" w:cs="Times New Roman"/>
        </w:rPr>
        <w:t xml:space="preserve"> las principales responsable de la calidad de su propuesta académica y que el aseguramiento "coadyuva" a la construcción de una cultura de calidad. Esta formulación representa una novedad significativa respecto al período anterior, en el que el discurso regulatorio enfatizaba el control externo por sobre la responsabilidad institucional. No obstante, este principio de autonomía responsable convive con mecanismos que conservan un alto nivel de dirección central: plazos definidos para la elaboración de planes de acción (60 días según el Reglamento UEP 2023, art. 41), obligación de cargar anualmente información cuantitativa en plataformas institucionales, y cláusulas que dejan al Pleno del CACES la facultad de resolver cualquier situación no prevista en la normativa.</w:t>
      </w:r>
    </w:p>
    <w:p w14:paraId="195A4E8D" w14:textId="2770E58C"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 xml:space="preserve">En materia de docencia, el cambio más relevante es el desplazamiento hacia los resultados de aprendizaje como componente explícito del proceso de acreditación de carreras. El Reglamento de Evaluación Externa con fines de Acreditación de Carreras (CACES, 2023, arts. 34–35) formaliza la producción de informes de evaluación del entorno de aprendizaje </w:t>
      </w:r>
      <w:r w:rsidRPr="00DD3A5A">
        <w:rPr>
          <w:rFonts w:ascii="Times New Roman" w:eastAsia="Times New Roman" w:hAnsi="Times New Roman" w:cs="Times New Roman"/>
        </w:rPr>
        <w:lastRenderedPageBreak/>
        <w:t xml:space="preserve">y de resultados de aprendizaje por </w:t>
      </w:r>
      <w:r w:rsidR="003235FD">
        <w:rPr>
          <w:rFonts w:ascii="Times New Roman" w:eastAsia="Times New Roman" w:hAnsi="Times New Roman" w:cs="Times New Roman"/>
        </w:rPr>
        <w:t xml:space="preserve">cada </w:t>
      </w:r>
      <w:r w:rsidRPr="00DD3A5A">
        <w:rPr>
          <w:rFonts w:ascii="Times New Roman" w:eastAsia="Times New Roman" w:hAnsi="Times New Roman" w:cs="Times New Roman"/>
        </w:rPr>
        <w:t xml:space="preserve">carrera evaluada, lo que contrasta con el modelo anterior, en el que la docencia </w:t>
      </w:r>
      <w:r w:rsidR="003235FD">
        <w:rPr>
          <w:rFonts w:ascii="Times New Roman" w:eastAsia="Times New Roman" w:hAnsi="Times New Roman" w:cs="Times New Roman"/>
        </w:rPr>
        <w:t>era valorada</w:t>
      </w:r>
      <w:r w:rsidRPr="00DD3A5A">
        <w:rPr>
          <w:rFonts w:ascii="Times New Roman" w:eastAsia="Times New Roman" w:hAnsi="Times New Roman" w:cs="Times New Roman"/>
        </w:rPr>
        <w:t xml:space="preserve"> </w:t>
      </w:r>
      <w:r w:rsidR="003235FD">
        <w:rPr>
          <w:rFonts w:ascii="Times New Roman" w:eastAsia="Times New Roman" w:hAnsi="Times New Roman" w:cs="Times New Roman"/>
        </w:rPr>
        <w:t>d</w:t>
      </w:r>
      <w:r w:rsidRPr="00DD3A5A">
        <w:rPr>
          <w:rFonts w:ascii="Times New Roman" w:eastAsia="Times New Roman" w:hAnsi="Times New Roman" w:cs="Times New Roman"/>
        </w:rPr>
        <w:t>en</w:t>
      </w:r>
      <w:r w:rsidR="003235FD">
        <w:rPr>
          <w:rFonts w:ascii="Times New Roman" w:eastAsia="Times New Roman" w:hAnsi="Times New Roman" w:cs="Times New Roman"/>
        </w:rPr>
        <w:t>tro</w:t>
      </w:r>
      <w:r w:rsidRPr="00DD3A5A">
        <w:rPr>
          <w:rFonts w:ascii="Times New Roman" w:eastAsia="Times New Roman" w:hAnsi="Times New Roman" w:cs="Times New Roman"/>
        </w:rPr>
        <w:t xml:space="preserve"> </w:t>
      </w:r>
      <w:r w:rsidR="003235FD">
        <w:rPr>
          <w:rFonts w:ascii="Times New Roman" w:eastAsia="Times New Roman" w:hAnsi="Times New Roman" w:cs="Times New Roman"/>
        </w:rPr>
        <w:t>d</w:t>
      </w:r>
      <w:r w:rsidRPr="00DD3A5A">
        <w:rPr>
          <w:rFonts w:ascii="Times New Roman" w:eastAsia="Times New Roman" w:hAnsi="Times New Roman" w:cs="Times New Roman"/>
        </w:rPr>
        <w:t>el criterio "academia"</w:t>
      </w:r>
      <w:r w:rsidR="003235FD">
        <w:rPr>
          <w:rFonts w:ascii="Times New Roman" w:eastAsia="Times New Roman" w:hAnsi="Times New Roman" w:cs="Times New Roman"/>
        </w:rPr>
        <w:t xml:space="preserve"> en el marco</w:t>
      </w:r>
      <w:r w:rsidRPr="00DD3A5A">
        <w:rPr>
          <w:rFonts w:ascii="Times New Roman" w:eastAsia="Times New Roman" w:hAnsi="Times New Roman" w:cs="Times New Roman"/>
        </w:rPr>
        <w:t xml:space="preserve"> de una evaluación institucional agregada. Las carreras no acreditadas deben presentar un plan de mejoramiento con indicadores específicos de entorno y resultados de aprendizaje (arts. 41–42), </w:t>
      </w:r>
      <w:r w:rsidR="003235FD">
        <w:rPr>
          <w:rFonts w:ascii="Times New Roman" w:eastAsia="Times New Roman" w:hAnsi="Times New Roman" w:cs="Times New Roman"/>
        </w:rPr>
        <w:t>morigerando</w:t>
      </w:r>
      <w:r w:rsidRPr="00DD3A5A">
        <w:rPr>
          <w:rFonts w:ascii="Times New Roman" w:eastAsia="Times New Roman" w:hAnsi="Times New Roman" w:cs="Times New Roman"/>
        </w:rPr>
        <w:t xml:space="preserve"> el horizonte </w:t>
      </w:r>
      <w:r w:rsidR="003235FD">
        <w:rPr>
          <w:rFonts w:ascii="Times New Roman" w:eastAsia="Times New Roman" w:hAnsi="Times New Roman" w:cs="Times New Roman"/>
        </w:rPr>
        <w:t>punitivo</w:t>
      </w:r>
      <w:r w:rsidRPr="00DD3A5A">
        <w:rPr>
          <w:rFonts w:ascii="Times New Roman" w:eastAsia="Times New Roman" w:hAnsi="Times New Roman" w:cs="Times New Roman"/>
        </w:rPr>
        <w:t xml:space="preserve"> o</w:t>
      </w:r>
      <w:r w:rsidR="003235FD">
        <w:rPr>
          <w:rFonts w:ascii="Times New Roman" w:eastAsia="Times New Roman" w:hAnsi="Times New Roman" w:cs="Times New Roman"/>
        </w:rPr>
        <w:t xml:space="preserve"> de </w:t>
      </w:r>
      <w:r w:rsidRPr="00DD3A5A">
        <w:rPr>
          <w:rFonts w:ascii="Times New Roman" w:eastAsia="Times New Roman" w:hAnsi="Times New Roman" w:cs="Times New Roman"/>
        </w:rPr>
        <w:t>reestructuración</w:t>
      </w:r>
      <w:r w:rsidR="003235FD">
        <w:rPr>
          <w:rFonts w:ascii="Times New Roman" w:eastAsia="Times New Roman" w:hAnsi="Times New Roman" w:cs="Times New Roman"/>
        </w:rPr>
        <w:t xml:space="preserve"> integral</w:t>
      </w:r>
      <w:r w:rsidRPr="00DD3A5A">
        <w:rPr>
          <w:rFonts w:ascii="Times New Roman" w:eastAsia="Times New Roman" w:hAnsi="Times New Roman" w:cs="Times New Roman"/>
        </w:rPr>
        <w:t xml:space="preserve"> que caracterizaba al modelo anterior </w:t>
      </w:r>
      <w:r w:rsidR="003235FD">
        <w:rPr>
          <w:rFonts w:ascii="Times New Roman" w:eastAsia="Times New Roman" w:hAnsi="Times New Roman" w:cs="Times New Roman"/>
        </w:rPr>
        <w:t>en función de</w:t>
      </w:r>
      <w:r w:rsidRPr="00DD3A5A">
        <w:rPr>
          <w:rFonts w:ascii="Times New Roman" w:eastAsia="Times New Roman" w:hAnsi="Times New Roman" w:cs="Times New Roman"/>
        </w:rPr>
        <w:t xml:space="preserve"> una lógica de mejora escalonada.</w:t>
      </w:r>
    </w:p>
    <w:p w14:paraId="38842BAC" w14:textId="573F8EA0" w:rsidR="00DD3A5A" w:rsidRPr="003235FD" w:rsidRDefault="00DD3A5A" w:rsidP="00DD3A5A">
      <w:pPr>
        <w:spacing w:line="240" w:lineRule="auto"/>
        <w:jc w:val="both"/>
        <w:rPr>
          <w:rFonts w:ascii="Times New Roman" w:eastAsia="Times New Roman" w:hAnsi="Times New Roman" w:cs="Times New Roman"/>
        </w:rPr>
      </w:pPr>
      <w:r w:rsidRPr="00DD3A5A">
        <w:rPr>
          <w:rFonts w:ascii="Times New Roman" w:eastAsia="Times New Roman" w:hAnsi="Times New Roman" w:cs="Times New Roman"/>
        </w:rPr>
        <w:t xml:space="preserve">En materia de investigación, la normativa reciente </w:t>
      </w:r>
      <w:r w:rsidR="003235FD">
        <w:rPr>
          <w:rFonts w:ascii="Times New Roman" w:eastAsia="Times New Roman" w:hAnsi="Times New Roman" w:cs="Times New Roman"/>
        </w:rPr>
        <w:t xml:space="preserve">incorpora, como novedad, la inclusión de algunas capas regulatorias específicas que, a pesar de no existir en el modelo anterior, confluyen en elementos que fueron fuertemente criticados por la comunidad académica ecuatoriana, tal es el caso de la incorporación de la discusión sobre el uso del factor de impacto  y las métricas bibliométricas como referentes de calidad, incluidas en la Guía Metodológica de Revistas (CACES, 2019), intensificando </w:t>
      </w:r>
      <w:r w:rsidR="003235FD" w:rsidRPr="00DD3A5A">
        <w:rPr>
          <w:rFonts w:ascii="Times New Roman" w:eastAsia="Times New Roman" w:hAnsi="Times New Roman" w:cs="Times New Roman"/>
        </w:rPr>
        <w:t>la tendencia hacia la evaluación por canales de publicación y rankings.</w:t>
      </w:r>
      <w:r w:rsidR="003235FD">
        <w:rPr>
          <w:rFonts w:ascii="Times New Roman" w:eastAsia="Times New Roman" w:hAnsi="Times New Roman" w:cs="Times New Roman"/>
        </w:rPr>
        <w:t xml:space="preserve"> Así mismo, e</w:t>
      </w:r>
      <w:r w:rsidR="003235FD" w:rsidRPr="00DD3A5A">
        <w:rPr>
          <w:rFonts w:ascii="Times New Roman" w:eastAsia="Times New Roman" w:hAnsi="Times New Roman" w:cs="Times New Roman"/>
        </w:rPr>
        <w:t>l Reglamento de Evaluación y Validación de Revistas Científicas y Académicas (CACES, 2019) crea un procedimiento voluntario de evaluación editorial, con verificación formal de criterios de admisión (art. 7)</w:t>
      </w:r>
      <w:r w:rsidR="003235FD">
        <w:rPr>
          <w:rFonts w:ascii="Times New Roman" w:eastAsia="Times New Roman" w:hAnsi="Times New Roman" w:cs="Times New Roman"/>
        </w:rPr>
        <w:t xml:space="preserve">, con el que se pretende fortalecer los procesos editoriales y garantizar la calidad de la producción científica que se difunde en las IES ecuatorianas. </w:t>
      </w:r>
      <w:r w:rsidRPr="00DD3A5A">
        <w:rPr>
          <w:rFonts w:ascii="Times New Roman" w:eastAsia="Times New Roman" w:hAnsi="Times New Roman" w:cs="Times New Roman"/>
        </w:rPr>
        <w:t>Adicionalmente, el Reglamento de Cualificación Académica (CACES, 2024, art. 3c) introduce un instrumento diferenciado de la acreditación ordinaria, que reconoce explícitamente la "calidad superior en investigación" y condiciona la oferta de nuevos programas de doctorado a la obtención de este estatus (Disposición Quinta).</w:t>
      </w:r>
    </w:p>
    <w:p w14:paraId="77A9C809" w14:textId="41380442" w:rsidR="003235FD" w:rsidRDefault="00DD3A5A" w:rsidP="00DD3A5A">
      <w:pPr>
        <w:spacing w:line="240" w:lineRule="auto"/>
        <w:jc w:val="both"/>
        <w:rPr>
          <w:rFonts w:ascii="Times New Roman" w:eastAsia="Times New Roman" w:hAnsi="Times New Roman" w:cs="Times New Roman"/>
        </w:rPr>
      </w:pPr>
      <w:r w:rsidRPr="00DD3A5A">
        <w:rPr>
          <w:rFonts w:ascii="Times New Roman" w:eastAsia="Times New Roman" w:hAnsi="Times New Roman" w:cs="Times New Roman"/>
        </w:rPr>
        <w:t>En materia de vinculación con la sociedad, la normativa reciente</w:t>
      </w:r>
      <w:r w:rsidR="003235FD">
        <w:rPr>
          <w:rFonts w:ascii="Times New Roman" w:eastAsia="Times New Roman" w:hAnsi="Times New Roman" w:cs="Times New Roman"/>
        </w:rPr>
        <w:t>,</w:t>
      </w:r>
      <w:r w:rsidRPr="00DD3A5A">
        <w:rPr>
          <w:rFonts w:ascii="Times New Roman" w:eastAsia="Times New Roman" w:hAnsi="Times New Roman" w:cs="Times New Roman"/>
        </w:rPr>
        <w:t xml:space="preserve"> </w:t>
      </w:r>
      <w:r w:rsidR="003235FD">
        <w:rPr>
          <w:rFonts w:ascii="Times New Roman" w:eastAsia="Times New Roman" w:hAnsi="Times New Roman" w:cs="Times New Roman"/>
        </w:rPr>
        <w:t xml:space="preserve">la reafirma como garantía de calidad dentro del aseguramiento integral </w:t>
      </w:r>
      <w:r w:rsidR="003235FD" w:rsidRPr="00DD3A5A">
        <w:rPr>
          <w:rFonts w:ascii="Times New Roman" w:eastAsia="Times New Roman" w:hAnsi="Times New Roman" w:cs="Times New Roman"/>
        </w:rPr>
        <w:t>(Política institucional CACES, 2022, sección 5)</w:t>
      </w:r>
      <w:r w:rsidR="003235FD">
        <w:rPr>
          <w:rFonts w:ascii="Times New Roman" w:eastAsia="Times New Roman" w:hAnsi="Times New Roman" w:cs="Times New Roman"/>
        </w:rPr>
        <w:t>, en balance armónico con la docencia e investigación; lo que ciertamente, mejora su trazabilidad, sin embargo, corre el riesgo de formalizarse como cumplimiento procedural en detrimento de su impacto sustantivo.</w:t>
      </w:r>
    </w:p>
    <w:p w14:paraId="3D409AFF" w14:textId="6B87813A" w:rsidR="00DD3A5A" w:rsidRPr="00DD3A5A" w:rsidRDefault="00DD3A5A" w:rsidP="00DD3A5A">
      <w:pPr>
        <w:pStyle w:val="Ttulo2"/>
        <w:spacing w:line="240" w:lineRule="auto"/>
        <w:rPr>
          <w:rFonts w:ascii="Times New Roman" w:hAnsi="Times New Roman" w:cs="Times New Roman"/>
          <w:color w:val="auto"/>
          <w:sz w:val="24"/>
          <w:szCs w:val="24"/>
        </w:rPr>
      </w:pPr>
      <w:r w:rsidRPr="00DD3A5A">
        <w:rPr>
          <w:rFonts w:ascii="Times New Roman" w:eastAsia="Times New Roman" w:hAnsi="Times New Roman" w:cs="Times New Roman"/>
          <w:b/>
          <w:bCs/>
          <w:color w:val="auto"/>
          <w:sz w:val="24"/>
          <w:szCs w:val="24"/>
        </w:rPr>
        <w:t>Continuidades, modificaciones y novedades: análisis comparado</w:t>
      </w:r>
    </w:p>
    <w:p w14:paraId="7286FBBB"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El análisis comparado de los dos períodos permite identificar tres tipos de relaciones entre la normativa 2010–2017 y la del período 2019–2025.</w:t>
      </w:r>
    </w:p>
    <w:p w14:paraId="3F741FA2"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Las continuidades se observan principalmente en la reafirmación de las funciones sustantivas —docencia, investigación y vinculación— como marco articulador del aseguramiento (Política institucional CACES, 2022; LOES, art. 117, citada en los considerandos normativos). También persiste la centralidad del organismo evaluador como rector del sistema, aunque con una redistribución funcional que incorpora comisiones especializadas para la acreditación de carreras y la cualificación académica.</w:t>
      </w:r>
    </w:p>
    <w:p w14:paraId="64EE5680" w14:textId="513D21AF"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Las modificaciones son más numerosas y sustantivas. El modelo de gobernanza pasa de la categorización institucional como hito regulatorio central a la gestión por planes e indicadores con seguimiento periódico (Reglamento UEP 2019, arts. 32–33; Reglamento UEP 2023, art. 41). La lógica de sanción frente al incumplimiento —que en el período anterior se expresaba en cierres y reestructuraciones— se desplaza hacia planes de mejoramiento escalonados para las carreras no acreditadas (Reglamento carreras 2023, arts. 41–42). El control ex</w:t>
      </w:r>
      <w:r w:rsidR="003235FD">
        <w:rPr>
          <w:rFonts w:ascii="Times New Roman" w:eastAsia="Times New Roman" w:hAnsi="Times New Roman" w:cs="Times New Roman"/>
        </w:rPr>
        <w:t>terno</w:t>
      </w:r>
      <w:r w:rsidRPr="00DD3A5A">
        <w:rPr>
          <w:rFonts w:ascii="Times New Roman" w:eastAsia="Times New Roman" w:hAnsi="Times New Roman" w:cs="Times New Roman"/>
        </w:rPr>
        <w:t xml:space="preserve"> ante</w:t>
      </w:r>
      <w:r w:rsidR="003235FD">
        <w:rPr>
          <w:rFonts w:ascii="Times New Roman" w:eastAsia="Times New Roman" w:hAnsi="Times New Roman" w:cs="Times New Roman"/>
        </w:rPr>
        <w:t>s</w:t>
      </w:r>
      <w:r w:rsidRPr="00DD3A5A">
        <w:rPr>
          <w:rFonts w:ascii="Times New Roman" w:eastAsia="Times New Roman" w:hAnsi="Times New Roman" w:cs="Times New Roman"/>
        </w:rPr>
        <w:t xml:space="preserve"> de la creación de nuevas instituciones se formaliza y especifica, incluyendo verificación curricular-pedagógica y de composición de la planta docente (Instructivo informes previos, 2017, art. 6). La noción misma de acreditación se </w:t>
      </w:r>
      <w:r w:rsidRPr="00DD3A5A">
        <w:rPr>
          <w:rFonts w:ascii="Times New Roman" w:eastAsia="Times New Roman" w:hAnsi="Times New Roman" w:cs="Times New Roman"/>
        </w:rPr>
        <w:lastRenderedPageBreak/>
        <w:t>amplía, al incorporar el reconocimiento de acreditaciones extranjeras como ruta alternativa de cumplimiento (Reglamento reconocimiento, 2023/2025).</w:t>
      </w:r>
    </w:p>
    <w:p w14:paraId="267965BC"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Las novedades más significativas son: la cualificación académica como instrumento diferenciado que jerarquiza la excelencia investigativa fuera del ciclo ordinario de acreditación (Reglamento cualificación 2024); la evaluación y validación de revistas científicas como dispositivo específico de gobernanza de la producción científica (Reglamento revistas 2019); y la introducción de métricas bibliométricas explícitas como referentes de calidad de la investigación (Guía metodológica de revistas 2019).</w:t>
      </w:r>
    </w:p>
    <w:p w14:paraId="1A40B318" w14:textId="699EEAD3" w:rsidR="00DD3A5A" w:rsidRPr="00DD3A5A" w:rsidRDefault="00DD3A5A" w:rsidP="00DD3A5A">
      <w:pPr>
        <w:pStyle w:val="Ttulo2"/>
        <w:spacing w:line="240" w:lineRule="auto"/>
        <w:rPr>
          <w:rFonts w:ascii="Times New Roman" w:hAnsi="Times New Roman" w:cs="Times New Roman"/>
          <w:color w:val="auto"/>
          <w:sz w:val="24"/>
          <w:szCs w:val="24"/>
        </w:rPr>
      </w:pPr>
      <w:r w:rsidRPr="00DD3A5A">
        <w:rPr>
          <w:rFonts w:ascii="Times New Roman" w:eastAsia="Times New Roman" w:hAnsi="Times New Roman" w:cs="Times New Roman"/>
          <w:b/>
          <w:bCs/>
          <w:color w:val="auto"/>
          <w:sz w:val="24"/>
          <w:szCs w:val="24"/>
        </w:rPr>
        <w:t>Tensiones persistentes en la gobernanza del sistema</w:t>
      </w:r>
    </w:p>
    <w:p w14:paraId="3F23525F"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A pesar del giro discursivo hacia la autonomía responsable y la mejora continua, el análisis identifica tensiones que revelan la persistencia de contradicciones estructurales en la gobernanza del sistema.</w:t>
      </w:r>
    </w:p>
    <w:p w14:paraId="491BD842"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La primera tensión concierne a la dualidad entre autonomía declarada y control centralizado efectivo. La Política institucional 2022 enuncia que las IES son las principales responsables de la calidad, pero el entramado reglamentario mantiene plazos predefinidos, cargas informáticas obligatorias y cláusulas de discrecionalidad interpretativa del Pleno del CACES. Esta tensión no es meramente retórica: estructura la relación cotidiana entre el organismo evaluador y las instituciones, condicionando qué tipo de iniciativas de mejora son posibles y cuáles responden primariamente a requerimientos de cumplimiento procedimental.</w:t>
      </w:r>
    </w:p>
    <w:p w14:paraId="4C443C55"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La segunda tensión se refiere a la fragmentación de rutas de acreditación. La posibilidad de acreditar carreras mediante el reconocimiento de acreditaciones extranjeras (Reglamento reconocimiento, 2023/2025) introduce asimetrías potenciales en el sistema: dos carreras acreditadas por rutas distintas podrían no ser comparables en términos de resultados de aprendizaje ni de condiciones institucionales, debilitando la función de política pública que el sistema pretende cumplir.</w:t>
      </w:r>
    </w:p>
    <w:p w14:paraId="70CB7958"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La tercera tensión atañe a la investigación y el riesgo de colonialismo métrico. La incorporación explícita del factor de impacto y las métricas bibliométricas como referentes de calidad de la producción científica puede reorientar las agendas de investigación hacia canales indexados en detrimento de investigaciones con pertinencia territorial, conocimientos locales e impacto social no medible por rankings internacionales. Este riesgo es especialmente relevante en el contexto ecuatoriano, donde la mayoría de las universidades son regionales y tienen mandatos de pertinencia social con sus territorios.</w:t>
      </w:r>
    </w:p>
    <w:p w14:paraId="48FB1775"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La cuarta tensión se relaciona con la proporcionalidad de las consecuencias normativas. El sistema combina una retórica de mejora continua con dispositivos de pérdida automática: el Reglamento de Cualificación Académica (2024) establece que una institución pierde automáticamente su certificación de cualificación si pierde la condición de acreditada durante la vigencia, lo que puede generar efectos en cascada desproporcionados. Esta lógica reactiva contrasta con el discurso de autonomía responsable y plantea preguntas sobre el debido proceso en contextos de contingencia institucional.</w:t>
      </w:r>
    </w:p>
    <w:p w14:paraId="63BFD252" w14:textId="1C714211" w:rsidR="00DD3A5A" w:rsidRPr="00DD3A5A" w:rsidRDefault="00DD3A5A" w:rsidP="00DD3A5A">
      <w:pPr>
        <w:pStyle w:val="Ttulo1"/>
        <w:spacing w:line="240" w:lineRule="auto"/>
        <w:rPr>
          <w:rFonts w:ascii="Times New Roman" w:hAnsi="Times New Roman" w:cs="Times New Roman"/>
          <w:color w:val="auto"/>
          <w:sz w:val="24"/>
          <w:szCs w:val="24"/>
        </w:rPr>
      </w:pPr>
      <w:r w:rsidRPr="00DD3A5A">
        <w:rPr>
          <w:rFonts w:ascii="Times New Roman" w:eastAsia="Times New Roman" w:hAnsi="Times New Roman" w:cs="Times New Roman"/>
          <w:b/>
          <w:bCs/>
          <w:color w:val="auto"/>
          <w:sz w:val="24"/>
          <w:szCs w:val="24"/>
        </w:rPr>
        <w:lastRenderedPageBreak/>
        <w:t>Conclusiones</w:t>
      </w:r>
    </w:p>
    <w:p w14:paraId="50F4866E"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El análisis comparado de la normativa ecuatoriana de aseguramiento de la calidad en educación superior para los períodos 2010–2017 y 2019–2025 permite identificar una transición significativa en la arquitectura regulatoria del sistema, que no implica, sin embargo, una ruptura total con los fundamentos del período anterior.</w:t>
      </w:r>
    </w:p>
    <w:p w14:paraId="4FD6005A"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La principal continuidad radica en la centralidad del Estado como garante de la calidad del sistema y en el mantenimiento de las funciones sustantivas —docencia, investigación y vinculación— como marco articulador del aseguramiento. Lo que cambia de manera sustantiva es la tecnología regulatoria predominante: el período 2010–2017 se organizó en torno a la categorización institucional como hito de evaluación y depuración del sistema, mientras que el período 2019–2025 consolida un ciclo de gobernanza por planes, indicadores y seguimiento que convierte el aseguramiento en un proceso continuo y trazable.</w:t>
      </w:r>
    </w:p>
    <w:p w14:paraId="5FD86718"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Esta transición incorpora aprendizajes relevantes derivados de las críticas al modelo anterior: la sustitución de la lógica de sanción por planes de mejoramiento escalonados, la diferenciación entre evaluación institucional y evaluación de carreras, y la incorporación discursiva de la autonomía responsable como principio del sistema. Sin embargo, el análisis evidencia que estos avances conviven con tensiones que no han sido resueltas y que en algunos casos se han intensificado.</w:t>
      </w:r>
    </w:p>
    <w:p w14:paraId="0BF7DADD"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La dualidad entre autonomía declarada y control centralizado efectivo constituye la tensión más estructural del sistema actual. La normativa reciente enuncia la responsabilidad institucional como principio, pero la densidad procedimental de los reglamentos, la obligatoriedad de las plataformas de reporte y las cláusulas de discrecionalidad interpretativa del Pleno del CACES configuran un régimen que sigue siendo predominantemente top-down en su implementación, aunque haya incorporado elementos de aseguramiento interno.</w:t>
      </w:r>
    </w:p>
    <w:p w14:paraId="3E940D47"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Las novedades normativas del período 2019–2025 —la cualificación académica, la evaluación de revistas y la incorporación de métricas bibliométricas— amplían el alcance regulatorio del sistema hacia la producción científica, lo que puede contribuir a mejorar la calidad editorial e investigativa de las instituciones, pero también introduce riesgos de colonialismo métrico que merecen atención crítica, especialmente en sistemas universitarios con mandatos de pertinencia territorial.</w:t>
      </w:r>
    </w:p>
    <w:p w14:paraId="50CE3116" w14:textId="6E4B3B2C"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 xml:space="preserve">El análisis </w:t>
      </w:r>
      <w:r w:rsidR="003235FD">
        <w:rPr>
          <w:rFonts w:ascii="Times New Roman" w:eastAsia="Times New Roman" w:hAnsi="Times New Roman" w:cs="Times New Roman"/>
        </w:rPr>
        <w:t>permite concluir</w:t>
      </w:r>
      <w:r w:rsidRPr="00DD3A5A">
        <w:rPr>
          <w:rFonts w:ascii="Times New Roman" w:eastAsia="Times New Roman" w:hAnsi="Times New Roman" w:cs="Times New Roman"/>
        </w:rPr>
        <w:t xml:space="preserve"> que</w:t>
      </w:r>
      <w:r w:rsidR="003235FD">
        <w:rPr>
          <w:rFonts w:ascii="Times New Roman" w:eastAsia="Times New Roman" w:hAnsi="Times New Roman" w:cs="Times New Roman"/>
        </w:rPr>
        <w:t xml:space="preserve"> </w:t>
      </w:r>
      <w:r w:rsidRPr="00DD3A5A">
        <w:rPr>
          <w:rFonts w:ascii="Times New Roman" w:eastAsia="Times New Roman" w:hAnsi="Times New Roman" w:cs="Times New Roman"/>
        </w:rPr>
        <w:t xml:space="preserve">la normativa ecuatoriana </w:t>
      </w:r>
      <w:r w:rsidR="003235FD">
        <w:rPr>
          <w:rFonts w:ascii="Times New Roman" w:eastAsia="Times New Roman" w:hAnsi="Times New Roman" w:cs="Times New Roman"/>
        </w:rPr>
        <w:t xml:space="preserve">intenta </w:t>
      </w:r>
      <w:r w:rsidRPr="00DD3A5A">
        <w:rPr>
          <w:rFonts w:ascii="Times New Roman" w:eastAsia="Times New Roman" w:hAnsi="Times New Roman" w:cs="Times New Roman"/>
        </w:rPr>
        <w:t>transita</w:t>
      </w:r>
      <w:r w:rsidR="003235FD">
        <w:rPr>
          <w:rFonts w:ascii="Times New Roman" w:eastAsia="Times New Roman" w:hAnsi="Times New Roman" w:cs="Times New Roman"/>
        </w:rPr>
        <w:t>r</w:t>
      </w:r>
      <w:r w:rsidRPr="00DD3A5A">
        <w:rPr>
          <w:rFonts w:ascii="Times New Roman" w:eastAsia="Times New Roman" w:hAnsi="Times New Roman" w:cs="Times New Roman"/>
        </w:rPr>
        <w:t xml:space="preserve"> hacia un modelo más complejo de aseguramiento de la calidad que integr</w:t>
      </w:r>
      <w:r w:rsidR="003235FD">
        <w:rPr>
          <w:rFonts w:ascii="Times New Roman" w:eastAsia="Times New Roman" w:hAnsi="Times New Roman" w:cs="Times New Roman"/>
        </w:rPr>
        <w:t>e</w:t>
      </w:r>
      <w:r w:rsidRPr="00DD3A5A">
        <w:rPr>
          <w:rFonts w:ascii="Times New Roman" w:eastAsia="Times New Roman" w:hAnsi="Times New Roman" w:cs="Times New Roman"/>
        </w:rPr>
        <w:t xml:space="preserve"> evaluación, planificación y seguimiento dentro de un mismo ciclo regulatorio. Este modelo híbrido, </w:t>
      </w:r>
      <w:r w:rsidR="003235FD">
        <w:rPr>
          <w:rFonts w:ascii="Times New Roman" w:eastAsia="Times New Roman" w:hAnsi="Times New Roman" w:cs="Times New Roman"/>
        </w:rPr>
        <w:t xml:space="preserve">pretende </w:t>
      </w:r>
      <w:r w:rsidRPr="00DD3A5A">
        <w:rPr>
          <w:rFonts w:ascii="Times New Roman" w:eastAsia="Times New Roman" w:hAnsi="Times New Roman" w:cs="Times New Roman"/>
        </w:rPr>
        <w:t>combina</w:t>
      </w:r>
      <w:r w:rsidR="003235FD">
        <w:rPr>
          <w:rFonts w:ascii="Times New Roman" w:eastAsia="Times New Roman" w:hAnsi="Times New Roman" w:cs="Times New Roman"/>
        </w:rPr>
        <w:t>r</w:t>
      </w:r>
      <w:r w:rsidRPr="00DD3A5A">
        <w:rPr>
          <w:rFonts w:ascii="Times New Roman" w:eastAsia="Times New Roman" w:hAnsi="Times New Roman" w:cs="Times New Roman"/>
        </w:rPr>
        <w:t xml:space="preserve"> responsabilidad institucional con supervisión estatal, </w:t>
      </w:r>
      <w:r w:rsidR="003235FD">
        <w:rPr>
          <w:rFonts w:ascii="Times New Roman" w:eastAsia="Times New Roman" w:hAnsi="Times New Roman" w:cs="Times New Roman"/>
        </w:rPr>
        <w:t xml:space="preserve">lo que </w:t>
      </w:r>
      <w:r w:rsidRPr="00DD3A5A">
        <w:rPr>
          <w:rFonts w:ascii="Times New Roman" w:eastAsia="Times New Roman" w:hAnsi="Times New Roman" w:cs="Times New Roman"/>
        </w:rPr>
        <w:t xml:space="preserve">representa una </w:t>
      </w:r>
      <w:r w:rsidR="003235FD">
        <w:rPr>
          <w:rFonts w:ascii="Times New Roman" w:eastAsia="Times New Roman" w:hAnsi="Times New Roman" w:cs="Times New Roman"/>
        </w:rPr>
        <w:t>novedad</w:t>
      </w:r>
      <w:r w:rsidRPr="00DD3A5A">
        <w:rPr>
          <w:rFonts w:ascii="Times New Roman" w:eastAsia="Times New Roman" w:hAnsi="Times New Roman" w:cs="Times New Roman"/>
        </w:rPr>
        <w:t xml:space="preserve"> respecto al régimen anterior, aunque su implementación continúa enfrentando desafíos asociados a la diversidad institucional y a la necesidad de equilibrar regulación y autonomía universitaria.</w:t>
      </w:r>
    </w:p>
    <w:p w14:paraId="113E0019" w14:textId="77777777" w:rsidR="00DD3A5A" w:rsidRPr="00DD3A5A" w:rsidRDefault="00DD3A5A" w:rsidP="00DD3A5A">
      <w:pPr>
        <w:spacing w:line="240" w:lineRule="auto"/>
        <w:jc w:val="both"/>
        <w:rPr>
          <w:rFonts w:ascii="Times New Roman" w:hAnsi="Times New Roman" w:cs="Times New Roman"/>
        </w:rPr>
      </w:pPr>
      <w:r w:rsidRPr="00DD3A5A">
        <w:rPr>
          <w:rFonts w:ascii="Times New Roman" w:eastAsia="Times New Roman" w:hAnsi="Times New Roman" w:cs="Times New Roman"/>
        </w:rPr>
        <w:t xml:space="preserve">Para futuras agendas de investigación y de política, el análisis sugiere la importancia de examinar los efectos de la diversificación de rutas de acreditación sobre la comparabilidad del sistema, los impactos de las métricas bibliométricas sobre las agendas de investigación institucional, y las condiciones bajo las cuales el ciclo de aseguramiento </w:t>
      </w:r>
      <w:r w:rsidRPr="00DD3A5A">
        <w:rPr>
          <w:rFonts w:ascii="Times New Roman" w:eastAsia="Times New Roman" w:hAnsi="Times New Roman" w:cs="Times New Roman"/>
        </w:rPr>
        <w:lastRenderedPageBreak/>
        <w:t>interno fortalece genuinamente las capacidades institucionales o deviene en un mecanismo de cumplimiento burocrático. Estos interrogantes son centrales para construir un sistema de aseguramiento de la calidad que responda, de manera efectiva, a los principios de calidad como bien público que la LOES y la Constitución de 2008 instauraron como mandato del sistema.</w:t>
      </w:r>
    </w:p>
    <w:p w14:paraId="1296702A" w14:textId="77777777" w:rsidR="00DD3A5A" w:rsidRPr="00DD3A5A" w:rsidRDefault="00DD3A5A" w:rsidP="00DD3A5A">
      <w:pPr>
        <w:pStyle w:val="Ttulo1"/>
        <w:spacing w:line="240" w:lineRule="auto"/>
        <w:rPr>
          <w:rFonts w:ascii="Times New Roman" w:hAnsi="Times New Roman" w:cs="Times New Roman"/>
          <w:color w:val="auto"/>
          <w:sz w:val="24"/>
          <w:szCs w:val="24"/>
        </w:rPr>
      </w:pPr>
      <w:r w:rsidRPr="00DD3A5A">
        <w:rPr>
          <w:rFonts w:ascii="Times New Roman" w:eastAsia="Times New Roman" w:hAnsi="Times New Roman" w:cs="Times New Roman"/>
          <w:b/>
          <w:bCs/>
          <w:color w:val="auto"/>
          <w:sz w:val="24"/>
          <w:szCs w:val="24"/>
        </w:rPr>
        <w:t>Referencias</w:t>
      </w:r>
    </w:p>
    <w:p w14:paraId="3059ADC3"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Acosta-Silva, A. (2002). Estado, políticas y universidades en un período de transición. Universidad de Guadalajara / Fondo de Cultura Económica.</w:t>
      </w:r>
    </w:p>
    <w:p w14:paraId="7B6BD5A6" w14:textId="600E7891" w:rsidR="00DD3A5A" w:rsidRDefault="00DD3A5A" w:rsidP="00DD3A5A">
      <w:pPr>
        <w:spacing w:line="240" w:lineRule="auto"/>
        <w:ind w:left="708" w:hanging="708"/>
        <w:jc w:val="both"/>
        <w:rPr>
          <w:rFonts w:ascii="Times New Roman" w:eastAsia="Times New Roman" w:hAnsi="Times New Roman" w:cs="Times New Roman"/>
        </w:rPr>
      </w:pPr>
      <w:r w:rsidRPr="00DD3A5A">
        <w:rPr>
          <w:rFonts w:ascii="Times New Roman" w:eastAsia="Times New Roman" w:hAnsi="Times New Roman" w:cs="Times New Roman"/>
        </w:rPr>
        <w:t>Araujo, S. (2013). La universidad como objeto de investigación. En P. Krotsch y A. Camou (Eds.), La universidad cautiva: legados, marcas y horizontes. Ediciones Al Margen.</w:t>
      </w:r>
    </w:p>
    <w:p w14:paraId="6A38804A" w14:textId="231980C5" w:rsidR="003235FD" w:rsidRPr="003235FD" w:rsidRDefault="003235FD" w:rsidP="003235FD">
      <w:pPr>
        <w:spacing w:line="240" w:lineRule="auto"/>
        <w:ind w:left="708" w:hanging="708"/>
        <w:jc w:val="both"/>
        <w:rPr>
          <w:rFonts w:ascii="Times New Roman" w:hAnsi="Times New Roman" w:cs="Times New Roman"/>
          <w:lang w:val="es-EC"/>
        </w:rPr>
      </w:pPr>
      <w:r w:rsidRPr="003235FD">
        <w:rPr>
          <w:rFonts w:ascii="Times New Roman" w:hAnsi="Times New Roman" w:cs="Times New Roman"/>
          <w:lang w:val="es-EC"/>
        </w:rPr>
        <w:t>Buendía, A (2014) (coord.) Evaluación y acreditación de programas académicos en México:</w:t>
      </w:r>
      <w:r>
        <w:rPr>
          <w:rFonts w:ascii="Times New Roman" w:hAnsi="Times New Roman" w:cs="Times New Roman"/>
          <w:lang w:val="es-EC"/>
        </w:rPr>
        <w:t xml:space="preserve"> </w:t>
      </w:r>
      <w:r w:rsidRPr="003235FD">
        <w:rPr>
          <w:rFonts w:ascii="Times New Roman" w:hAnsi="Times New Roman" w:cs="Times New Roman"/>
          <w:lang w:val="es-EC"/>
        </w:rPr>
        <w:t>revisar los discursos, valorar los efectos. El caso de cinco universidades públicas</w:t>
      </w:r>
      <w:r>
        <w:rPr>
          <w:rFonts w:ascii="Times New Roman" w:hAnsi="Times New Roman" w:cs="Times New Roman"/>
          <w:lang w:val="es-EC"/>
        </w:rPr>
        <w:t xml:space="preserve"> </w:t>
      </w:r>
      <w:r w:rsidRPr="003235FD">
        <w:rPr>
          <w:rFonts w:ascii="Times New Roman" w:hAnsi="Times New Roman" w:cs="Times New Roman"/>
          <w:lang w:val="es-EC"/>
        </w:rPr>
        <w:t>mexicanas. ANUIES.</w:t>
      </w:r>
    </w:p>
    <w:p w14:paraId="72F029E7" w14:textId="77777777" w:rsidR="00DD3A5A" w:rsidRPr="00DD3A5A" w:rsidRDefault="00DD3A5A" w:rsidP="003235FD">
      <w:pPr>
        <w:spacing w:line="240" w:lineRule="auto"/>
        <w:ind w:left="709" w:hanging="709"/>
        <w:jc w:val="both"/>
        <w:rPr>
          <w:rFonts w:ascii="Times New Roman" w:hAnsi="Times New Roman" w:cs="Times New Roman"/>
        </w:rPr>
      </w:pPr>
      <w:r w:rsidRPr="00DD3A5A">
        <w:rPr>
          <w:rFonts w:ascii="Times New Roman" w:eastAsia="Times New Roman" w:hAnsi="Times New Roman" w:cs="Times New Roman"/>
        </w:rPr>
        <w:t>Cabezas-Guerra, C., Imbaquingo-Pérez, M. y Peñaherrera-Cevallos, P. (2019). Una visión crítica a varios elementos del sistema de aseguramiento de la calidad de la educación superior del Ecuador aplicados en la última década. RELAPAE: Revista Latinoamericana de Políticas y Administración de la Educación, (10), 131–144.</w:t>
      </w:r>
    </w:p>
    <w:p w14:paraId="028472A4"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Cabrera-Ortiz, F. y Jerves-Hermida, E. (2022). Evaluación y acreditación de la educación superior en Ecuador: La Universidad de Cuenca como caso de estudio. Revista Educación Superior y Sociedad (ESS), 34(1), 155–180. https://doi.org/10.54674/ess.v34i1.565</w:t>
      </w:r>
    </w:p>
    <w:p w14:paraId="2E2EAA76"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CACES. (2018). Con las reformas a la LOES cambia el nombre del CEAACES por CACES. https://www.caces.gob.ec/blog-post/con-las-reformas-a-la-loes-cambia-el-nombre-del-ceaaces-por-caces/</w:t>
      </w:r>
    </w:p>
    <w:p w14:paraId="4F4E4324"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CACES. (2019a). Resolución No. 047-SO-05-CACES-2019: Reglamento de evaluación y validación de revistas científicas y académicas publicadas por las IES. CACES.</w:t>
      </w:r>
    </w:p>
    <w:p w14:paraId="0872977F"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CACES. (2019b). Resolución No. 03-SE-02-CACES-2019: Guía metodológica de evaluación y validación de revistas científicas y académicas. CACES.</w:t>
      </w:r>
    </w:p>
    <w:p w14:paraId="2F2A8754"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CACES. (2020). Resolución No. 182-SE-35-CACES-2020: Aprueba el Instructivo para la elaboración del Plan de Aseguramiento de la Calidad para universidades y escuelas politécnicas acreditadas. CACES.</w:t>
      </w:r>
    </w:p>
    <w:p w14:paraId="0D967118"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CACES. (2022). Resolución No. 170-SE-24-CACES-2022: Política Institucional de Aseguramiento de la Calidad y de Evaluación Externa con fines de Acreditación para IES, carreras y programas. CACES.</w:t>
      </w:r>
    </w:p>
    <w:p w14:paraId="5F7D5572"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CACES. (2023a). Resolución No. 113-SO-21-CACES-2023: Reglamento de evaluación con fines de acreditación para el aseguramiento de la calidad de las universidades y escuelas politécnicas. CACES.</w:t>
      </w:r>
    </w:p>
    <w:p w14:paraId="6643EB4D"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lastRenderedPageBreak/>
        <w:t>CACES. (2023b). Resolución No. 172-SO-37-CACES-2023: Reglamento de evaluación externa con fines de acreditación de carreras de las IES [publicado en Registro Oficial 493, 06 de febrero de 2024]. CACES.</w:t>
      </w:r>
    </w:p>
    <w:p w14:paraId="56A6D099"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CACES. (2023c/2025). Resolución No. 028-SO-06-CACES-2023: Reglamento para el reconocimiento de acreditaciones de carreras o programas de IES otorgadas por agencias extranjeras de acreditación [codificación enero 2025]. CACES.</w:t>
      </w:r>
    </w:p>
    <w:p w14:paraId="589D5F70"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CACES. (2024). Resolución No. 147-SO-28-CACES-2024: Reglamento de cualificación académica de universidades y escuelas politécnicas. CACES.</w:t>
      </w:r>
    </w:p>
    <w:p w14:paraId="28632E12"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Carrasco, I. (2017). Aproximación al proceso de acreditación institucional en la universidad ecuatoriana. Una mirada desde la perspectiva de los actores. Revista Espacios, 38(50). https://www.revistaespacios.com/a17v38n50/a17v38n50p19.pdf</w:t>
      </w:r>
    </w:p>
    <w:p w14:paraId="7FEB2EF8"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Carvalho, A. y Malavasi, M. (2020). Avaliação e Acreditação da Educação Superior na América Latina e Caribe. Revista Internacional de Educação Superior, 6, e020043. https://doi.org/10.20396/riesup.v6i0.8657782</w:t>
      </w:r>
    </w:p>
    <w:p w14:paraId="7C75D667"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CEAACES. (2017). Resolución No. 200-CEAACESSE-14-2017: Instructivo de informes previos para la creación de universidades y escuelas politécnicas. CEAACES.</w:t>
      </w:r>
    </w:p>
    <w:p w14:paraId="4FAF266D"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Clark, B. (1983). El sistema de educación superior. Una visión comparativa de la organización académica. Nueva Imagen.</w:t>
      </w:r>
    </w:p>
    <w:p w14:paraId="0D620AED"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Cruz-Sánchez, E. (2016). Educación superior y construcción del estado en el Ecuador: modelo de evaluación universitaria. PUCE. https://repositorio.puce.edu.ec/items/34566bbe-d89a-4a41-8ebf-818daf30a1cb</w:t>
      </w:r>
    </w:p>
    <w:p w14:paraId="0549EC16"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Dillon, F., Rojas, D., Robalino, J. y Maldonado, M. (2020). Autoevaluación y acreditación universitaria en el contexto ecuatoriano: perspectivas de análisis y mejora. Ciencia y Educación, 4(2), 27–37. https://doi.org/10.22206/cyed.2020.v4i2.pp27-37</w:t>
      </w:r>
    </w:p>
    <w:p w14:paraId="7FF2AE21"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Gómez, V., Tolozano, M. y Delgado, N. (2017). La acreditación institucional de la calidad en los institutos superiores técnicos y tecnológicos del Ecuador desde la perspectiva de un instituto acreditado. Formación Universitaria, 10(6), 59–66. http://dx.doi.org/10.4067/S0718-50062017000600007</w:t>
      </w:r>
    </w:p>
    <w:p w14:paraId="1C0F134A"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Guzmán-Puentes, S. y Guevara-Ramírez, R. (2022). Configuración de la acreditación de la calidad como campo de estudio: una revisión sistemática de la investigación internacional (1998–2016). Revista Internacional de Evaluación y Seguimiento Educativo, 13(36), 160–180. https://doi.org/10.22201/iisue.20072872e.2022.36.1189</w:t>
      </w:r>
    </w:p>
    <w:p w14:paraId="0963B58F" w14:textId="77777777" w:rsidR="00DD3A5A" w:rsidRPr="00DD3A5A" w:rsidRDefault="00DD3A5A" w:rsidP="00DD3A5A">
      <w:pPr>
        <w:spacing w:line="240" w:lineRule="auto"/>
        <w:ind w:left="708" w:hanging="708"/>
        <w:jc w:val="both"/>
        <w:rPr>
          <w:rFonts w:ascii="Times New Roman" w:hAnsi="Times New Roman" w:cs="Times New Roman"/>
          <w:lang w:val="en-US"/>
        </w:rPr>
      </w:pPr>
      <w:r w:rsidRPr="00DD3A5A">
        <w:rPr>
          <w:rFonts w:ascii="Times New Roman" w:eastAsia="Times New Roman" w:hAnsi="Times New Roman" w:cs="Times New Roman"/>
          <w:lang w:val="en-US"/>
        </w:rPr>
        <w:t>Harvey, L. y Green, D. (1993). Defining quality. Assessment and Evaluation in Higher Education, 18(1), 9–34. https://doi.org/10.1080/0260293930180102</w:t>
      </w:r>
    </w:p>
    <w:p w14:paraId="5138E0DA"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lang w:val="en-US"/>
        </w:rPr>
        <w:t xml:space="preserve">Johnson, A. (2017). Contemporary higher education reform in Ecuador: implications for faculty recruitment, hiring, and retention. </w:t>
      </w:r>
      <w:r w:rsidRPr="00DD3A5A">
        <w:rPr>
          <w:rFonts w:ascii="Times New Roman" w:eastAsia="Times New Roman" w:hAnsi="Times New Roman" w:cs="Times New Roman"/>
        </w:rPr>
        <w:t>LATISS, 10(2), 1–18.</w:t>
      </w:r>
    </w:p>
    <w:p w14:paraId="0E16E3FD" w14:textId="77777777" w:rsidR="00DD3A5A" w:rsidRPr="00DD3A5A" w:rsidRDefault="00DD3A5A" w:rsidP="00DD3A5A">
      <w:pPr>
        <w:spacing w:line="240" w:lineRule="auto"/>
        <w:ind w:left="708" w:hanging="708"/>
        <w:jc w:val="both"/>
        <w:rPr>
          <w:rFonts w:ascii="Times New Roman" w:hAnsi="Times New Roman" w:cs="Times New Roman"/>
          <w:lang w:val="en-US"/>
        </w:rPr>
      </w:pPr>
      <w:r w:rsidRPr="00DD3A5A">
        <w:rPr>
          <w:rFonts w:ascii="Times New Roman" w:eastAsia="Times New Roman" w:hAnsi="Times New Roman" w:cs="Times New Roman"/>
        </w:rPr>
        <w:lastRenderedPageBreak/>
        <w:t xml:space="preserve">LOES. (2010). Ley Orgánica de Educación Superior. Registro Oficial Suplemento 298, 12 de octubre de 2010. </w:t>
      </w:r>
      <w:proofErr w:type="spellStart"/>
      <w:r w:rsidRPr="00DD3A5A">
        <w:rPr>
          <w:rFonts w:ascii="Times New Roman" w:eastAsia="Times New Roman" w:hAnsi="Times New Roman" w:cs="Times New Roman"/>
          <w:lang w:val="en-US"/>
        </w:rPr>
        <w:t>Asamblea</w:t>
      </w:r>
      <w:proofErr w:type="spellEnd"/>
      <w:r w:rsidRPr="00DD3A5A">
        <w:rPr>
          <w:rFonts w:ascii="Times New Roman" w:eastAsia="Times New Roman" w:hAnsi="Times New Roman" w:cs="Times New Roman"/>
          <w:lang w:val="en-US"/>
        </w:rPr>
        <w:t xml:space="preserve"> Nacional del Ecuador.</w:t>
      </w:r>
    </w:p>
    <w:p w14:paraId="1F351DC1" w14:textId="77777777" w:rsidR="00DD3A5A" w:rsidRPr="00DD3A5A" w:rsidRDefault="00DD3A5A" w:rsidP="00DD3A5A">
      <w:pPr>
        <w:spacing w:line="240" w:lineRule="auto"/>
        <w:ind w:left="708" w:hanging="708"/>
        <w:jc w:val="both"/>
        <w:rPr>
          <w:rFonts w:ascii="Times New Roman" w:hAnsi="Times New Roman" w:cs="Times New Roman"/>
        </w:rPr>
      </w:pPr>
      <w:proofErr w:type="spellStart"/>
      <w:r w:rsidRPr="00DD3A5A">
        <w:rPr>
          <w:rFonts w:ascii="Times New Roman" w:eastAsia="Times New Roman" w:hAnsi="Times New Roman" w:cs="Times New Roman"/>
          <w:lang w:val="en-US"/>
        </w:rPr>
        <w:t>Mogalakwe</w:t>
      </w:r>
      <w:proofErr w:type="spellEnd"/>
      <w:r w:rsidRPr="00DD3A5A">
        <w:rPr>
          <w:rFonts w:ascii="Times New Roman" w:eastAsia="Times New Roman" w:hAnsi="Times New Roman" w:cs="Times New Roman"/>
          <w:lang w:val="en-US"/>
        </w:rPr>
        <w:t xml:space="preserve">, M. (2006). The use of documentary research methods in social research. </w:t>
      </w:r>
      <w:r w:rsidRPr="00DD3A5A">
        <w:rPr>
          <w:rFonts w:ascii="Times New Roman" w:eastAsia="Times New Roman" w:hAnsi="Times New Roman" w:cs="Times New Roman"/>
        </w:rPr>
        <w:t>African Sociological Review, 10(1), 221–230.</w:t>
      </w:r>
    </w:p>
    <w:p w14:paraId="53C33B78"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Moreira, T., Almeida, M., Menezes, C. y Cerqueira, L. (2022). Acreditação de cursos superiores no Brasil: desafios e perspectivas. Brazilian Journal of Development, 8(3), 22000–22018.</w:t>
      </w:r>
    </w:p>
    <w:p w14:paraId="03CD59F1"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Pazmiño, I. (2018). El proceso de categorización de las universidades y la depuración del sistema de educación superior ecuatoriano. En R. Ramírez (Ed.), Universidad urgente para una sociedad emancipada (pp. 87–126). SENESCYT-IESALC.</w:t>
      </w:r>
    </w:p>
    <w:p w14:paraId="780022E0"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Ramírez-Gallegos, R. (2016). Universidad urgente para una sociedad emancipada. SENESCYT-IESALC.</w:t>
      </w:r>
    </w:p>
    <w:p w14:paraId="3846F1A6"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Raza, R. (2019). Política de aseguramiento de la calidad de la educación superior en Ecuador: evaluación y perspectivas. Cuadernos de Educación, 17, 45–62.</w:t>
      </w:r>
    </w:p>
    <w:p w14:paraId="14B133F7"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Rojas, S. (2011). La educación superior ecuatoriana entre la autonomía y la regulación. SENESCYT.</w:t>
      </w:r>
    </w:p>
    <w:p w14:paraId="6D234938"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Rovelli, L. (2018). Políticas de educación superior y política universitaria: notas para el análisis. En A. Chiroleu, C. Suásnábar y L. Rovelli (Eds.), Política universitaria en Argentina: revisando viejos legados en busca de nuevos horizontes (pp. 9–28). UNGS-IEC.</w:t>
      </w:r>
    </w:p>
    <w:p w14:paraId="7DBCD5E9"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Suárez-Landazábal, A. (2023). Isomorfismo institucional y evaluación universitaria en América Latina: entre la legitimación y la mejora. Revista de la Educación Superior, 52(207), 34–52.</w:t>
      </w:r>
    </w:p>
    <w:p w14:paraId="5067537D"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Tünnermann, C. (2008). La educación superior en América Latina y el Caribe: diez años después de la Conferencia Mundial de 1998. IESALC-UNESCO-PUJ.</w:t>
      </w:r>
    </w:p>
    <w:p w14:paraId="26FAC864" w14:textId="77777777" w:rsidR="00DD3A5A" w:rsidRPr="00DD3A5A" w:rsidRDefault="00DD3A5A" w:rsidP="00DD3A5A">
      <w:pPr>
        <w:spacing w:line="240" w:lineRule="auto"/>
        <w:ind w:left="708" w:hanging="708"/>
        <w:jc w:val="both"/>
        <w:rPr>
          <w:rFonts w:ascii="Times New Roman" w:hAnsi="Times New Roman" w:cs="Times New Roman"/>
        </w:rPr>
      </w:pPr>
      <w:r w:rsidRPr="00DD3A5A">
        <w:rPr>
          <w:rFonts w:ascii="Times New Roman" w:eastAsia="Times New Roman" w:hAnsi="Times New Roman" w:cs="Times New Roman"/>
        </w:rPr>
        <w:t>Tünnermann, C. (2011). La calidad de la educación superior y su acreditación: la experiencia centroamericana. Avaliação: Revista da Avaliação da Educação Superior (Campinas), 16(1), 173–205.</w:t>
      </w:r>
    </w:p>
    <w:p w14:paraId="7E83515B" w14:textId="65BBB5CD" w:rsidR="001923DC" w:rsidRPr="00DD3A5A" w:rsidRDefault="00DD3A5A" w:rsidP="00DD3A5A">
      <w:pPr>
        <w:spacing w:line="240" w:lineRule="auto"/>
        <w:ind w:left="708" w:hanging="708"/>
        <w:jc w:val="both"/>
        <w:rPr>
          <w:rFonts w:ascii="Times New Roman" w:hAnsi="Times New Roman" w:cs="Times New Roman"/>
          <w:lang w:val="pt-BR"/>
        </w:rPr>
      </w:pPr>
      <w:r w:rsidRPr="00DD3A5A">
        <w:rPr>
          <w:rFonts w:ascii="Times New Roman" w:eastAsia="Times New Roman" w:hAnsi="Times New Roman" w:cs="Times New Roman"/>
        </w:rPr>
        <w:t>Veliz-Briones, V., Alonso-Berenguer, I., Fleitas-Triana, M. y Alfonso-Moreira, J. (2020). Evaluación de la calidad de la educación superior: análisis conceptual, actores e instrumentos. Conrado, 16(72), 76–83.</w:t>
      </w:r>
    </w:p>
    <w:sectPr w:rsidR="001923DC" w:rsidRPr="00DD3A5A"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106017" w16cex:dateUtc="2026-06-16T17:41:00Z"/>
  <w16cex:commentExtensible w16cex:durableId="4E6C416A" w16cex:dateUtc="2026-06-16T17:42:00Z"/>
  <w16cex:commentExtensible w16cex:durableId="05CB67FA" w16cex:dateUtc="2026-06-16T17:49:00Z"/>
  <w16cex:commentExtensible w16cex:durableId="3BBFEABA" w16cex:dateUtc="2026-06-16T17: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28ED2" w14:textId="77777777" w:rsidR="00201477" w:rsidRPr="00BA642E" w:rsidRDefault="00201477" w:rsidP="00C802F5">
      <w:pPr>
        <w:spacing w:after="0" w:line="240" w:lineRule="auto"/>
      </w:pPr>
      <w:r w:rsidRPr="00BA642E">
        <w:separator/>
      </w:r>
    </w:p>
  </w:endnote>
  <w:endnote w:type="continuationSeparator" w:id="0">
    <w:p w14:paraId="3E9A80BE" w14:textId="77777777" w:rsidR="00201477" w:rsidRPr="00BA642E" w:rsidRDefault="00201477"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E188A" w14:textId="77777777" w:rsidR="00201477" w:rsidRPr="00BA642E" w:rsidRDefault="00201477" w:rsidP="00C802F5">
      <w:pPr>
        <w:spacing w:after="0" w:line="240" w:lineRule="auto"/>
      </w:pPr>
      <w:r w:rsidRPr="00BA642E">
        <w:separator/>
      </w:r>
    </w:p>
  </w:footnote>
  <w:footnote w:type="continuationSeparator" w:id="0">
    <w:p w14:paraId="7B17A6C0" w14:textId="77777777" w:rsidR="00201477" w:rsidRPr="00BA642E" w:rsidRDefault="00201477"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95714"/>
    <w:rsid w:val="00121528"/>
    <w:rsid w:val="001624A5"/>
    <w:rsid w:val="001816D6"/>
    <w:rsid w:val="00185F5E"/>
    <w:rsid w:val="001923DC"/>
    <w:rsid w:val="00201477"/>
    <w:rsid w:val="002327C3"/>
    <w:rsid w:val="00312392"/>
    <w:rsid w:val="003235FD"/>
    <w:rsid w:val="004040C0"/>
    <w:rsid w:val="00437E9C"/>
    <w:rsid w:val="00550766"/>
    <w:rsid w:val="00594089"/>
    <w:rsid w:val="005F151B"/>
    <w:rsid w:val="005F3B2E"/>
    <w:rsid w:val="00701F64"/>
    <w:rsid w:val="0074182A"/>
    <w:rsid w:val="007B5B5F"/>
    <w:rsid w:val="007C0C96"/>
    <w:rsid w:val="007D233B"/>
    <w:rsid w:val="0085070B"/>
    <w:rsid w:val="009F442E"/>
    <w:rsid w:val="00A17247"/>
    <w:rsid w:val="00A951A7"/>
    <w:rsid w:val="00BA642E"/>
    <w:rsid w:val="00BC236F"/>
    <w:rsid w:val="00C802F5"/>
    <w:rsid w:val="00C96B2C"/>
    <w:rsid w:val="00CC04C1"/>
    <w:rsid w:val="00D843EC"/>
    <w:rsid w:val="00DD3A5A"/>
    <w:rsid w:val="00E039DB"/>
    <w:rsid w:val="00EC2718"/>
    <w:rsid w:val="00ED20E3"/>
    <w:rsid w:val="00F71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Refdecomentario">
    <w:name w:val="annotation reference"/>
    <w:basedOn w:val="Fuentedeprrafopredeter"/>
    <w:uiPriority w:val="99"/>
    <w:semiHidden/>
    <w:unhideWhenUsed/>
    <w:rsid w:val="00121528"/>
    <w:rPr>
      <w:sz w:val="16"/>
      <w:szCs w:val="16"/>
    </w:rPr>
  </w:style>
  <w:style w:type="paragraph" w:styleId="Textocomentario">
    <w:name w:val="annotation text"/>
    <w:basedOn w:val="Normal"/>
    <w:link w:val="TextocomentarioCar"/>
    <w:uiPriority w:val="99"/>
    <w:semiHidden/>
    <w:unhideWhenUsed/>
    <w:rsid w:val="0012152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1528"/>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121528"/>
    <w:rPr>
      <w:b/>
      <w:bCs/>
    </w:rPr>
  </w:style>
  <w:style w:type="character" w:customStyle="1" w:styleId="AsuntodelcomentarioCar">
    <w:name w:val="Asunto del comentario Car"/>
    <w:basedOn w:val="TextocomentarioCar"/>
    <w:link w:val="Asuntodelcomentario"/>
    <w:uiPriority w:val="99"/>
    <w:semiHidden/>
    <w:rsid w:val="00121528"/>
    <w:rPr>
      <w:b/>
      <w:bCs/>
      <w:sz w:val="20"/>
      <w:szCs w:val="20"/>
      <w:lang w:val="es-419"/>
    </w:rPr>
  </w:style>
  <w:style w:type="paragraph" w:styleId="Textodeglobo">
    <w:name w:val="Balloon Text"/>
    <w:basedOn w:val="Normal"/>
    <w:link w:val="TextodegloboCar"/>
    <w:uiPriority w:val="99"/>
    <w:semiHidden/>
    <w:unhideWhenUsed/>
    <w:rsid w:val="00121528"/>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121528"/>
    <w:rPr>
      <w:rFonts w:ascii="Times New Roman" w:hAnsi="Times New Roman" w:cs="Times New Roman"/>
      <w:sz w:val="18"/>
      <w:szCs w:val="18"/>
      <w:lang w:val="es-419"/>
    </w:rPr>
  </w:style>
  <w:style w:type="character" w:styleId="Textoennegrita">
    <w:name w:val="Strong"/>
    <w:basedOn w:val="Fuentedeprrafopredeter"/>
    <w:uiPriority w:val="22"/>
    <w:qFormat/>
    <w:rsid w:val="003235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27227">
      <w:bodyDiv w:val="1"/>
      <w:marLeft w:val="0"/>
      <w:marRight w:val="0"/>
      <w:marTop w:val="0"/>
      <w:marBottom w:val="0"/>
      <w:divBdr>
        <w:top w:val="none" w:sz="0" w:space="0" w:color="auto"/>
        <w:left w:val="none" w:sz="0" w:space="0" w:color="auto"/>
        <w:bottom w:val="none" w:sz="0" w:space="0" w:color="auto"/>
        <w:right w:val="none" w:sz="0" w:space="0" w:color="auto"/>
      </w:divBdr>
    </w:div>
    <w:div w:id="81487458">
      <w:bodyDiv w:val="1"/>
      <w:marLeft w:val="0"/>
      <w:marRight w:val="0"/>
      <w:marTop w:val="0"/>
      <w:marBottom w:val="0"/>
      <w:divBdr>
        <w:top w:val="none" w:sz="0" w:space="0" w:color="auto"/>
        <w:left w:val="none" w:sz="0" w:space="0" w:color="auto"/>
        <w:bottom w:val="none" w:sz="0" w:space="0" w:color="auto"/>
        <w:right w:val="none" w:sz="0" w:space="0" w:color="auto"/>
      </w:divBdr>
      <w:divsChild>
        <w:div w:id="88260010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050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3170">
      <w:bodyDiv w:val="1"/>
      <w:marLeft w:val="0"/>
      <w:marRight w:val="0"/>
      <w:marTop w:val="0"/>
      <w:marBottom w:val="0"/>
      <w:divBdr>
        <w:top w:val="none" w:sz="0" w:space="0" w:color="auto"/>
        <w:left w:val="none" w:sz="0" w:space="0" w:color="auto"/>
        <w:bottom w:val="none" w:sz="0" w:space="0" w:color="auto"/>
        <w:right w:val="none" w:sz="0" w:space="0" w:color="auto"/>
      </w:divBdr>
      <w:divsChild>
        <w:div w:id="2028556571">
          <w:marLeft w:val="0"/>
          <w:marRight w:val="0"/>
          <w:marTop w:val="180"/>
          <w:marBottom w:val="240"/>
          <w:divBdr>
            <w:top w:val="none" w:sz="0" w:space="0" w:color="auto"/>
            <w:left w:val="none" w:sz="0" w:space="0" w:color="auto"/>
            <w:bottom w:val="none" w:sz="0" w:space="0" w:color="auto"/>
            <w:right w:val="none" w:sz="0" w:space="0" w:color="auto"/>
          </w:divBdr>
        </w:div>
      </w:divsChild>
    </w:div>
    <w:div w:id="228468529">
      <w:bodyDiv w:val="1"/>
      <w:marLeft w:val="0"/>
      <w:marRight w:val="0"/>
      <w:marTop w:val="0"/>
      <w:marBottom w:val="0"/>
      <w:divBdr>
        <w:top w:val="none" w:sz="0" w:space="0" w:color="auto"/>
        <w:left w:val="none" w:sz="0" w:space="0" w:color="auto"/>
        <w:bottom w:val="none" w:sz="0" w:space="0" w:color="auto"/>
        <w:right w:val="none" w:sz="0" w:space="0" w:color="auto"/>
      </w:divBdr>
    </w:div>
    <w:div w:id="295651174">
      <w:bodyDiv w:val="1"/>
      <w:marLeft w:val="0"/>
      <w:marRight w:val="0"/>
      <w:marTop w:val="0"/>
      <w:marBottom w:val="0"/>
      <w:divBdr>
        <w:top w:val="none" w:sz="0" w:space="0" w:color="auto"/>
        <w:left w:val="none" w:sz="0" w:space="0" w:color="auto"/>
        <w:bottom w:val="none" w:sz="0" w:space="0" w:color="auto"/>
        <w:right w:val="none" w:sz="0" w:space="0" w:color="auto"/>
      </w:divBdr>
      <w:divsChild>
        <w:div w:id="715354137">
          <w:marLeft w:val="0"/>
          <w:marRight w:val="0"/>
          <w:marTop w:val="180"/>
          <w:marBottom w:val="240"/>
          <w:divBdr>
            <w:top w:val="none" w:sz="0" w:space="0" w:color="auto"/>
            <w:left w:val="none" w:sz="0" w:space="0" w:color="auto"/>
            <w:bottom w:val="none" w:sz="0" w:space="0" w:color="auto"/>
            <w:right w:val="none" w:sz="0" w:space="0" w:color="auto"/>
          </w:divBdr>
        </w:div>
      </w:divsChild>
    </w:div>
    <w:div w:id="453838887">
      <w:bodyDiv w:val="1"/>
      <w:marLeft w:val="0"/>
      <w:marRight w:val="0"/>
      <w:marTop w:val="0"/>
      <w:marBottom w:val="0"/>
      <w:divBdr>
        <w:top w:val="none" w:sz="0" w:space="0" w:color="auto"/>
        <w:left w:val="none" w:sz="0" w:space="0" w:color="auto"/>
        <w:bottom w:val="none" w:sz="0" w:space="0" w:color="auto"/>
        <w:right w:val="none" w:sz="0" w:space="0" w:color="auto"/>
      </w:divBdr>
    </w:div>
    <w:div w:id="793258180">
      <w:bodyDiv w:val="1"/>
      <w:marLeft w:val="0"/>
      <w:marRight w:val="0"/>
      <w:marTop w:val="0"/>
      <w:marBottom w:val="0"/>
      <w:divBdr>
        <w:top w:val="none" w:sz="0" w:space="0" w:color="auto"/>
        <w:left w:val="none" w:sz="0" w:space="0" w:color="auto"/>
        <w:bottom w:val="none" w:sz="0" w:space="0" w:color="auto"/>
        <w:right w:val="none" w:sz="0" w:space="0" w:color="auto"/>
      </w:divBdr>
      <w:divsChild>
        <w:div w:id="2008091887">
          <w:marLeft w:val="0"/>
          <w:marRight w:val="0"/>
          <w:marTop w:val="180"/>
          <w:marBottom w:val="240"/>
          <w:divBdr>
            <w:top w:val="none" w:sz="0" w:space="0" w:color="auto"/>
            <w:left w:val="none" w:sz="0" w:space="0" w:color="auto"/>
            <w:bottom w:val="none" w:sz="0" w:space="0" w:color="auto"/>
            <w:right w:val="none" w:sz="0" w:space="0" w:color="auto"/>
          </w:divBdr>
        </w:div>
      </w:divsChild>
    </w:div>
    <w:div w:id="847519615">
      <w:bodyDiv w:val="1"/>
      <w:marLeft w:val="0"/>
      <w:marRight w:val="0"/>
      <w:marTop w:val="0"/>
      <w:marBottom w:val="0"/>
      <w:divBdr>
        <w:top w:val="none" w:sz="0" w:space="0" w:color="auto"/>
        <w:left w:val="none" w:sz="0" w:space="0" w:color="auto"/>
        <w:bottom w:val="none" w:sz="0" w:space="0" w:color="auto"/>
        <w:right w:val="none" w:sz="0" w:space="0" w:color="auto"/>
      </w:divBdr>
      <w:divsChild>
        <w:div w:id="5238714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656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82663">
      <w:bodyDiv w:val="1"/>
      <w:marLeft w:val="0"/>
      <w:marRight w:val="0"/>
      <w:marTop w:val="0"/>
      <w:marBottom w:val="0"/>
      <w:divBdr>
        <w:top w:val="none" w:sz="0" w:space="0" w:color="auto"/>
        <w:left w:val="none" w:sz="0" w:space="0" w:color="auto"/>
        <w:bottom w:val="none" w:sz="0" w:space="0" w:color="auto"/>
        <w:right w:val="none" w:sz="0" w:space="0" w:color="auto"/>
      </w:divBdr>
      <w:divsChild>
        <w:div w:id="1722318685">
          <w:marLeft w:val="0"/>
          <w:marRight w:val="0"/>
          <w:marTop w:val="180"/>
          <w:marBottom w:val="240"/>
          <w:divBdr>
            <w:top w:val="none" w:sz="0" w:space="0" w:color="auto"/>
            <w:left w:val="none" w:sz="0" w:space="0" w:color="auto"/>
            <w:bottom w:val="none" w:sz="0" w:space="0" w:color="auto"/>
            <w:right w:val="none" w:sz="0" w:space="0" w:color="auto"/>
          </w:divBdr>
        </w:div>
      </w:divsChild>
    </w:div>
    <w:div w:id="1450777852">
      <w:bodyDiv w:val="1"/>
      <w:marLeft w:val="0"/>
      <w:marRight w:val="0"/>
      <w:marTop w:val="0"/>
      <w:marBottom w:val="0"/>
      <w:divBdr>
        <w:top w:val="none" w:sz="0" w:space="0" w:color="auto"/>
        <w:left w:val="none" w:sz="0" w:space="0" w:color="auto"/>
        <w:bottom w:val="none" w:sz="0" w:space="0" w:color="auto"/>
        <w:right w:val="none" w:sz="0" w:space="0" w:color="auto"/>
      </w:divBdr>
      <w:divsChild>
        <w:div w:id="1680959000">
          <w:marLeft w:val="0"/>
          <w:marRight w:val="0"/>
          <w:marTop w:val="180"/>
          <w:marBottom w:val="240"/>
          <w:divBdr>
            <w:top w:val="none" w:sz="0" w:space="0" w:color="auto"/>
            <w:left w:val="none" w:sz="0" w:space="0" w:color="auto"/>
            <w:bottom w:val="none" w:sz="0" w:space="0" w:color="auto"/>
            <w:right w:val="none" w:sz="0" w:space="0" w:color="auto"/>
          </w:divBdr>
        </w:div>
      </w:divsChild>
    </w:div>
    <w:div w:id="1647851416">
      <w:bodyDiv w:val="1"/>
      <w:marLeft w:val="0"/>
      <w:marRight w:val="0"/>
      <w:marTop w:val="0"/>
      <w:marBottom w:val="0"/>
      <w:divBdr>
        <w:top w:val="none" w:sz="0" w:space="0" w:color="auto"/>
        <w:left w:val="none" w:sz="0" w:space="0" w:color="auto"/>
        <w:bottom w:val="none" w:sz="0" w:space="0" w:color="auto"/>
        <w:right w:val="none" w:sz="0" w:space="0" w:color="auto"/>
      </w:divBdr>
      <w:divsChild>
        <w:div w:id="85276715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8681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06408">
      <w:bodyDiv w:val="1"/>
      <w:marLeft w:val="0"/>
      <w:marRight w:val="0"/>
      <w:marTop w:val="0"/>
      <w:marBottom w:val="0"/>
      <w:divBdr>
        <w:top w:val="none" w:sz="0" w:space="0" w:color="auto"/>
        <w:left w:val="none" w:sz="0" w:space="0" w:color="auto"/>
        <w:bottom w:val="none" w:sz="0" w:space="0" w:color="auto"/>
        <w:right w:val="none" w:sz="0" w:space="0" w:color="auto"/>
      </w:divBdr>
    </w:div>
    <w:div w:id="2140292505">
      <w:bodyDiv w:val="1"/>
      <w:marLeft w:val="0"/>
      <w:marRight w:val="0"/>
      <w:marTop w:val="0"/>
      <w:marBottom w:val="0"/>
      <w:divBdr>
        <w:top w:val="none" w:sz="0" w:space="0" w:color="auto"/>
        <w:left w:val="none" w:sz="0" w:space="0" w:color="auto"/>
        <w:bottom w:val="none" w:sz="0" w:space="0" w:color="auto"/>
        <w:right w:val="none" w:sz="0" w:space="0" w:color="auto"/>
      </w:divBdr>
      <w:divsChild>
        <w:div w:id="1234730513">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18/08/relationships/commentsExtensible" Target="commentsExtensible.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5789</Words>
  <Characters>31842</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Microsoft Office User</cp:lastModifiedBy>
  <cp:revision>2</cp:revision>
  <dcterms:created xsi:type="dcterms:W3CDTF">2026-07-01T01:43:00Z</dcterms:created>
  <dcterms:modified xsi:type="dcterms:W3CDTF">2026-07-01T01:43:00Z</dcterms:modified>
</cp:coreProperties>
</file>