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A365D4" w:rsidRDefault="00C802F5" w:rsidP="001923DC">
      <w:pPr>
        <w:jc w:val="center"/>
        <w:rPr>
          <w:rFonts w:ascii="Times New Roman" w:hAnsi="Times New Roman" w:cs="Times New Roman"/>
        </w:rPr>
      </w:pPr>
    </w:p>
    <w:p w14:paraId="43C49479" w14:textId="1818611C" w:rsidR="005F3B2E" w:rsidRPr="00A365D4" w:rsidRDefault="00604E70" w:rsidP="001923DC">
      <w:pPr>
        <w:jc w:val="center"/>
        <w:rPr>
          <w:rFonts w:ascii="Times New Roman" w:hAnsi="Times New Roman" w:cs="Times New Roman"/>
        </w:rPr>
      </w:pPr>
      <w:r w:rsidRPr="00A365D4">
        <w:rPr>
          <w:rFonts w:ascii="Times New Roman" w:hAnsi="Times New Roman" w:cs="Times New Roman"/>
          <w:b/>
          <w:bCs/>
        </w:rPr>
        <w:t>Desafíos actuales en la evaluación de investigadores/as a nivel institucional: evidencias de una universidad argentina</w:t>
      </w:r>
    </w:p>
    <w:p w14:paraId="4E738780" w14:textId="6E43023A" w:rsidR="005F3B2E" w:rsidRPr="00A365D4" w:rsidRDefault="00604E70" w:rsidP="005F3B2E">
      <w:pPr>
        <w:spacing w:after="0" w:line="240" w:lineRule="auto"/>
        <w:jc w:val="right"/>
        <w:rPr>
          <w:rFonts w:ascii="Times New Roman" w:hAnsi="Times New Roman" w:cs="Times New Roman"/>
          <w:lang w:val="en-US"/>
        </w:rPr>
      </w:pPr>
      <w:r w:rsidRPr="00A365D4">
        <w:rPr>
          <w:rFonts w:ascii="Times New Roman" w:hAnsi="Times New Roman" w:cs="Times New Roman"/>
          <w:lang w:val="en-US"/>
        </w:rPr>
        <w:t>Sarthou, Nerina</w:t>
      </w:r>
    </w:p>
    <w:p w14:paraId="6C2AECCA" w14:textId="685158C1" w:rsidR="005F3B2E" w:rsidRPr="00A365D4" w:rsidRDefault="00604E70" w:rsidP="005F3B2E">
      <w:pPr>
        <w:spacing w:after="0" w:line="240" w:lineRule="auto"/>
        <w:jc w:val="right"/>
        <w:rPr>
          <w:rFonts w:ascii="Times New Roman" w:hAnsi="Times New Roman" w:cs="Times New Roman"/>
          <w:lang w:val="en-US"/>
        </w:rPr>
      </w:pPr>
      <w:r w:rsidRPr="00A365D4">
        <w:rPr>
          <w:rFonts w:ascii="Times New Roman" w:hAnsi="Times New Roman" w:cs="Times New Roman"/>
          <w:lang w:val="en-US"/>
        </w:rPr>
        <w:t>CEIPIL-UNICEN/CONICET</w:t>
      </w:r>
    </w:p>
    <w:p w14:paraId="7D0026CD" w14:textId="6C03FA4F" w:rsidR="005F3B2E" w:rsidRPr="00A365D4" w:rsidRDefault="00604E70" w:rsidP="005F3B2E">
      <w:pPr>
        <w:spacing w:after="0" w:line="240" w:lineRule="auto"/>
        <w:jc w:val="right"/>
        <w:rPr>
          <w:rFonts w:ascii="Times New Roman" w:hAnsi="Times New Roman" w:cs="Times New Roman"/>
          <w:lang w:val="en-US"/>
        </w:rPr>
      </w:pPr>
      <w:r w:rsidRPr="00A365D4">
        <w:rPr>
          <w:rFonts w:ascii="Times New Roman" w:hAnsi="Times New Roman" w:cs="Times New Roman"/>
          <w:lang w:val="en-US"/>
        </w:rPr>
        <w:t>nsarthou@fch.unicen.edu.ar</w:t>
      </w:r>
    </w:p>
    <w:p w14:paraId="1FA0F857" w14:textId="77777777" w:rsidR="005F3B2E" w:rsidRPr="00A365D4" w:rsidRDefault="005F3B2E" w:rsidP="005F3B2E">
      <w:pPr>
        <w:rPr>
          <w:rFonts w:ascii="Times New Roman" w:hAnsi="Times New Roman" w:cs="Times New Roman"/>
          <w:lang w:val="en-US"/>
        </w:rPr>
      </w:pPr>
    </w:p>
    <w:p w14:paraId="1275A9C7" w14:textId="3EE6E711" w:rsidR="005F3B2E" w:rsidRPr="00A365D4" w:rsidRDefault="00604E70" w:rsidP="005F3B2E">
      <w:pPr>
        <w:spacing w:after="0" w:line="240" w:lineRule="auto"/>
        <w:jc w:val="right"/>
        <w:rPr>
          <w:rFonts w:ascii="Times New Roman" w:hAnsi="Times New Roman" w:cs="Times New Roman"/>
        </w:rPr>
      </w:pPr>
      <w:r w:rsidRPr="00A365D4">
        <w:rPr>
          <w:rFonts w:ascii="Times New Roman" w:hAnsi="Times New Roman" w:cs="Times New Roman"/>
        </w:rPr>
        <w:t>Cristián Gugluielminotti</w:t>
      </w:r>
    </w:p>
    <w:p w14:paraId="46FEEBE4" w14:textId="4405E117" w:rsidR="005F3B2E" w:rsidRPr="00A365D4" w:rsidRDefault="00604E70" w:rsidP="005F3B2E">
      <w:pPr>
        <w:spacing w:after="0" w:line="240" w:lineRule="auto"/>
        <w:jc w:val="right"/>
        <w:rPr>
          <w:rFonts w:ascii="Times New Roman" w:hAnsi="Times New Roman" w:cs="Times New Roman"/>
        </w:rPr>
      </w:pPr>
      <w:r w:rsidRPr="00137E3A">
        <w:rPr>
          <w:rFonts w:ascii="Times New Roman" w:hAnsi="Times New Roman" w:cs="Times New Roman"/>
          <w:lang w:val="es-AR"/>
        </w:rPr>
        <w:t>CEIPIL-UNICEN</w:t>
      </w:r>
    </w:p>
    <w:p w14:paraId="3CAC774D" w14:textId="4678DEB6" w:rsidR="005F3B2E" w:rsidRPr="00A365D4" w:rsidRDefault="00604E70" w:rsidP="005F3B2E">
      <w:pPr>
        <w:spacing w:after="0" w:line="240" w:lineRule="auto"/>
        <w:jc w:val="right"/>
        <w:rPr>
          <w:rFonts w:ascii="Times New Roman" w:hAnsi="Times New Roman" w:cs="Times New Roman"/>
        </w:rPr>
      </w:pPr>
      <w:r w:rsidRPr="00A365D4">
        <w:rPr>
          <w:rFonts w:ascii="Times New Roman" w:hAnsi="Times New Roman" w:cs="Times New Roman"/>
        </w:rPr>
        <w:t>guglielminotticr@gmail.com</w:t>
      </w:r>
    </w:p>
    <w:p w14:paraId="640847CC" w14:textId="77777777" w:rsidR="005F3B2E" w:rsidRPr="00A365D4" w:rsidRDefault="005F3B2E" w:rsidP="005F3B2E">
      <w:pPr>
        <w:spacing w:after="0" w:line="240" w:lineRule="auto"/>
        <w:jc w:val="right"/>
        <w:rPr>
          <w:rFonts w:ascii="Times New Roman" w:hAnsi="Times New Roman" w:cs="Times New Roman"/>
        </w:rPr>
      </w:pPr>
    </w:p>
    <w:p w14:paraId="3F6986E9" w14:textId="4F4EF1EB" w:rsidR="005F3B2E" w:rsidRPr="00A365D4" w:rsidRDefault="00C802F5" w:rsidP="00C802F5">
      <w:pPr>
        <w:tabs>
          <w:tab w:val="center" w:pos="4252"/>
          <w:tab w:val="right" w:pos="8504"/>
        </w:tabs>
        <w:spacing w:after="0" w:line="240" w:lineRule="auto"/>
        <w:rPr>
          <w:rFonts w:ascii="Times New Roman" w:hAnsi="Times New Roman" w:cs="Times New Roman"/>
        </w:rPr>
      </w:pPr>
      <w:r w:rsidRPr="00A365D4">
        <w:rPr>
          <w:rFonts w:ascii="Times New Roman" w:hAnsi="Times New Roman" w:cs="Times New Roman"/>
        </w:rPr>
        <w:tab/>
      </w:r>
      <w:r w:rsidRPr="00A365D4">
        <w:rPr>
          <w:rFonts w:ascii="Times New Roman" w:hAnsi="Times New Roman" w:cs="Times New Roman"/>
        </w:rPr>
        <w:tab/>
      </w:r>
      <w:r w:rsidR="00604E70" w:rsidRPr="00A365D4">
        <w:rPr>
          <w:rFonts w:ascii="Times New Roman" w:hAnsi="Times New Roman" w:cs="Times New Roman"/>
        </w:rPr>
        <w:t>Fernando Piñero</w:t>
      </w:r>
    </w:p>
    <w:p w14:paraId="5B888EA2" w14:textId="77777777" w:rsidR="00604E70" w:rsidRPr="00A365D4" w:rsidRDefault="00604E70" w:rsidP="005F3B2E">
      <w:pPr>
        <w:spacing w:after="0" w:line="240" w:lineRule="auto"/>
        <w:jc w:val="right"/>
        <w:rPr>
          <w:rFonts w:ascii="Times New Roman" w:hAnsi="Times New Roman" w:cs="Times New Roman"/>
        </w:rPr>
      </w:pPr>
      <w:r w:rsidRPr="00A365D4">
        <w:rPr>
          <w:rFonts w:ascii="Times New Roman" w:hAnsi="Times New Roman" w:cs="Times New Roman"/>
          <w:lang w:val="es-AR"/>
        </w:rPr>
        <w:t>CEIPIL-UNICEN</w:t>
      </w:r>
      <w:r w:rsidRPr="00A365D4">
        <w:rPr>
          <w:rFonts w:ascii="Times New Roman" w:hAnsi="Times New Roman" w:cs="Times New Roman"/>
        </w:rPr>
        <w:t xml:space="preserve"> </w:t>
      </w:r>
    </w:p>
    <w:p w14:paraId="4E696C7D" w14:textId="414A5415" w:rsidR="005F3B2E" w:rsidRPr="00A365D4" w:rsidRDefault="00604E70" w:rsidP="005F3B2E">
      <w:pPr>
        <w:spacing w:after="0" w:line="240" w:lineRule="auto"/>
        <w:jc w:val="right"/>
        <w:rPr>
          <w:rFonts w:ascii="Times New Roman" w:hAnsi="Times New Roman" w:cs="Times New Roman"/>
        </w:rPr>
      </w:pPr>
      <w:r w:rsidRPr="00A365D4">
        <w:rPr>
          <w:rFonts w:ascii="Times New Roman" w:hAnsi="Times New Roman" w:cs="Times New Roman"/>
        </w:rPr>
        <w:t>f_pinero@yahoo.com</w:t>
      </w:r>
    </w:p>
    <w:p w14:paraId="2DE03B28" w14:textId="77777777" w:rsidR="00604E70" w:rsidRPr="00A365D4" w:rsidRDefault="00604E70" w:rsidP="007B5B5F">
      <w:pPr>
        <w:spacing w:line="240" w:lineRule="auto"/>
        <w:jc w:val="both"/>
        <w:rPr>
          <w:rFonts w:ascii="Times New Roman" w:hAnsi="Times New Roman" w:cs="Times New Roman"/>
          <w:b/>
          <w:bCs/>
          <w:color w:val="EE0000"/>
        </w:rPr>
      </w:pPr>
    </w:p>
    <w:p w14:paraId="20D4A3CB" w14:textId="04774391" w:rsidR="00604E70" w:rsidRPr="00A365D4" w:rsidRDefault="00BA642E" w:rsidP="00604E70">
      <w:pPr>
        <w:spacing w:line="240" w:lineRule="auto"/>
        <w:jc w:val="both"/>
        <w:rPr>
          <w:rFonts w:ascii="Times New Roman" w:eastAsia="Times New Roman" w:hAnsi="Times New Roman" w:cs="Times New Roman"/>
        </w:rPr>
      </w:pPr>
      <w:r w:rsidRPr="00A365D4">
        <w:rPr>
          <w:rFonts w:ascii="Times New Roman" w:hAnsi="Times New Roman" w:cs="Times New Roman"/>
          <w:b/>
          <w:bCs/>
          <w:lang w:val="es-AR"/>
        </w:rPr>
        <w:t>Resumen:</w:t>
      </w:r>
      <w:r w:rsidR="007B5B5F" w:rsidRPr="00A365D4">
        <w:rPr>
          <w:rFonts w:ascii="Times New Roman" w:hAnsi="Times New Roman" w:cs="Times New Roman"/>
          <w:b/>
          <w:bCs/>
          <w:lang w:val="es-AR"/>
        </w:rPr>
        <w:t xml:space="preserve"> </w:t>
      </w:r>
      <w:r w:rsidR="00604E70" w:rsidRPr="00A365D4">
        <w:rPr>
          <w:rFonts w:ascii="Times New Roman" w:eastAsia="Times New Roman" w:hAnsi="Times New Roman" w:cs="Times New Roman"/>
        </w:rPr>
        <w:t xml:space="preserve">Ante la ausencia de un programa nacional de categorización de investigadores vigente, algunas universidades de gestión pública en Argentina crearon su propio sistema. En 2024 implementó su sistema la Universidad Nacional de La Plata, mientras que en 2025 lo hizo la Universidad Nacional del Centro de la Provincia de Buenos Aires. Este artículo se propone explorar los rasgos de la </w:t>
      </w:r>
      <w:r w:rsidR="00364098">
        <w:rPr>
          <w:rFonts w:ascii="Times New Roman" w:eastAsia="Times New Roman" w:hAnsi="Times New Roman" w:cs="Times New Roman"/>
        </w:rPr>
        <w:t xml:space="preserve">implementación del proceso de evaluación </w:t>
      </w:r>
      <w:r w:rsidR="00364098" w:rsidRPr="00A365D4">
        <w:rPr>
          <w:rFonts w:ascii="Times New Roman" w:eastAsia="Times New Roman" w:hAnsi="Times New Roman" w:cs="Times New Roman"/>
        </w:rPr>
        <w:t>de</w:t>
      </w:r>
      <w:r w:rsidR="00604E70" w:rsidRPr="00A365D4">
        <w:rPr>
          <w:rFonts w:ascii="Times New Roman" w:eastAsia="Times New Roman" w:hAnsi="Times New Roman" w:cs="Times New Roman"/>
        </w:rPr>
        <w:t xml:space="preserve"> estos sistemas</w:t>
      </w:r>
      <w:r w:rsidR="00364098">
        <w:rPr>
          <w:rFonts w:ascii="Times New Roman" w:eastAsia="Times New Roman" w:hAnsi="Times New Roman" w:cs="Times New Roman"/>
        </w:rPr>
        <w:t xml:space="preserve"> a partir de indagar en las opiniones de quienes participaron como evaluadores/as. </w:t>
      </w:r>
      <w:r w:rsidR="00604E70" w:rsidRPr="00A365D4">
        <w:rPr>
          <w:rFonts w:ascii="Times New Roman" w:eastAsia="Times New Roman" w:hAnsi="Times New Roman" w:cs="Times New Roman"/>
        </w:rPr>
        <w:t>Tomamos como caso de estudio el Programa de Categorización de Docentes-investigadores</w:t>
      </w:r>
      <w:r w:rsidR="00364098">
        <w:rPr>
          <w:rFonts w:ascii="Times New Roman" w:eastAsia="Times New Roman" w:hAnsi="Times New Roman" w:cs="Times New Roman"/>
        </w:rPr>
        <w:t xml:space="preserve"> (PROCADI)</w:t>
      </w:r>
      <w:r w:rsidR="00604E70" w:rsidRPr="00A365D4">
        <w:rPr>
          <w:rFonts w:ascii="Times New Roman" w:eastAsia="Times New Roman" w:hAnsi="Times New Roman" w:cs="Times New Roman"/>
        </w:rPr>
        <w:t xml:space="preserve"> de la UNCPBA, por la posibilidad de aplicar un cuestionario </w:t>
      </w:r>
      <w:r w:rsidR="00604E70" w:rsidRPr="00A365D4">
        <w:rPr>
          <w:rFonts w:ascii="Times New Roman" w:eastAsia="Times New Roman" w:hAnsi="Times New Roman" w:cs="Times New Roman"/>
          <w:i/>
          <w:iCs/>
        </w:rPr>
        <w:t>in situ</w:t>
      </w:r>
      <w:r w:rsidR="00604E70" w:rsidRPr="00A365D4">
        <w:rPr>
          <w:rFonts w:ascii="Times New Roman" w:eastAsia="Times New Roman" w:hAnsi="Times New Roman" w:cs="Times New Roman"/>
        </w:rPr>
        <w:t xml:space="preserve"> a los integrantes de todas las comisiones de evaluación y debido al acceso inmediato y completo a todos los datos necesarios para su estudio. </w:t>
      </w:r>
      <w:r w:rsidR="00E859A0" w:rsidRPr="00A365D4">
        <w:rPr>
          <w:rFonts w:ascii="Times New Roman" w:eastAsia="Times New Roman" w:hAnsi="Times New Roman" w:cs="Times New Roman"/>
        </w:rPr>
        <w:t>Observamos un intento por parte de la UNCPBA de desarrollar una política autónoma de promoción de la investigación, aunque condicionada por el contexto de incertidumbre nacional. La percepción de las y los evaluadores permite vislumbrar un escenario auspicioso para el</w:t>
      </w:r>
      <w:r w:rsidR="00A365D4">
        <w:rPr>
          <w:rFonts w:ascii="Times New Roman" w:eastAsia="Times New Roman" w:hAnsi="Times New Roman" w:cs="Times New Roman"/>
        </w:rPr>
        <w:t xml:space="preserve"> fortalecimiento de este </w:t>
      </w:r>
      <w:r w:rsidR="00364098">
        <w:rPr>
          <w:rFonts w:ascii="Times New Roman" w:eastAsia="Times New Roman" w:hAnsi="Times New Roman" w:cs="Times New Roman"/>
        </w:rPr>
        <w:t>sistema,</w:t>
      </w:r>
      <w:r w:rsidR="00A365D4">
        <w:rPr>
          <w:rFonts w:ascii="Times New Roman" w:eastAsia="Times New Roman" w:hAnsi="Times New Roman" w:cs="Times New Roman"/>
        </w:rPr>
        <w:t xml:space="preserve"> aunque los criterios y mecanismos de evaluación deben ser revisado</w:t>
      </w:r>
      <w:r w:rsidR="00364098">
        <w:rPr>
          <w:rFonts w:ascii="Times New Roman" w:eastAsia="Times New Roman" w:hAnsi="Times New Roman" w:cs="Times New Roman"/>
        </w:rPr>
        <w:t>s</w:t>
      </w:r>
      <w:r w:rsidR="00A365D4">
        <w:rPr>
          <w:rFonts w:ascii="Times New Roman" w:eastAsia="Times New Roman" w:hAnsi="Times New Roman" w:cs="Times New Roman"/>
        </w:rPr>
        <w:t xml:space="preserve">. </w:t>
      </w:r>
      <w:r w:rsidR="00E859A0" w:rsidRPr="00A365D4">
        <w:rPr>
          <w:rFonts w:ascii="Times New Roman" w:eastAsia="Times New Roman" w:hAnsi="Times New Roman" w:cs="Times New Roman"/>
        </w:rPr>
        <w:t xml:space="preserve"> </w:t>
      </w:r>
    </w:p>
    <w:p w14:paraId="2994BAB3" w14:textId="5D22A4AC" w:rsidR="00BA642E" w:rsidRPr="00A365D4" w:rsidRDefault="00604E70" w:rsidP="00604E70">
      <w:pPr>
        <w:spacing w:line="240" w:lineRule="auto"/>
        <w:jc w:val="both"/>
        <w:rPr>
          <w:rFonts w:ascii="Times New Roman" w:hAnsi="Times New Roman" w:cs="Times New Roman"/>
          <w:b/>
          <w:bCs/>
        </w:rPr>
      </w:pPr>
      <w:r w:rsidRPr="00A365D4">
        <w:rPr>
          <w:rFonts w:ascii="Times New Roman" w:hAnsi="Times New Roman" w:cs="Times New Roman"/>
          <w:b/>
          <w:bCs/>
        </w:rPr>
        <w:t xml:space="preserve">Palabras clave: </w:t>
      </w:r>
      <w:r w:rsidRPr="00A365D4">
        <w:rPr>
          <w:rFonts w:ascii="Times New Roman" w:hAnsi="Times New Roman" w:cs="Times New Roman"/>
        </w:rPr>
        <w:t>evaluación, carrera académica, universidad, sistemas institucionales de evaluación de investigadores</w:t>
      </w:r>
      <w:r w:rsidRPr="00A365D4">
        <w:rPr>
          <w:rFonts w:ascii="Times New Roman" w:hAnsi="Times New Roman" w:cs="Times New Roman"/>
          <w:b/>
          <w:bCs/>
        </w:rPr>
        <w:t xml:space="preserve"> </w:t>
      </w:r>
    </w:p>
    <w:p w14:paraId="6A5547A1" w14:textId="36B7FAC2" w:rsidR="00BA642E" w:rsidRPr="00A365D4" w:rsidRDefault="00BA642E" w:rsidP="00604E70">
      <w:pPr>
        <w:spacing w:line="240" w:lineRule="auto"/>
        <w:rPr>
          <w:rFonts w:ascii="Times New Roman" w:hAnsi="Times New Roman" w:cs="Times New Roman"/>
          <w:b/>
          <w:bCs/>
          <w:lang w:val="es-AR"/>
        </w:rPr>
      </w:pPr>
      <w:r w:rsidRPr="00A365D4">
        <w:rPr>
          <w:rFonts w:ascii="Times New Roman" w:hAnsi="Times New Roman" w:cs="Times New Roman"/>
          <w:b/>
          <w:bCs/>
          <w:lang w:val="es-AR"/>
        </w:rPr>
        <w:t>Introducción</w:t>
      </w:r>
    </w:p>
    <w:p w14:paraId="2BF47D6B"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En el siglo XIX, cuando terminó el período colonial, había más de 30 universidades en los países hispanoamericanos recién independizados; dichas instituciones pueden verse como diferentes combinaciones de dos modelos: el antiguo de la universidad colonial y el nuevo proyecto de universidad republicana, inspirado en el modelo napoleónico francés de escuelas profesionales poco conectadas entre sí y con escasa presencia en ellas de actividades de investigación (Arocena y </w:t>
      </w:r>
      <w:proofErr w:type="spellStart"/>
      <w:r w:rsidRPr="00A365D4">
        <w:rPr>
          <w:rFonts w:ascii="Times New Roman" w:eastAsia="Times New Roman" w:hAnsi="Times New Roman" w:cs="Times New Roman"/>
        </w:rPr>
        <w:t>Sutz</w:t>
      </w:r>
      <w:proofErr w:type="spellEnd"/>
      <w:r w:rsidRPr="00A365D4">
        <w:rPr>
          <w:rFonts w:ascii="Times New Roman" w:eastAsia="Times New Roman" w:hAnsi="Times New Roman" w:cs="Times New Roman"/>
        </w:rPr>
        <w:t xml:space="preserve">, 2005). Ante este panorama, para incentivar </w:t>
      </w:r>
      <w:r w:rsidRPr="00A365D4">
        <w:rPr>
          <w:rFonts w:ascii="Times New Roman" w:eastAsia="Times New Roman" w:hAnsi="Times New Roman" w:cs="Times New Roman"/>
        </w:rPr>
        <w:lastRenderedPageBreak/>
        <w:t xml:space="preserve">la producción de conocimientos científicos, los gobiernos nacionales implementaron diferentes estrategias. </w:t>
      </w:r>
    </w:p>
    <w:p w14:paraId="5D7C41BE" w14:textId="77777777" w:rsidR="00604E70" w:rsidRPr="00A365D4" w:rsidRDefault="00604E70" w:rsidP="00604E70">
      <w:pPr>
        <w:spacing w:line="240" w:lineRule="auto"/>
        <w:jc w:val="both"/>
        <w:rPr>
          <w:rFonts w:ascii="Times New Roman" w:eastAsia="Times New Roman" w:hAnsi="Times New Roman" w:cs="Times New Roman"/>
        </w:rPr>
      </w:pP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xml:space="preserve"> y demás autores (2023) identificaron al menos tres modelos de políticas directamente orientadas a promover las actividades de investigación de las/os profesores universitarios: (i) un sistema de incentivo integrado en las instituciones de trabajo, (</w:t>
      </w:r>
      <w:proofErr w:type="spellStart"/>
      <w:r w:rsidRPr="00A365D4">
        <w:rPr>
          <w:rFonts w:ascii="Times New Roman" w:eastAsia="Times New Roman" w:hAnsi="Times New Roman" w:cs="Times New Roman"/>
        </w:rPr>
        <w:t>ii</w:t>
      </w:r>
      <w:proofErr w:type="spellEnd"/>
      <w:r w:rsidRPr="00A365D4">
        <w:rPr>
          <w:rFonts w:ascii="Times New Roman" w:eastAsia="Times New Roman" w:hAnsi="Times New Roman" w:cs="Times New Roman"/>
        </w:rPr>
        <w:t>) un sistema de carrera focalizado en investigación, pero separado de la carrera académica tradicional y (</w:t>
      </w:r>
      <w:proofErr w:type="spellStart"/>
      <w:r w:rsidRPr="00A365D4">
        <w:rPr>
          <w:rFonts w:ascii="Times New Roman" w:eastAsia="Times New Roman" w:hAnsi="Times New Roman" w:cs="Times New Roman"/>
        </w:rPr>
        <w:t>iii</w:t>
      </w:r>
      <w:proofErr w:type="spellEnd"/>
      <w:r w:rsidRPr="00A365D4">
        <w:rPr>
          <w:rFonts w:ascii="Times New Roman" w:eastAsia="Times New Roman" w:hAnsi="Times New Roman" w:cs="Times New Roman"/>
        </w:rPr>
        <w:t>) un sistema complementario a la actividad de enseñanza universitaria.</w:t>
      </w:r>
    </w:p>
    <w:p w14:paraId="02F307FE"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La primera alternativa ha sido adoptada en países como Costa Rica y Chile, donde no existe un sistema centralizado de promoción de la investigación, sino que es cada universidad o institución de trabajo la que decide el modo de incentivar una carrera académica que integre docencia e investigación. Esta opción es además la predominante en otras regiones del mundo, como en América del Norte, a través del modelo institucional de </w:t>
      </w:r>
      <w:proofErr w:type="spellStart"/>
      <w:r w:rsidRPr="00A365D4">
        <w:rPr>
          <w:rFonts w:ascii="Times New Roman" w:eastAsia="Times New Roman" w:hAnsi="Times New Roman" w:cs="Times New Roman"/>
          <w:i/>
          <w:iCs/>
        </w:rPr>
        <w:t>research</w:t>
      </w:r>
      <w:proofErr w:type="spellEnd"/>
      <w:r w:rsidRPr="00A365D4">
        <w:rPr>
          <w:rFonts w:ascii="Times New Roman" w:eastAsia="Times New Roman" w:hAnsi="Times New Roman" w:cs="Times New Roman"/>
          <w:i/>
          <w:iCs/>
        </w:rPr>
        <w:t xml:space="preserve"> </w:t>
      </w:r>
      <w:proofErr w:type="spellStart"/>
      <w:r w:rsidRPr="00A365D4">
        <w:rPr>
          <w:rFonts w:ascii="Times New Roman" w:eastAsia="Times New Roman" w:hAnsi="Times New Roman" w:cs="Times New Roman"/>
          <w:i/>
          <w:iCs/>
        </w:rPr>
        <w:t>university</w:t>
      </w:r>
      <w:proofErr w:type="spellEnd"/>
      <w:r w:rsidRPr="00A365D4">
        <w:rPr>
          <w:rFonts w:ascii="Times New Roman" w:eastAsia="Times New Roman" w:hAnsi="Times New Roman" w:cs="Times New Roman"/>
        </w:rPr>
        <w:t xml:space="preserve"> y su </w:t>
      </w:r>
      <w:proofErr w:type="spellStart"/>
      <w:r w:rsidRPr="00A365D4">
        <w:rPr>
          <w:rFonts w:ascii="Times New Roman" w:eastAsia="Times New Roman" w:hAnsi="Times New Roman" w:cs="Times New Roman"/>
          <w:i/>
          <w:iCs/>
        </w:rPr>
        <w:t>tenure</w:t>
      </w:r>
      <w:proofErr w:type="spellEnd"/>
      <w:r w:rsidRPr="00A365D4">
        <w:rPr>
          <w:rFonts w:ascii="Times New Roman" w:eastAsia="Times New Roman" w:hAnsi="Times New Roman" w:cs="Times New Roman"/>
          <w:i/>
          <w:iCs/>
        </w:rPr>
        <w:t xml:space="preserve"> </w:t>
      </w:r>
      <w:proofErr w:type="spellStart"/>
      <w:r w:rsidRPr="00A365D4">
        <w:rPr>
          <w:rFonts w:ascii="Times New Roman" w:eastAsia="Times New Roman" w:hAnsi="Times New Roman" w:cs="Times New Roman"/>
          <w:i/>
          <w:iCs/>
        </w:rPr>
        <w:t>system</w:t>
      </w:r>
      <w:proofErr w:type="spellEnd"/>
      <w:r w:rsidRPr="00A365D4">
        <w:rPr>
          <w:rFonts w:ascii="Times New Roman" w:eastAsia="Times New Roman" w:hAnsi="Times New Roman" w:cs="Times New Roman"/>
          <w:i/>
          <w:iCs/>
        </w:rPr>
        <w:t xml:space="preserve"> </w:t>
      </w:r>
      <w:r w:rsidRPr="00A365D4">
        <w:rPr>
          <w:rFonts w:ascii="Times New Roman" w:eastAsia="Times New Roman" w:hAnsi="Times New Roman" w:cs="Times New Roman"/>
        </w:rPr>
        <w:t>(</w:t>
      </w: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2025)</w:t>
      </w:r>
      <w:r w:rsidRPr="00A365D4">
        <w:rPr>
          <w:rFonts w:ascii="Times New Roman" w:eastAsia="Times New Roman" w:hAnsi="Times New Roman" w:cs="Times New Roman"/>
          <w:i/>
          <w:iCs/>
        </w:rPr>
        <w:t>.</w:t>
      </w:r>
      <w:r w:rsidRPr="00A365D4">
        <w:rPr>
          <w:rFonts w:ascii="Times New Roman" w:eastAsia="Times New Roman" w:hAnsi="Times New Roman" w:cs="Times New Roman"/>
        </w:rPr>
        <w:t xml:space="preserve"> En Europa, los sistemas de carrera tienen un peso importante y se complementan con las evaluaciones nacionales basadas en el desempeño, realizadas fundamentalmente a nivel de las instituciones y estrechamente vinculadas al financiamiento, es decir, la distribución de recursos económicos se realiza en base a los resultados de la evaluación (Hicks, 2012). </w:t>
      </w:r>
    </w:p>
    <w:p w14:paraId="40865950" w14:textId="62554BF3"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La segunda alternativa es implementada en Argentina y puede llamarse “</w:t>
      </w:r>
      <w:proofErr w:type="spellStart"/>
      <w:r w:rsidRPr="00A365D4">
        <w:rPr>
          <w:rFonts w:ascii="Times New Roman" w:eastAsia="Times New Roman" w:hAnsi="Times New Roman" w:cs="Times New Roman"/>
        </w:rPr>
        <w:t>carrerización</w:t>
      </w:r>
      <w:proofErr w:type="spellEnd"/>
      <w:r w:rsidRPr="00A365D4">
        <w:rPr>
          <w:rFonts w:ascii="Times New Roman" w:eastAsia="Times New Roman" w:hAnsi="Times New Roman" w:cs="Times New Roman"/>
        </w:rPr>
        <w:t xml:space="preserve">” de la investigación, es decir, la creación de una carrera científica que no está directamente ligada a la enseñanza universitaria. En Argentina, a través del Consejo Nacional de Investigaciones Científicas y Técnicas (CONICET) se abre periódicamente un llamado para puestos permanentes en investigación científica y tecnológica bajo un régimen de empleo público. Los miembros trabajan en diversas universidades o en centros propios de CONICET, pero son evaluados en función de sus actividades de investigación, y no tienen obligación formal de involucrarse en otros aspectos de la vida universitaria (Aguiar et al 2024). Con matices, pueden encontrarse estructuras análogas en España, Francia y Bélgica.  </w:t>
      </w:r>
    </w:p>
    <w:p w14:paraId="7D1D3B30"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La tercera alternativa es la más usual en América Latina. En varios países se han implementado Sistemas Nacionales de Categorización de Investigadores (SNCI), este modelo se ha denominado como de complementariedad, un término medio frente a la </w:t>
      </w:r>
      <w:proofErr w:type="spellStart"/>
      <w:r w:rsidRPr="00A365D4">
        <w:rPr>
          <w:rFonts w:ascii="Times New Roman" w:eastAsia="Times New Roman" w:hAnsi="Times New Roman" w:cs="Times New Roman"/>
        </w:rPr>
        <w:t>carrerización</w:t>
      </w:r>
      <w:proofErr w:type="spellEnd"/>
      <w:r w:rsidRPr="00A365D4">
        <w:rPr>
          <w:rFonts w:ascii="Times New Roman" w:eastAsia="Times New Roman" w:hAnsi="Times New Roman" w:cs="Times New Roman"/>
        </w:rPr>
        <w:t xml:space="preserve"> o la ausencia de un sistema centralizado, que ha sido aceptado y apropiado por la mayoría de las comunidades científicas como un baluarte que garantiza su propia subsistencia (</w:t>
      </w: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xml:space="preserve"> et al., 2023).</w:t>
      </w:r>
    </w:p>
    <w:p w14:paraId="65748B35" w14:textId="30E98E51"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Esta caracterización está cambiando en Argentina debido a un período de transición entre un viejo y un nuevo SNCI cuya demora impide la efectiva implementación de las políticas universitarias dependientes de ese sistema de clasificación de investigadores/as. Primero fue la UNLP en 2024 y luego la UNCPBA en 2025, las primeras instituciones que crearon sus propios sistemas de categorización. Si bien únicamente estas dos universidades hasta el momento han tomado esa decisión -de un total </w:t>
      </w:r>
      <w:r w:rsidRPr="00A365D4">
        <w:rPr>
          <w:rFonts w:ascii="Times New Roman" w:eastAsia="Times New Roman" w:hAnsi="Times New Roman" w:cs="Times New Roman"/>
          <w:shd w:val="clear" w:color="auto" w:fill="FFFFFF" w:themeFill="background1"/>
        </w:rPr>
        <w:t>de 57 instituciones de gestión pública (Secretaría de Políticas Universitarias, 202</w:t>
      </w:r>
      <w:r w:rsidR="00272374">
        <w:rPr>
          <w:rFonts w:ascii="Times New Roman" w:eastAsia="Times New Roman" w:hAnsi="Times New Roman" w:cs="Times New Roman"/>
          <w:shd w:val="clear" w:color="auto" w:fill="FFFFFF" w:themeFill="background1"/>
        </w:rPr>
        <w:t>4</w:t>
      </w:r>
      <w:r w:rsidRPr="00A365D4">
        <w:rPr>
          <w:rFonts w:ascii="Times New Roman" w:eastAsia="Times New Roman" w:hAnsi="Times New Roman" w:cs="Times New Roman"/>
          <w:shd w:val="clear" w:color="auto" w:fill="FFFFFF" w:themeFill="background1"/>
        </w:rPr>
        <w:t>)-, es posible que con</w:t>
      </w:r>
      <w:r w:rsidRPr="00A365D4">
        <w:rPr>
          <w:rFonts w:ascii="Times New Roman" w:eastAsia="Times New Roman" w:hAnsi="Times New Roman" w:cs="Times New Roman"/>
        </w:rPr>
        <w:t xml:space="preserve"> el correr del tiempo se creen nuevos sistemas institucionales. </w:t>
      </w:r>
    </w:p>
    <w:p w14:paraId="430D6A50" w14:textId="4995AC0D"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lastRenderedPageBreak/>
        <w:t>Desde 1994, las universidades de gestión pública en Argentina implementaron el Programa de Incentivos a Docentes-Investigadores de Universidades Nacionales (en adelante PROINCE). Las transformaciones y los efectos de este instrumento de política científica universitaria han sido variadas en el transcurso de sus más de 30 años de vigencia (Sarthou, 2014, 2015, 2016; Beigel, 2019; Prati, 2024). A partir de 2023, la Secretaría de Política Universitarias (SPU) discutió y presentó un nuevo programa: el Programa para la Investigación Universitaria Argentina (PRINUAR). El PRINUAR es fruto de una resolución del Ministerio de Educación (</w:t>
      </w:r>
      <w:proofErr w:type="spellStart"/>
      <w:r w:rsidRPr="00A365D4">
        <w:rPr>
          <w:rFonts w:ascii="Times New Roman" w:eastAsia="Times New Roman" w:hAnsi="Times New Roman" w:cs="Times New Roman"/>
        </w:rPr>
        <w:t>N°</w:t>
      </w:r>
      <w:proofErr w:type="spellEnd"/>
      <w:r w:rsidRPr="00A365D4">
        <w:rPr>
          <w:rFonts w:ascii="Times New Roman" w:eastAsia="Times New Roman" w:hAnsi="Times New Roman" w:cs="Times New Roman"/>
        </w:rPr>
        <w:t xml:space="preserve"> 472/2023) que modifica el sistema de categorización del </w:t>
      </w:r>
      <w:r w:rsidRPr="00A365D4">
        <w:rPr>
          <w:rFonts w:ascii="Times New Roman" w:eastAsia="Times New Roman" w:hAnsi="Times New Roman" w:cs="Times New Roman"/>
          <w:shd w:val="clear" w:color="auto" w:fill="FFFFFF" w:themeFill="background1"/>
        </w:rPr>
        <w:t>PROINCE en 2015, esto</w:t>
      </w:r>
      <w:r w:rsidRPr="00A365D4">
        <w:rPr>
          <w:rFonts w:ascii="Times New Roman" w:eastAsia="Times New Roman" w:hAnsi="Times New Roman" w:cs="Times New Roman"/>
        </w:rPr>
        <w:t xml:space="preserve"> es, desde el punto de vista normativo se trata de una modificación parcial (no la suplantación) del PROINCE (Prati, 2024). </w:t>
      </w:r>
    </w:p>
    <w:p w14:paraId="74B454C7" w14:textId="65CC6F5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Una de las principales transformaciones es la organización de todo el proceso de evaluación. El proceso se centralizó; mientras antes funcionaban comisiones regionales de categorización a lo largo de todo el país y toda la gestión del proceso recaía en las propias instituciones, el nuevo sistema cuenta con un coordinador general y centraliza el proceso en una única comisión académica y siete comisiones por área del conocimiento conformadas ambas por representantes de los siete Consejos Regionales de Planificación de la Educación Superior y de universidades de gestión privada. Si bien el proceso de evaluación está en marcha, el altísimo volumen de solicitudes y la centralización del proceso ha generado demoras, en un contexto político de cambio de gobierno nacional y aplicación de un severo ajuste económico a las universidades públicas. De allí que algunas instituciones decidieron crear sus propios sistemas de categorización de investigadores, una política institucional no desarrollada en el pasado por ninguna institución.    </w:t>
      </w:r>
    </w:p>
    <w:p w14:paraId="6B585792" w14:textId="16EE7948" w:rsidR="000E6654" w:rsidRPr="00A365D4" w:rsidRDefault="000E6654" w:rsidP="00604E70">
      <w:pPr>
        <w:spacing w:line="240" w:lineRule="auto"/>
        <w:jc w:val="both"/>
        <w:rPr>
          <w:rFonts w:ascii="Times New Roman" w:eastAsia="Times New Roman" w:hAnsi="Times New Roman" w:cs="Times New Roman"/>
          <w:color w:val="000000" w:themeColor="text1"/>
        </w:rPr>
      </w:pPr>
      <w:r w:rsidRPr="00A365D4">
        <w:rPr>
          <w:rFonts w:ascii="Times New Roman" w:eastAsia="Times New Roman" w:hAnsi="Times New Roman" w:cs="Times New Roman"/>
          <w:color w:val="000000" w:themeColor="text1"/>
        </w:rPr>
        <w:t xml:space="preserve">Esta ponencia se propone explorar </w:t>
      </w:r>
      <w:r w:rsidR="00CC57F3" w:rsidRPr="00A365D4">
        <w:rPr>
          <w:rFonts w:ascii="Times New Roman" w:eastAsia="Times New Roman" w:hAnsi="Times New Roman" w:cs="Times New Roman"/>
          <w:color w:val="000000" w:themeColor="text1"/>
        </w:rPr>
        <w:t xml:space="preserve">la percepción de las y los evaluadores sobre la </w:t>
      </w:r>
      <w:r w:rsidR="00585E1E" w:rsidRPr="00A365D4">
        <w:rPr>
          <w:rFonts w:ascii="Times New Roman" w:eastAsia="Times New Roman" w:hAnsi="Times New Roman" w:cs="Times New Roman"/>
          <w:color w:val="000000" w:themeColor="text1"/>
        </w:rPr>
        <w:t>implementación de un sistema propio de la UNCPBA para la categorización de docentes-investigadores/as</w:t>
      </w:r>
      <w:r w:rsidR="00A365D4" w:rsidRPr="00A365D4">
        <w:rPr>
          <w:rFonts w:ascii="Times New Roman" w:eastAsia="Times New Roman" w:hAnsi="Times New Roman" w:cs="Times New Roman"/>
          <w:color w:val="000000" w:themeColor="text1"/>
        </w:rPr>
        <w:t xml:space="preserve">. </w:t>
      </w:r>
      <w:r w:rsidR="0070470B" w:rsidRPr="00A365D4">
        <w:rPr>
          <w:rFonts w:ascii="Times New Roman" w:eastAsia="Times New Roman" w:hAnsi="Times New Roman" w:cs="Times New Roman"/>
          <w:color w:val="000000" w:themeColor="text1"/>
        </w:rPr>
        <w:t>Para ello, luego de esta introducción, se presentan las principales instancias y propósitos de los procesos de evaluación en la universidad en América Latina, particularmente en Argentina. En segundo lugar, se identifican los conceptos y enfoques claves para la discusión en torno a la evaluación de investigadores/as en las universidades</w:t>
      </w:r>
      <w:r w:rsidR="00C73151" w:rsidRPr="00A365D4">
        <w:rPr>
          <w:rFonts w:ascii="Times New Roman" w:eastAsia="Times New Roman" w:hAnsi="Times New Roman" w:cs="Times New Roman"/>
          <w:color w:val="000000" w:themeColor="text1"/>
        </w:rPr>
        <w:t xml:space="preserve"> argentinas</w:t>
      </w:r>
      <w:r w:rsidR="0070470B" w:rsidRPr="00A365D4">
        <w:rPr>
          <w:rFonts w:ascii="Times New Roman" w:eastAsia="Times New Roman" w:hAnsi="Times New Roman" w:cs="Times New Roman"/>
          <w:color w:val="000000" w:themeColor="text1"/>
        </w:rPr>
        <w:t xml:space="preserve">. En tercer lugar, se describe la creación e implementación del caso de la UNCPBA para, </w:t>
      </w:r>
      <w:r w:rsidR="00157BD9" w:rsidRPr="00A365D4">
        <w:rPr>
          <w:rFonts w:ascii="Times New Roman" w:eastAsia="Times New Roman" w:hAnsi="Times New Roman" w:cs="Times New Roman"/>
          <w:color w:val="000000" w:themeColor="text1"/>
        </w:rPr>
        <w:t>en cuarto lugar</w:t>
      </w:r>
      <w:r w:rsidR="0070470B" w:rsidRPr="00A365D4">
        <w:rPr>
          <w:rFonts w:ascii="Times New Roman" w:eastAsia="Times New Roman" w:hAnsi="Times New Roman" w:cs="Times New Roman"/>
          <w:color w:val="000000" w:themeColor="text1"/>
        </w:rPr>
        <w:t xml:space="preserve">, presentar y discutir los resultados de la aplicación de la encuesta </w:t>
      </w:r>
      <w:r w:rsidR="0070470B" w:rsidRPr="00A365D4">
        <w:rPr>
          <w:rFonts w:ascii="Times New Roman" w:eastAsia="Times New Roman" w:hAnsi="Times New Roman" w:cs="Times New Roman"/>
          <w:i/>
          <w:iCs/>
          <w:color w:val="000000" w:themeColor="text1"/>
        </w:rPr>
        <w:t>in situ</w:t>
      </w:r>
      <w:r w:rsidR="0070470B" w:rsidRPr="00A365D4">
        <w:rPr>
          <w:rFonts w:ascii="Times New Roman" w:eastAsia="Times New Roman" w:hAnsi="Times New Roman" w:cs="Times New Roman"/>
          <w:color w:val="000000" w:themeColor="text1"/>
        </w:rPr>
        <w:t xml:space="preserve"> a las y los evaluadores que participaron del proceso. Finalmente, l</w:t>
      </w:r>
      <w:r w:rsidR="000B3AB9">
        <w:rPr>
          <w:rFonts w:ascii="Times New Roman" w:eastAsia="Times New Roman" w:hAnsi="Times New Roman" w:cs="Times New Roman"/>
          <w:color w:val="000000" w:themeColor="text1"/>
        </w:rPr>
        <w:t>o</w:t>
      </w:r>
      <w:r w:rsidR="0070470B" w:rsidRPr="00A365D4">
        <w:rPr>
          <w:rFonts w:ascii="Times New Roman" w:eastAsia="Times New Roman" w:hAnsi="Times New Roman" w:cs="Times New Roman"/>
          <w:color w:val="000000" w:themeColor="text1"/>
        </w:rPr>
        <w:t>s co</w:t>
      </w:r>
      <w:r w:rsidR="000B3AB9">
        <w:rPr>
          <w:rFonts w:ascii="Times New Roman" w:eastAsia="Times New Roman" w:hAnsi="Times New Roman" w:cs="Times New Roman"/>
          <w:color w:val="000000" w:themeColor="text1"/>
        </w:rPr>
        <w:t>mentarios finales</w:t>
      </w:r>
      <w:r w:rsidR="0070470B" w:rsidRPr="00A365D4">
        <w:rPr>
          <w:rFonts w:ascii="Times New Roman" w:eastAsia="Times New Roman" w:hAnsi="Times New Roman" w:cs="Times New Roman"/>
          <w:color w:val="000000" w:themeColor="text1"/>
        </w:rPr>
        <w:t xml:space="preserve"> retoman los principales hallazgos. </w:t>
      </w:r>
    </w:p>
    <w:p w14:paraId="0B1E5C81" w14:textId="77777777" w:rsidR="00604E70" w:rsidRPr="00A365D4" w:rsidRDefault="00604E70" w:rsidP="0070470B">
      <w:pPr>
        <w:pStyle w:val="Prrafodelista"/>
        <w:numPr>
          <w:ilvl w:val="0"/>
          <w:numId w:val="3"/>
        </w:numPr>
        <w:spacing w:line="240" w:lineRule="auto"/>
        <w:jc w:val="both"/>
        <w:rPr>
          <w:rFonts w:ascii="Times New Roman" w:eastAsia="Times New Roman" w:hAnsi="Times New Roman" w:cs="Times New Roman"/>
          <w:b/>
          <w:bCs/>
        </w:rPr>
      </w:pPr>
      <w:r w:rsidRPr="00A365D4">
        <w:rPr>
          <w:rFonts w:ascii="Times New Roman" w:eastAsia="Times New Roman" w:hAnsi="Times New Roman" w:cs="Times New Roman"/>
          <w:b/>
          <w:bCs/>
        </w:rPr>
        <w:t>La evaluación de la investigación en las universidades de América Latina</w:t>
      </w:r>
    </w:p>
    <w:p w14:paraId="26CF734B" w14:textId="6F373EF1"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La investigación en la universidad es objeto de evaluación en diversas instancias (Vasen et al 2025). Existe la evaluación institucional, es decir, procesos que involucran un objeto amplio de evaluación como puede ser un posgrado, una facultad o una universidad entera. En Brasil, por ejemplo, se implementa el Programa de Posgrados de la Agencia Federal Brasileña de Apoyo y Evaluación de la Educación (conocida como CAPES por sus siglas en portugués). Se trata de un único sistema creado en 1976 que evalúa todos los programas y cursos de posgrado del país; incorporando, indirectamente, la evaluación de la actividad de investigación. A mediados de 1990, se comenzó a medir la calidad de los cursos de posgrado de acuerdo a la producción y al impacto científico en base a un ranking </w:t>
      </w:r>
      <w:r w:rsidRPr="00A365D4">
        <w:rPr>
          <w:rFonts w:ascii="Times New Roman" w:eastAsia="Times New Roman" w:hAnsi="Times New Roman" w:cs="Times New Roman"/>
        </w:rPr>
        <w:lastRenderedPageBreak/>
        <w:t>específico de revistas creado por CAPES y se introdujeron formularios de evaluación con criterios, indicadores y calificaciones que van del 1 al 7, en orden ascendente de prestigio (McManus et al</w:t>
      </w:r>
      <w:r w:rsidR="000571F4">
        <w:rPr>
          <w:rFonts w:ascii="Times New Roman" w:eastAsia="Times New Roman" w:hAnsi="Times New Roman" w:cs="Times New Roman"/>
        </w:rPr>
        <w:t>.</w:t>
      </w:r>
      <w:r w:rsidRPr="00A365D4">
        <w:rPr>
          <w:rFonts w:ascii="Times New Roman" w:eastAsia="Times New Roman" w:hAnsi="Times New Roman" w:cs="Times New Roman"/>
        </w:rPr>
        <w:t xml:space="preserve"> 2022).</w:t>
      </w:r>
    </w:p>
    <w:p w14:paraId="7F86C116"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En Chile, desde 2006 funciona la Comisión Nacional de Acreditación; su misión es evaluar, acreditar y promover la calidad de las universidades, institutos profesionales y centros de formación técnica autónomos, así como de las carreras y programas que estas imparten. Los resultados de la evaluación de la investigación es una dimensión necesaria para la obtención del periodo máximo de vigencia de acreditación institucional. En Colombia se desarrolla el Modelo de Acreditación de Alta Calidad, que surge con la creación del Sistema Nacional de Acreditación en 1992 con el propósito de promover la excelencia académica en las instituciones de educación superior. Con el paso de los años, la evaluación de la investigación dentro de este Modelo comenzó a ocupar un lugar cada vez más central dentro de los factores del modelo.</w:t>
      </w:r>
    </w:p>
    <w:p w14:paraId="6FAA55B6"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Como puede advertirse, en varios países existe la acreditación como mecanismo de evaluación. Araujo (2015) basándose en el caso argentino señala que hay una clara distinción entre procesos de evaluación y procesos de acreditación en la universidad. Si bien ambas contienen un componente de autoevaluación y evaluación externa a través de pares académicos sobre la base de estándares y criterios consensuados, los efectos difieren. En el caso de la evaluación es de toda la institución universitaria, se asienta en una perspectiva cualitativa y comprensiva de los proyectos universitarios, y es más proclive a respetar la diversidad, derivando en una mayor diferenciación del sistema. La acreditación, por su parte, implica un proceso de evaluación de carreras de grado y posgrado; el resultado conduce al reconocimiento oficial y al otorgamiento de validez nacional de la titulación, promueve una mayor homogeneización curricular y –en los posgrados- determina la inclusión de jerarquías, por cuanto la solicitud de categorización indica distintos niveles de calidad de la propuesta. </w:t>
      </w:r>
    </w:p>
    <w:p w14:paraId="74A71688"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Por otra parte, en las universidades también encontramos procesos de evaluación implementados en convocatorias a subsidios para proyectos de investigación. Hay algunos trabajos que han analizado concretamente los mecanismos de evaluación implementados en convocatorias de financiamiento de propuestas de investigación orientadas a problemas del desarrollo (Vélez Cuartas &amp; Torres Arroyave 2021; Gras 2022).  </w:t>
      </w:r>
    </w:p>
    <w:p w14:paraId="49186381"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Respecto a la evaluación en convocatorias a subsidios, Bekerman y Monti (2025) analizaron el caso argentino y encontraron que, en relación con los criterios de evaluación de proyectos, las universidades nacionales/replican reglas, principios y criterios fuertemente vinculados al propio desarrollo histórico-estructural del campo universitario argentino: es el PROINCE/PRINUAR el sistema que más presente está en los criterios de valoración de los proyectos de investigación. De allí que las autoras afirmen que los principales aspectos están vinculados con criterios típicamente universitarios: originalidad y relevancia temática; estructura y coherencia interna; trayectoria del director/a en la universidad. En la evaluación del director del proyecto, se valoran los antecedentes de investigación en la universidad, la categoría en el PROINCE y formación académica. Destacan las autoras que, a diferencia de lo que sucede en el sistema de </w:t>
      </w:r>
      <w:r w:rsidRPr="00A365D4">
        <w:rPr>
          <w:rFonts w:ascii="Times New Roman" w:eastAsia="Times New Roman" w:hAnsi="Times New Roman" w:cs="Times New Roman"/>
        </w:rPr>
        <w:lastRenderedPageBreak/>
        <w:t xml:space="preserve">evaluación de la </w:t>
      </w:r>
      <w:sdt>
        <w:sdtPr>
          <w:rPr>
            <w:rFonts w:ascii="Times New Roman" w:hAnsi="Times New Roman" w:cs="Times New Roman"/>
          </w:rPr>
          <w:tag w:val="goog_rdk_1"/>
          <w:id w:val="-413644728"/>
        </w:sdtPr>
        <w:sdtContent>
          <w:r w:rsidRPr="00A365D4">
            <w:rPr>
              <w:rFonts w:ascii="Times New Roman" w:hAnsi="Times New Roman" w:cs="Times New Roman"/>
            </w:rPr>
            <w:t>Carrera del Investigador Científico y Tecnológico (</w:t>
          </w:r>
        </w:sdtContent>
      </w:sdt>
      <w:r w:rsidRPr="00A365D4">
        <w:rPr>
          <w:rFonts w:ascii="Times New Roman" w:eastAsia="Times New Roman" w:hAnsi="Times New Roman" w:cs="Times New Roman"/>
        </w:rPr>
        <w:t xml:space="preserve">CICYT) del CONICET, “la producción científica del director/a ocupa un lugar marginal como criterio relevante y los tres aspectos ponderados están alejados de los estándares de producción globales o la productividad medida en cantidad de </w:t>
      </w:r>
      <w:proofErr w:type="spellStart"/>
      <w:r w:rsidRPr="00A365D4">
        <w:rPr>
          <w:rFonts w:ascii="Times New Roman" w:eastAsia="Times New Roman" w:hAnsi="Times New Roman" w:cs="Times New Roman"/>
        </w:rPr>
        <w:t>papers</w:t>
      </w:r>
      <w:proofErr w:type="spellEnd"/>
      <w:r w:rsidRPr="00A365D4">
        <w:rPr>
          <w:rFonts w:ascii="Times New Roman" w:eastAsia="Times New Roman" w:hAnsi="Times New Roman" w:cs="Times New Roman"/>
        </w:rPr>
        <w:t xml:space="preserve"> y su inclusión en índices mainstream” (Bekerman y Monti, 2025: 31).</w:t>
      </w:r>
    </w:p>
    <w:p w14:paraId="47AE2EB2" w14:textId="6683AE2F"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Más allá de los objetivos concretos de la implantación de estos procesos de evaluación, estas nuevas políticas deben entenderse en el contexto del advenimiento el “Estado Evaluador”, es decir, de una forma nueva de coordinación y regulación de los sistemas de educación superior o, en otras palabras, de relacionamiento Estado-Universidad, surgida en las décadas de 1970 y 1980 en Europa y trasladada unos años posteriores a América Latina, vinculada con la desarticulación de las versiones clásicas del Estado Benefactor y con profundos procesos de cambios sociales, científicos y tecnológicos que tienen como eje el conocimiento (Betancurt, 1997). A continuación, presentamos los aportes analíticos de investigaciones previas para poder explorar el caso de estudio del PROCADI en Argentina.</w:t>
      </w:r>
    </w:p>
    <w:p w14:paraId="00422C8C" w14:textId="77777777" w:rsidR="00604E70" w:rsidRPr="00A365D4" w:rsidRDefault="00604E70" w:rsidP="0070470B">
      <w:pPr>
        <w:pStyle w:val="Prrafodelista"/>
        <w:numPr>
          <w:ilvl w:val="0"/>
          <w:numId w:val="3"/>
        </w:numPr>
        <w:spacing w:line="240" w:lineRule="auto"/>
        <w:jc w:val="both"/>
        <w:rPr>
          <w:rFonts w:ascii="Times New Roman" w:eastAsia="Times New Roman" w:hAnsi="Times New Roman" w:cs="Times New Roman"/>
          <w:b/>
          <w:bCs/>
        </w:rPr>
      </w:pPr>
      <w:r w:rsidRPr="00A365D4">
        <w:rPr>
          <w:rFonts w:ascii="Times New Roman" w:eastAsia="Times New Roman" w:hAnsi="Times New Roman" w:cs="Times New Roman"/>
          <w:b/>
          <w:bCs/>
        </w:rPr>
        <w:t>Aportes conceptuales desde los Sistemas Nacionales de Categorización de Investigadores como instrumento de política</w:t>
      </w:r>
    </w:p>
    <w:p w14:paraId="05B3AE16" w14:textId="77777777" w:rsidR="00604E70" w:rsidRPr="00A365D4" w:rsidRDefault="00604E70" w:rsidP="00604E70">
      <w:pPr>
        <w:spacing w:line="240" w:lineRule="auto"/>
        <w:jc w:val="both"/>
        <w:rPr>
          <w:rFonts w:ascii="Times New Roman" w:eastAsia="Times New Roman" w:hAnsi="Times New Roman" w:cs="Times New Roman"/>
          <w:i/>
          <w:iCs/>
        </w:rPr>
      </w:pPr>
      <w:r w:rsidRPr="00A365D4">
        <w:rPr>
          <w:rFonts w:ascii="Times New Roman" w:eastAsia="Times New Roman" w:hAnsi="Times New Roman" w:cs="Times New Roman"/>
        </w:rPr>
        <w:t>En el contexto del avance del Estado Evaluador surgieron políticas peculiares en la región de América Latina como lo son las evaluaciones de la investigación focalizadas en el nivel individual de académicos/as (</w:t>
      </w:r>
      <w:proofErr w:type="spellStart"/>
      <w:r w:rsidRPr="00A365D4">
        <w:rPr>
          <w:rFonts w:ascii="Times New Roman" w:eastAsia="Times New Roman" w:hAnsi="Times New Roman" w:cs="Times New Roman"/>
        </w:rPr>
        <w:t>Wilsdon</w:t>
      </w:r>
      <w:proofErr w:type="spellEnd"/>
      <w:r w:rsidRPr="00A365D4">
        <w:rPr>
          <w:rFonts w:ascii="Times New Roman" w:eastAsia="Times New Roman" w:hAnsi="Times New Roman" w:cs="Times New Roman"/>
        </w:rPr>
        <w:t xml:space="preserve"> et. al 2025). Este tipo de políticas se han denominado Sistemas Nacionales de Categorización de Investigadores (SNCI) y se definen como “instrumentos que se proponen clasificar y reconocer a los individuos que realizan investigación científica en un contexto nacional” (</w:t>
      </w: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xml:space="preserve"> et. al. 2023, 247)</w:t>
      </w:r>
      <w:r w:rsidRPr="00A365D4">
        <w:rPr>
          <w:rFonts w:ascii="Times New Roman" w:eastAsia="Times New Roman" w:hAnsi="Times New Roman" w:cs="Times New Roman"/>
          <w:i/>
          <w:iCs/>
        </w:rPr>
        <w:t xml:space="preserve">. </w:t>
      </w:r>
    </w:p>
    <w:p w14:paraId="592A3073"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Se destacan dos aristas principales de estos sistemas. Por un lado, existe una fuerte intención de separar entre quienes “verdaderamente” hacen investigación y quienes pretenden o simulan hacerla, situando a los primeros dentro de una escala, jerarquía o agrupamiento. Por el otro, se les otorga un reconocimiento, quienes ingresan al sistema, obtienen a cambio distintas retribuciones, que pueden ser simbólicas al implicar prestigio, estratégicas en cuanto significan la posibilidad de acceso a cargos o a dirección de becarios y proyectos, y/o económicas como complementos salariales.</w:t>
      </w:r>
    </w:p>
    <w:p w14:paraId="4291854E"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Concretamente, </w:t>
      </w: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xml:space="preserve"> y demás autores (2023) han distinguido seis características de los SNCI: </w:t>
      </w:r>
    </w:p>
    <w:p w14:paraId="63B3C6A5" w14:textId="77777777" w:rsidR="00604E70" w:rsidRPr="00A365D4" w:rsidRDefault="00604E70" w:rsidP="00604E70">
      <w:pPr>
        <w:spacing w:line="240" w:lineRule="auto"/>
        <w:ind w:left="567"/>
        <w:jc w:val="both"/>
        <w:rPr>
          <w:rFonts w:ascii="Times New Roman" w:eastAsia="Times New Roman" w:hAnsi="Times New Roman" w:cs="Times New Roman"/>
        </w:rPr>
      </w:pPr>
      <w:r w:rsidRPr="00A365D4">
        <w:rPr>
          <w:rFonts w:ascii="Times New Roman" w:eastAsia="Times New Roman" w:hAnsi="Times New Roman" w:cs="Times New Roman"/>
        </w:rPr>
        <w:t xml:space="preserve">1) Complementariedad: el sistema es un complemento para quien ya ocupa un puesto en una universidad o institución de investigación, no es una fuente de empleo. </w:t>
      </w:r>
    </w:p>
    <w:p w14:paraId="02D88275" w14:textId="77777777" w:rsidR="00604E70" w:rsidRPr="00A365D4" w:rsidRDefault="00604E70" w:rsidP="00604E70">
      <w:pPr>
        <w:spacing w:line="240" w:lineRule="auto"/>
        <w:ind w:left="567"/>
        <w:jc w:val="both"/>
        <w:rPr>
          <w:rFonts w:ascii="Times New Roman" w:eastAsia="Times New Roman" w:hAnsi="Times New Roman" w:cs="Times New Roman"/>
        </w:rPr>
      </w:pPr>
      <w:r w:rsidRPr="00A365D4">
        <w:rPr>
          <w:rFonts w:ascii="Times New Roman" w:eastAsia="Times New Roman" w:hAnsi="Times New Roman" w:cs="Times New Roman"/>
        </w:rPr>
        <w:t>2) Jerarquía: existen diferentes niveles dentro del sistema, según el grado de experiencia y desarrollo profesional del/de la investigador/a</w:t>
      </w:r>
    </w:p>
    <w:p w14:paraId="4711862A" w14:textId="77777777" w:rsidR="00604E70" w:rsidRPr="00A365D4" w:rsidRDefault="00604E70" w:rsidP="00604E70">
      <w:pPr>
        <w:spacing w:line="240" w:lineRule="auto"/>
        <w:ind w:left="567"/>
        <w:jc w:val="both"/>
        <w:rPr>
          <w:rFonts w:ascii="Times New Roman" w:eastAsia="Times New Roman" w:hAnsi="Times New Roman" w:cs="Times New Roman"/>
        </w:rPr>
      </w:pPr>
      <w:r w:rsidRPr="00A365D4">
        <w:rPr>
          <w:rFonts w:ascii="Times New Roman" w:eastAsia="Times New Roman" w:hAnsi="Times New Roman" w:cs="Times New Roman"/>
        </w:rPr>
        <w:t>3) Centralización: La evaluación de las solicitudes se realiza de forma unificada a nivel nacional y se organiza por áreas disciplinarias.</w:t>
      </w:r>
    </w:p>
    <w:p w14:paraId="0654D3ED" w14:textId="77777777" w:rsidR="00604E70" w:rsidRPr="00A365D4" w:rsidRDefault="00604E70" w:rsidP="00604E70">
      <w:pPr>
        <w:spacing w:line="240" w:lineRule="auto"/>
        <w:ind w:left="567"/>
        <w:jc w:val="both"/>
        <w:rPr>
          <w:rFonts w:ascii="Times New Roman" w:eastAsia="Times New Roman" w:hAnsi="Times New Roman" w:cs="Times New Roman"/>
        </w:rPr>
      </w:pPr>
      <w:r w:rsidRPr="00A365D4">
        <w:rPr>
          <w:rFonts w:ascii="Times New Roman" w:eastAsia="Times New Roman" w:hAnsi="Times New Roman" w:cs="Times New Roman"/>
        </w:rPr>
        <w:lastRenderedPageBreak/>
        <w:t>4) Enfoque en la investigación: aunque contempla otras actividades como docencia, extensión, transferencia de conocimiento o el liderazgo en proyectos o la formación de otros/as investigadores/as, la evaluación se centra en las actividades y resultados de la investigación.</w:t>
      </w:r>
    </w:p>
    <w:p w14:paraId="7F52ED55" w14:textId="77777777" w:rsidR="00604E70" w:rsidRPr="00A365D4" w:rsidRDefault="00604E70" w:rsidP="00604E70">
      <w:pPr>
        <w:spacing w:line="240" w:lineRule="auto"/>
        <w:ind w:left="567"/>
        <w:jc w:val="both"/>
        <w:rPr>
          <w:rFonts w:ascii="Times New Roman" w:eastAsia="Times New Roman" w:hAnsi="Times New Roman" w:cs="Times New Roman"/>
        </w:rPr>
      </w:pPr>
      <w:r w:rsidRPr="00A365D4">
        <w:rPr>
          <w:rFonts w:ascii="Times New Roman" w:eastAsia="Times New Roman" w:hAnsi="Times New Roman" w:cs="Times New Roman"/>
        </w:rPr>
        <w:t>5) Reconocimiento: el sistema otorga a sus miembros reconocimiento simbólico y/o económico.</w:t>
      </w:r>
    </w:p>
    <w:p w14:paraId="2B67C599" w14:textId="77777777" w:rsidR="00604E70" w:rsidRPr="00A365D4" w:rsidRDefault="00604E70" w:rsidP="00604E70">
      <w:pPr>
        <w:spacing w:line="240" w:lineRule="auto"/>
        <w:ind w:left="567"/>
        <w:jc w:val="both"/>
        <w:rPr>
          <w:rFonts w:ascii="Times New Roman" w:eastAsia="Times New Roman" w:hAnsi="Times New Roman" w:cs="Times New Roman"/>
        </w:rPr>
      </w:pPr>
      <w:r w:rsidRPr="00A365D4">
        <w:rPr>
          <w:rFonts w:ascii="Times New Roman" w:eastAsia="Times New Roman" w:hAnsi="Times New Roman" w:cs="Times New Roman"/>
        </w:rPr>
        <w:t>6) Transitoriedad: la membresía tiene una validez temporal limitada y no existe estabilidad a largo plazo.</w:t>
      </w:r>
    </w:p>
    <w:p w14:paraId="471451D4" w14:textId="64BE392F"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En América Latina, existen 10 países que poseen SNCI; en siete de ellos pudieron analizarse las similitudes y diferencias (</w:t>
      </w: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xml:space="preserve"> et. al. 2023). Por un lado, existe una primera generación que comparte numerosas características y por ello se los considera parte de la misma familia. Para estos SNCI, el modelo de inspiración fue el Sistema Nacional de Investigadores (SIN) mexicano, creado en 1986. Este sistema influyó en la creación del PROINCE en Argentina (1993), de los Sistemas Nacionales de Investigadores en Uruguay y Panamá (ambos en 2007), y del Programa Nacional de Incentivos a Investigadores (PRONII) en Paraguay (2011). Este “modelo SIN” enfatiza la construcción de una jerarquía académica basada en la producción de investigación, paralela a la de las carreras académicas institucionales. Los incentivos económicos desempeñaron un papel central en la estructura original de todos estos sistemas, aunque en algunos casos su importancia ha disminuido con el tiempo. </w:t>
      </w:r>
    </w:p>
    <w:p w14:paraId="71940449"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Los sistemas de Colombia y Brasil, si bien cumplen las seis características que definen los SNCI, difieren ampliamente entre sí y de los del primer grupo (</w:t>
      </w: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xml:space="preserve"> et. al. 2023). En sistema de Brasil, se creó en 1976, antes que el SNI mexicano. Fue diseñado como una beca o subsidio asociado a la ejecución de un proyecto de investigación específico, con el propósito de aumentar la productividad académica. No obstante, obtener este subsidio es importante, no tanto por el aspecto de la financiación que implica, sino por el elemento de clasificación que incluye. No se trata de una subvención única, sino de un sistema en el que los investigadores participan de forma sostenida, se les clasifica y pueden ascender o descender en la jerarquía interna. </w:t>
      </w:r>
    </w:p>
    <w:p w14:paraId="56754F4B"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El sistema colombiano, creado en 1990, es probablemente el más dispar (</w:t>
      </w:r>
      <w:proofErr w:type="spellStart"/>
      <w:r w:rsidRPr="00A365D4">
        <w:rPr>
          <w:rFonts w:ascii="Times New Roman" w:eastAsia="Times New Roman" w:hAnsi="Times New Roman" w:cs="Times New Roman"/>
        </w:rPr>
        <w:t>Vasen</w:t>
      </w:r>
      <w:proofErr w:type="spellEnd"/>
      <w:r w:rsidRPr="00A365D4">
        <w:rPr>
          <w:rFonts w:ascii="Times New Roman" w:eastAsia="Times New Roman" w:hAnsi="Times New Roman" w:cs="Times New Roman"/>
        </w:rPr>
        <w:t xml:space="preserve"> et. al. 2023). Su creación estuvo vinculada a la evaluación comparativa de grupos de investigación y al mapeo de la producción científica del país. Más tarde, incorporó el reconocimiento de investigadores/as individuales. Dos elementos lo hacen diferente al resto: no existe una recompensa económica directamente asociada a la membresía y, la evaluación no emplea paneles de revisión por pares, sino que aplica un modelo matemático a los datos curriculares para evaluar la producción del solicitante.</w:t>
      </w:r>
    </w:p>
    <w:p w14:paraId="6D6FC3F0"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El caso que estudiamos en este artículo no corresponde a un SNCI ya que fue diseñado e implementado a nivel institucional. México es un país de referencia al analizar este tipo de sistemas ya que allí se implementan diversos sistemas de incentivos aplicados en cada universidad, además de un SNCI como el mencionado SNI. Sin embargo, un punto relevante a destacar, es que los sistemas institucionales de categorización de investigadores en México tienen como rasgo central al representar un incentivo </w:t>
      </w:r>
      <w:r w:rsidRPr="00A365D4">
        <w:rPr>
          <w:rFonts w:ascii="Times New Roman" w:eastAsia="Times New Roman" w:hAnsi="Times New Roman" w:cs="Times New Roman"/>
        </w:rPr>
        <w:lastRenderedPageBreak/>
        <w:t>monetario, un sobresueldo (</w:t>
      </w:r>
      <w:r w:rsidRPr="00A365D4">
        <w:rPr>
          <w:rFonts w:ascii="Times New Roman" w:eastAsia="Times New Roman" w:hAnsi="Times New Roman" w:cs="Times New Roman"/>
          <w:color w:val="222222"/>
          <w:highlight w:val="white"/>
        </w:rPr>
        <w:t>Ocampo-Gómez, Jiménez-García, &amp; Palacios-Ramírez, 2020)</w:t>
      </w:r>
      <w:r w:rsidRPr="00A365D4">
        <w:rPr>
          <w:rFonts w:ascii="Times New Roman" w:eastAsia="Times New Roman" w:hAnsi="Times New Roman" w:cs="Times New Roman"/>
        </w:rPr>
        <w:t xml:space="preserve">. En Argentina, ni la UNLP ni la UNCPBA asociaron en sus sistemas institucionales el pago de un plus salarial. </w:t>
      </w:r>
    </w:p>
    <w:p w14:paraId="73BCCA44" w14:textId="77777777" w:rsidR="00604E70" w:rsidRPr="00A365D4" w:rsidRDefault="00604E70" w:rsidP="00C73151">
      <w:pPr>
        <w:pStyle w:val="Prrafodelista"/>
        <w:numPr>
          <w:ilvl w:val="0"/>
          <w:numId w:val="3"/>
        </w:numPr>
        <w:spacing w:line="240" w:lineRule="auto"/>
        <w:jc w:val="both"/>
        <w:rPr>
          <w:rFonts w:ascii="Times New Roman" w:eastAsia="Times New Roman" w:hAnsi="Times New Roman" w:cs="Times New Roman"/>
          <w:b/>
          <w:bCs/>
        </w:rPr>
      </w:pPr>
      <w:r w:rsidRPr="00A365D4">
        <w:rPr>
          <w:rFonts w:ascii="Times New Roman" w:eastAsia="Times New Roman" w:hAnsi="Times New Roman" w:cs="Times New Roman"/>
          <w:b/>
          <w:bCs/>
        </w:rPr>
        <w:t>Sistemas de evaluación de investigadores/as en Argentina</w:t>
      </w:r>
    </w:p>
    <w:p w14:paraId="2CA88B1D"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El caso argentino presenta una singularidad</w:t>
      </w:r>
      <w:r w:rsidRPr="00A365D4">
        <w:rPr>
          <w:rFonts w:ascii="Times New Roman" w:eastAsia="Times New Roman" w:hAnsi="Times New Roman" w:cs="Times New Roman"/>
          <w:b/>
          <w:bCs/>
        </w:rPr>
        <w:t xml:space="preserve">: </w:t>
      </w:r>
      <w:r w:rsidRPr="00A365D4">
        <w:rPr>
          <w:rFonts w:ascii="Times New Roman" w:eastAsia="Times New Roman" w:hAnsi="Times New Roman" w:cs="Times New Roman"/>
        </w:rPr>
        <w:t>coexisten tres sistemas diferentes de evaluación de la actividad de investigación a nivel individual dentro de la universidad. Quien en Argentina realiza actividades de investigación en la universidad puede que tenga que atravesar estos tres sistemas si es docente e investigador del CONICET, o al menos dos de ellos, si es sólo docente de una universidad.</w:t>
      </w:r>
    </w:p>
    <w:p w14:paraId="58EDAD7A" w14:textId="17B390EA"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Por un lado, existe un sistema de evaluación exclusivo centralizado en torno al CONICET que organiza ingresos permanencias</w:t>
      </w:r>
      <w:r w:rsidR="000571F4">
        <w:rPr>
          <w:rFonts w:ascii="Times New Roman" w:eastAsia="Times New Roman" w:hAnsi="Times New Roman" w:cs="Times New Roman"/>
          <w:vertAlign w:val="superscript"/>
        </w:rPr>
        <w:t xml:space="preserve"> </w:t>
      </w:r>
      <w:r w:rsidRPr="00A365D4">
        <w:rPr>
          <w:rFonts w:ascii="Times New Roman" w:eastAsia="Times New Roman" w:hAnsi="Times New Roman" w:cs="Times New Roman"/>
        </w:rPr>
        <w:t xml:space="preserve">y promociones en el marco de una carrera de investigación: </w:t>
      </w:r>
      <w:proofErr w:type="spellStart"/>
      <w:r w:rsidRPr="00A365D4">
        <w:rPr>
          <w:rFonts w:ascii="Times New Roman" w:eastAsia="Times New Roman" w:hAnsi="Times New Roman" w:cs="Times New Roman"/>
        </w:rPr>
        <w:t>CICyT</w:t>
      </w:r>
      <w:proofErr w:type="spellEnd"/>
      <w:r w:rsidRPr="00A365D4">
        <w:rPr>
          <w:rFonts w:ascii="Times New Roman" w:eastAsia="Times New Roman" w:hAnsi="Times New Roman" w:cs="Times New Roman"/>
          <w:vertAlign w:val="superscript"/>
        </w:rPr>
        <w:footnoteReference w:id="1"/>
      </w:r>
      <w:r w:rsidRPr="00A365D4">
        <w:rPr>
          <w:rFonts w:ascii="Times New Roman" w:eastAsia="Times New Roman" w:hAnsi="Times New Roman" w:cs="Times New Roman"/>
        </w:rPr>
        <w:t xml:space="preserve">. No es requisito ser docente en una universidad, pero mayoritariamente las y los investigadores de carrera poseen como lugar de trabajo una universidad o un centro de doble dependencia CONICET-Universidad. </w:t>
      </w:r>
    </w:p>
    <w:p w14:paraId="31250846"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Por otro lado, se implementa -aunque es voluntario- un SNCI, destinado a docentes universitarios que realizan investigación. Este sistema se encuentra actualmente en transición desde el PROINCE hacia el PRINUAR, y realiza una clasificación de acuerdo a cinco categorías de docente-investigador que van de la V a la I, en orden creciente de prestigio. </w:t>
      </w:r>
    </w:p>
    <w:p w14:paraId="74BB2EEE" w14:textId="75BF06CD"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Un tercer sistema lo constituyen las políticas de regulación del acceso, la permanencia y la promoción en los cargos docentes de las universidades, es decir, la evaluación de la carrera docente/carrera académica (CD/CA). Este concepto de CD/CA remite al conjunto de normas y procedimientos que delinean los requisitos, derechos y obligaciones del cuerpo docente y estructuran los mecanismos de evaluación para el ingreso, la permanencia y la promoción en los distintos cargos del escalafón universitario. El objeto de evaluación supone como principal actividad la enseñanza, pero no se reduce a </w:t>
      </w:r>
      <w:r w:rsidR="000571F4" w:rsidRPr="00A365D4">
        <w:rPr>
          <w:rFonts w:ascii="Times New Roman" w:eastAsia="Times New Roman" w:hAnsi="Times New Roman" w:cs="Times New Roman"/>
        </w:rPr>
        <w:t>ella,</w:t>
      </w:r>
      <w:r w:rsidRPr="00A365D4">
        <w:rPr>
          <w:rFonts w:ascii="Times New Roman" w:eastAsia="Times New Roman" w:hAnsi="Times New Roman" w:cs="Times New Roman"/>
        </w:rPr>
        <w:t xml:space="preserve"> sino que incorpora la multiplicidad de tareas que devienen del ejercicio de dicha actividad en la universidad, se le agregan aquellas vinculadas a las funciones institucionales de investigación, extensión y a las responsabilidades de gestión (Walker y Rodera 2025). Este tipo de políticas están asociadas al puesto permanente como profesor/a universitaria y no constituye un sistema institucional de categorización. </w:t>
      </w:r>
    </w:p>
    <w:p w14:paraId="4C0467EE" w14:textId="57A208EE"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Los sistemas que crean la UNLP y la UNCPBA se crean con el propósito de reemplazar -al menos temporalmente- al PROINCE/PRINUAR. Ante las demoras del PRINUAR, los secretarios de </w:t>
      </w:r>
      <w:proofErr w:type="spellStart"/>
      <w:r w:rsidRPr="00A365D4">
        <w:rPr>
          <w:rFonts w:ascii="Times New Roman" w:eastAsia="Times New Roman" w:hAnsi="Times New Roman" w:cs="Times New Roman"/>
        </w:rPr>
        <w:t>CyT</w:t>
      </w:r>
      <w:proofErr w:type="spellEnd"/>
      <w:r w:rsidRPr="00A365D4">
        <w:rPr>
          <w:rFonts w:ascii="Times New Roman" w:eastAsia="Times New Roman" w:hAnsi="Times New Roman" w:cs="Times New Roman"/>
        </w:rPr>
        <w:t xml:space="preserve"> decidieron implementar sus propios sistemas. A </w:t>
      </w:r>
      <w:r w:rsidR="000571F4" w:rsidRPr="00A365D4">
        <w:rPr>
          <w:rFonts w:ascii="Times New Roman" w:eastAsia="Times New Roman" w:hAnsi="Times New Roman" w:cs="Times New Roman"/>
        </w:rPr>
        <w:t>continuación,</w:t>
      </w:r>
      <w:r w:rsidRPr="00A365D4">
        <w:rPr>
          <w:rFonts w:ascii="Times New Roman" w:eastAsia="Times New Roman" w:hAnsi="Times New Roman" w:cs="Times New Roman"/>
        </w:rPr>
        <w:t xml:space="preserve"> se describe y analiza el caso del PROCADI de la UNCPBA.</w:t>
      </w:r>
    </w:p>
    <w:p w14:paraId="73DC9707" w14:textId="77777777" w:rsidR="00C73151" w:rsidRPr="00A365D4" w:rsidRDefault="00C73151" w:rsidP="00C73151">
      <w:pPr>
        <w:pStyle w:val="Prrafodelista"/>
        <w:numPr>
          <w:ilvl w:val="0"/>
          <w:numId w:val="3"/>
        </w:numPr>
        <w:spacing w:line="240" w:lineRule="auto"/>
        <w:jc w:val="both"/>
        <w:rPr>
          <w:rFonts w:ascii="Times New Roman" w:eastAsia="Times New Roman" w:hAnsi="Times New Roman" w:cs="Times New Roman"/>
          <w:b/>
          <w:bCs/>
        </w:rPr>
      </w:pPr>
      <w:r w:rsidRPr="00A365D4">
        <w:rPr>
          <w:rFonts w:ascii="Times New Roman" w:eastAsia="Times New Roman" w:hAnsi="Times New Roman" w:cs="Times New Roman"/>
          <w:b/>
          <w:bCs/>
        </w:rPr>
        <w:t>El PROCADI</w:t>
      </w:r>
    </w:p>
    <w:p w14:paraId="186A9C2E" w14:textId="350A9496" w:rsidR="00C73151" w:rsidRPr="00A365D4" w:rsidRDefault="00C73151" w:rsidP="00C73151">
      <w:pPr>
        <w:pStyle w:val="Prrafodelista"/>
        <w:numPr>
          <w:ilvl w:val="1"/>
          <w:numId w:val="3"/>
        </w:numPr>
        <w:spacing w:line="240" w:lineRule="auto"/>
        <w:jc w:val="both"/>
        <w:rPr>
          <w:rFonts w:ascii="Times New Roman" w:eastAsia="Times New Roman" w:hAnsi="Times New Roman" w:cs="Times New Roman"/>
          <w:b/>
          <w:bCs/>
        </w:rPr>
      </w:pPr>
      <w:r w:rsidRPr="00A365D4">
        <w:rPr>
          <w:rFonts w:ascii="Times New Roman" w:eastAsia="Times New Roman" w:hAnsi="Times New Roman" w:cs="Times New Roman"/>
          <w:b/>
          <w:bCs/>
        </w:rPr>
        <w:t>Objetivos </w:t>
      </w:r>
    </w:p>
    <w:p w14:paraId="683FD1B8" w14:textId="102E64CD" w:rsidR="00604E70" w:rsidRPr="00A365D4" w:rsidRDefault="00604E70" w:rsidP="00604E70">
      <w:pPr>
        <w:spacing w:after="0" w:line="240" w:lineRule="auto"/>
        <w:jc w:val="both"/>
        <w:rPr>
          <w:rFonts w:ascii="Times New Roman" w:eastAsia="Times New Roman" w:hAnsi="Times New Roman" w:cs="Times New Roman"/>
        </w:rPr>
      </w:pPr>
      <w:r w:rsidRPr="00A365D4">
        <w:rPr>
          <w:rFonts w:ascii="Times New Roman" w:eastAsia="Times New Roman" w:hAnsi="Times New Roman" w:cs="Times New Roman"/>
          <w:highlight w:val="white"/>
        </w:rPr>
        <w:lastRenderedPageBreak/>
        <w:t>Se</w:t>
      </w:r>
      <w:r w:rsidRPr="00A365D4">
        <w:rPr>
          <w:rFonts w:ascii="Times New Roman" w:eastAsia="Times New Roman" w:hAnsi="Times New Roman" w:cs="Times New Roman"/>
        </w:rPr>
        <w:t xml:space="preserve">gún la resolución del Consejo Superior CS </w:t>
      </w:r>
      <w:proofErr w:type="spellStart"/>
      <w:r w:rsidRPr="00A365D4">
        <w:rPr>
          <w:rFonts w:ascii="Times New Roman" w:eastAsia="Times New Roman" w:hAnsi="Times New Roman" w:cs="Times New Roman"/>
        </w:rPr>
        <w:t>Nº</w:t>
      </w:r>
      <w:proofErr w:type="spellEnd"/>
      <w:r w:rsidRPr="00A365D4">
        <w:rPr>
          <w:rFonts w:ascii="Times New Roman" w:eastAsia="Times New Roman" w:hAnsi="Times New Roman" w:cs="Times New Roman"/>
        </w:rPr>
        <w:t xml:space="preserve"> 5772/2025, este sistema tiene los siguientes objetivos:</w:t>
      </w:r>
    </w:p>
    <w:p w14:paraId="735D6718" w14:textId="77777777" w:rsidR="00604E70" w:rsidRPr="00A365D4" w:rsidRDefault="00604E70" w:rsidP="00604E70">
      <w:pPr>
        <w:spacing w:after="0" w:line="240" w:lineRule="auto"/>
        <w:jc w:val="both"/>
        <w:rPr>
          <w:rFonts w:ascii="Times New Roman" w:eastAsia="Times New Roman" w:hAnsi="Times New Roman" w:cs="Times New Roman"/>
        </w:rPr>
      </w:pPr>
    </w:p>
    <w:p w14:paraId="2C6C8728" w14:textId="77777777" w:rsidR="00AA0AB2" w:rsidRPr="00A365D4" w:rsidRDefault="00604E70" w:rsidP="00AA0AB2">
      <w:pPr>
        <w:pStyle w:val="Prrafodelista"/>
        <w:numPr>
          <w:ilvl w:val="0"/>
          <w:numId w:val="2"/>
        </w:num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Disponer de una política propia, actualizada y de implementación periódica para la clasificación y jerarquización de los docentes-investigadores con lugar de trabajo en la UNCPBA.</w:t>
      </w:r>
    </w:p>
    <w:p w14:paraId="43AF4017" w14:textId="77777777" w:rsidR="0073125D" w:rsidRPr="00A365D4" w:rsidRDefault="00604E70" w:rsidP="00AA0AB2">
      <w:pPr>
        <w:pStyle w:val="Prrafodelista"/>
        <w:numPr>
          <w:ilvl w:val="0"/>
          <w:numId w:val="2"/>
        </w:num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Contar con un instrumento adicional para el relevamiento de información sobre las actividades de las/los docentes investigadores con lugar de trabajo en la UNCPBA.</w:t>
      </w:r>
    </w:p>
    <w:p w14:paraId="7534311B" w14:textId="010BFB2B" w:rsidR="00AA0AB2" w:rsidRPr="00A365D4" w:rsidRDefault="00604E70" w:rsidP="00AA0AB2">
      <w:pPr>
        <w:pStyle w:val="Prrafodelista"/>
        <w:numPr>
          <w:ilvl w:val="0"/>
          <w:numId w:val="2"/>
        </w:num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Aportar a la gobernanza de la ciencia, la tecnología y la innovación en la institución mediante una herramienta propia para promover políticas identificadas como prioritarias para la UNCPBA.</w:t>
      </w:r>
    </w:p>
    <w:p w14:paraId="4AD6972D" w14:textId="77777777" w:rsidR="00AA0AB2" w:rsidRPr="00A365D4" w:rsidRDefault="00604E70" w:rsidP="00AA0AB2">
      <w:pPr>
        <w:pStyle w:val="Prrafodelista"/>
        <w:numPr>
          <w:ilvl w:val="0"/>
          <w:numId w:val="2"/>
        </w:num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Generar un banco de evaluadores de la institución, actualizado y jerarquizado para emplear en las diversas instancias de evaluación propias o externas.</w:t>
      </w:r>
    </w:p>
    <w:p w14:paraId="75D5F320" w14:textId="6577C72B" w:rsidR="00AA0AB2" w:rsidRPr="00A365D4" w:rsidRDefault="00604E70" w:rsidP="00AA0AB2">
      <w:pPr>
        <w:pStyle w:val="Prrafodelista"/>
        <w:numPr>
          <w:ilvl w:val="0"/>
          <w:numId w:val="2"/>
        </w:num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Definir una hoja de ruta estable y previsible para el desarrollo de la carrera en I+D+i en la UNCPBA.</w:t>
      </w:r>
    </w:p>
    <w:p w14:paraId="452334C8" w14:textId="3A593888" w:rsidR="00604E70" w:rsidRPr="00A365D4" w:rsidRDefault="00604E70" w:rsidP="00AA0AB2">
      <w:pPr>
        <w:pStyle w:val="Prrafodelista"/>
        <w:numPr>
          <w:ilvl w:val="0"/>
          <w:numId w:val="2"/>
        </w:num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Proveer información sistematizada a nivel universidad a las distintas unidades académicas para la evaluación del perfil de investigación de las y los docentes en el marco de las evaluaciones en la carrera académica.</w:t>
      </w:r>
    </w:p>
    <w:p w14:paraId="74321455" w14:textId="40B529DB" w:rsidR="005F736A" w:rsidRPr="00A365D4" w:rsidRDefault="005F736A"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A partir de los objetivos definidos para el PROCADI, puede interpretarse que la </w:t>
      </w:r>
      <w:proofErr w:type="spellStart"/>
      <w:r w:rsidRPr="00A365D4">
        <w:rPr>
          <w:rFonts w:ascii="Times New Roman" w:eastAsia="Times New Roman" w:hAnsi="Times New Roman" w:cs="Times New Roman"/>
        </w:rPr>
        <w:t>SeCAT</w:t>
      </w:r>
      <w:proofErr w:type="spellEnd"/>
      <w:r w:rsidRPr="00A365D4">
        <w:rPr>
          <w:rFonts w:ascii="Times New Roman" w:eastAsia="Times New Roman" w:hAnsi="Times New Roman" w:cs="Times New Roman"/>
        </w:rPr>
        <w:t xml:space="preserve"> buscó dotarse de un instrumento propio para fortalecer la gobernanza de las actividades de ciencia, tecnología e innovación desarrolladas en la UNCPBA. En este sentido, el programa creó un sistema institucional de evaluación, categorización y jerarquización de las trayectorias de investigación de los/as docentes-investigadores/as con lugar de trabajo en la universidad. Al igual que el SICADI de la UNLP, el PROCADI persigue objetivos como disponer de información actualizada y centralizada sobre el cuerpo académico, ofrecer herramientas de gestión para la universidad y sus unidades académicas, jerarquizar las actividades de investigación y aportar mayor previsibilidad al desarrollo de la carrera académica. No obstante, aunque el PROCADI puede entenderse como una expresión de autonomía o soberanía institucional en materia de evaluación, el diseño de sus criterios y mecanismos se apoyó, en gran medida, en los lineamientos establecidos por el PRINUAR, evidenciando la tensión entre la construcción de instrumentos propios y la adopción de estándares nacionales.</w:t>
      </w:r>
    </w:p>
    <w:p w14:paraId="1381479B" w14:textId="77777777" w:rsidR="005F736A" w:rsidRPr="00A365D4" w:rsidRDefault="005F736A"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La postulación al PROCADI es voluntaria y no reemplaza la categoría otorgada por el PRINUAR. Por el contrario, la normativa establece que la categoría obtenida en este último constituye la referencia principal dentro del sistema. Sin embargo, la demora en la asignación de las primeras categorías del PRINUAR, correspondiente a la convocatoria 2023, reabrió el debate sobre la conveniencia de mantener ambos programas estrechamente articulados durante esta etapa inicial de implementación.</w:t>
      </w:r>
    </w:p>
    <w:p w14:paraId="29C48624"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La postulación consistió en dos pasos: por un lado, cada postulante debía completar el formulario de postulación al PROCADI; por el otro, había que adjuntar un </w:t>
      </w:r>
      <w:proofErr w:type="spellStart"/>
      <w:r w:rsidRPr="00A365D4">
        <w:rPr>
          <w:rFonts w:ascii="Times New Roman" w:eastAsia="Times New Roman" w:hAnsi="Times New Roman" w:cs="Times New Roman"/>
          <w:i/>
          <w:iCs/>
        </w:rPr>
        <w:t>Curriculum</w:t>
      </w:r>
      <w:proofErr w:type="spellEnd"/>
      <w:r w:rsidRPr="00A365D4">
        <w:rPr>
          <w:rFonts w:ascii="Times New Roman" w:eastAsia="Times New Roman" w:hAnsi="Times New Roman" w:cs="Times New Roman"/>
          <w:i/>
          <w:iCs/>
        </w:rPr>
        <w:t xml:space="preserve"> Vitae,</w:t>
      </w:r>
      <w:r w:rsidRPr="00A365D4">
        <w:rPr>
          <w:rFonts w:ascii="Times New Roman" w:eastAsia="Times New Roman" w:hAnsi="Times New Roman" w:cs="Times New Roman"/>
        </w:rPr>
        <w:t xml:space="preserve"> descargándolo del sistema SIGEVA UNICEN. </w:t>
      </w:r>
    </w:p>
    <w:p w14:paraId="028D618E" w14:textId="1E1BE56E" w:rsidR="00604E70"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lastRenderedPageBreak/>
        <w:t>Se podía optar por dos vías de acceso a la categoría en PROCADI. Quienes poseían categoría en Programa de Incentivos, o pertenecían a una carrera de Investigador Científico (en CONICET, CICPBA, u otros organismos de Ciencia y Técnica) podían adherir a la Vía de Equivalencia. Si se optaba por esta alternativa, el postulante solo debía adjuntar la Resolución que acreditara el cargo o, en casos de Investigadores de Incentivos con lugar de trabajo en otra Universidad, la resolución emitida por la misma informando la categoría.</w:t>
      </w:r>
      <w:r w:rsidR="00580ABA" w:rsidRPr="00A365D4">
        <w:rPr>
          <w:rFonts w:ascii="Times New Roman" w:eastAsia="Times New Roman" w:hAnsi="Times New Roman" w:cs="Times New Roman"/>
        </w:rPr>
        <w:t xml:space="preserve"> </w:t>
      </w:r>
      <w:r w:rsidRPr="00A365D4">
        <w:rPr>
          <w:rFonts w:ascii="Times New Roman" w:eastAsia="Times New Roman" w:hAnsi="Times New Roman" w:cs="Times New Roman"/>
        </w:rPr>
        <w:t>Quienes no adhieran a la vía de Equivalencia, deberán adjuntar el CV de SIGEVA descargado en formato PDF.</w:t>
      </w:r>
    </w:p>
    <w:p w14:paraId="299874B6" w14:textId="77777777" w:rsidR="00B56493" w:rsidRPr="00A365D4" w:rsidRDefault="00B56493" w:rsidP="00604E70">
      <w:pPr>
        <w:spacing w:line="240" w:lineRule="auto"/>
        <w:jc w:val="both"/>
        <w:rPr>
          <w:rFonts w:ascii="Times New Roman" w:eastAsia="Times New Roman" w:hAnsi="Times New Roman" w:cs="Times New Roman"/>
        </w:rPr>
      </w:pPr>
    </w:p>
    <w:p w14:paraId="04E43B83" w14:textId="1CE2D60B" w:rsidR="00604E70" w:rsidRPr="00A365D4" w:rsidRDefault="00604E70" w:rsidP="00580ABA">
      <w:pPr>
        <w:pStyle w:val="Prrafodelista"/>
        <w:numPr>
          <w:ilvl w:val="0"/>
          <w:numId w:val="1"/>
        </w:numPr>
        <w:spacing w:line="240" w:lineRule="auto"/>
        <w:jc w:val="both"/>
        <w:rPr>
          <w:rFonts w:ascii="Times New Roman" w:eastAsia="Times New Roman" w:hAnsi="Times New Roman" w:cs="Times New Roman"/>
          <w:b/>
          <w:bCs/>
        </w:rPr>
      </w:pPr>
      <w:r w:rsidRPr="00A365D4">
        <w:rPr>
          <w:rFonts w:ascii="Times New Roman" w:eastAsia="Times New Roman" w:hAnsi="Times New Roman" w:cs="Times New Roman"/>
          <w:b/>
          <w:bCs/>
        </w:rPr>
        <w:t>Implementación</w:t>
      </w:r>
      <w:r w:rsidR="00580ABA" w:rsidRPr="00A365D4">
        <w:rPr>
          <w:rFonts w:ascii="Times New Roman" w:eastAsia="Times New Roman" w:hAnsi="Times New Roman" w:cs="Times New Roman"/>
          <w:b/>
          <w:bCs/>
        </w:rPr>
        <w:t xml:space="preserve"> del PROCADI</w:t>
      </w:r>
      <w:r w:rsidR="009D4B69" w:rsidRPr="00A365D4">
        <w:rPr>
          <w:rFonts w:ascii="Times New Roman" w:eastAsia="Times New Roman" w:hAnsi="Times New Roman" w:cs="Times New Roman"/>
          <w:b/>
          <w:bCs/>
        </w:rPr>
        <w:t>: postulantes</w:t>
      </w:r>
    </w:p>
    <w:p w14:paraId="5D34591E" w14:textId="3C4BB455" w:rsidR="00987E19"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El conjunto de las presentaciones reunió un total de </w:t>
      </w:r>
      <w:sdt>
        <w:sdtPr>
          <w:rPr>
            <w:rFonts w:ascii="Times New Roman" w:hAnsi="Times New Roman" w:cs="Times New Roman"/>
          </w:rPr>
          <w:tag w:val="goog_rdk_2"/>
          <w:id w:val="268340991"/>
        </w:sdtPr>
        <w:sdtContent/>
      </w:sdt>
      <w:r w:rsidRPr="00A365D4">
        <w:rPr>
          <w:rFonts w:ascii="Times New Roman" w:eastAsia="Times New Roman" w:hAnsi="Times New Roman" w:cs="Times New Roman"/>
        </w:rPr>
        <w:t>781 postula</w:t>
      </w:r>
      <w:r w:rsidR="001F7CF5" w:rsidRPr="00A365D4">
        <w:rPr>
          <w:rFonts w:ascii="Times New Roman" w:eastAsia="Times New Roman" w:hAnsi="Times New Roman" w:cs="Times New Roman"/>
        </w:rPr>
        <w:t xml:space="preserve">ciones, </w:t>
      </w:r>
      <w:r w:rsidR="001F7CF5" w:rsidRPr="00A365D4">
        <w:rPr>
          <w:rFonts w:ascii="Times New Roman" w:eastAsia="Times New Roman" w:hAnsi="Times New Roman" w:cs="Times New Roman"/>
          <w:color w:val="000000"/>
        </w:rPr>
        <w:t>5</w:t>
      </w:r>
      <w:r w:rsidR="001F7CF5" w:rsidRPr="00A365D4">
        <w:rPr>
          <w:rFonts w:ascii="Times New Roman" w:eastAsia="Times New Roman" w:hAnsi="Times New Roman" w:cs="Times New Roman"/>
        </w:rPr>
        <w:t>52</w:t>
      </w:r>
      <w:r w:rsidR="001F7CF5" w:rsidRPr="00A365D4">
        <w:rPr>
          <w:rFonts w:ascii="Times New Roman" w:eastAsia="Times New Roman" w:hAnsi="Times New Roman" w:cs="Times New Roman"/>
          <w:color w:val="000000"/>
        </w:rPr>
        <w:t xml:space="preserve"> se presentaron para una determinada categoría y 2</w:t>
      </w:r>
      <w:r w:rsidR="001F7CF5" w:rsidRPr="00A365D4">
        <w:rPr>
          <w:rFonts w:ascii="Times New Roman" w:eastAsia="Times New Roman" w:hAnsi="Times New Roman" w:cs="Times New Roman"/>
        </w:rPr>
        <w:t>29</w:t>
      </w:r>
      <w:r w:rsidR="001F7CF5" w:rsidRPr="00A365D4">
        <w:rPr>
          <w:rFonts w:ascii="Times New Roman" w:eastAsia="Times New Roman" w:hAnsi="Times New Roman" w:cs="Times New Roman"/>
          <w:color w:val="000000"/>
        </w:rPr>
        <w:t xml:space="preserve"> por equivalencia. De ese total, se procesaron </w:t>
      </w:r>
      <w:r w:rsidRPr="00A365D4">
        <w:rPr>
          <w:rFonts w:ascii="Times New Roman" w:eastAsia="Times New Roman" w:hAnsi="Times New Roman" w:cs="Times New Roman"/>
        </w:rPr>
        <w:t>770 porque 11 no superaron la etapa de admisibilidad</w:t>
      </w:r>
      <w:r w:rsidR="00580ABA" w:rsidRPr="00A365D4">
        <w:rPr>
          <w:rFonts w:ascii="Times New Roman" w:eastAsia="Times New Roman" w:hAnsi="Times New Roman" w:cs="Times New Roman"/>
        </w:rPr>
        <w:t xml:space="preserve">. </w:t>
      </w:r>
      <w:r w:rsidRPr="00A365D4">
        <w:rPr>
          <w:rFonts w:ascii="Times New Roman" w:eastAsia="Times New Roman" w:hAnsi="Times New Roman" w:cs="Times New Roman"/>
          <w:color w:val="000000"/>
        </w:rPr>
        <w:t xml:space="preserve">De </w:t>
      </w:r>
      <w:r w:rsidR="00987E19" w:rsidRPr="00A365D4">
        <w:rPr>
          <w:rFonts w:ascii="Times New Roman" w:eastAsia="Times New Roman" w:hAnsi="Times New Roman" w:cs="Times New Roman"/>
          <w:color w:val="000000"/>
        </w:rPr>
        <w:t xml:space="preserve">las 770, </w:t>
      </w:r>
      <w:r w:rsidRPr="00A365D4">
        <w:rPr>
          <w:rFonts w:ascii="Times New Roman" w:eastAsia="Times New Roman" w:hAnsi="Times New Roman" w:cs="Times New Roman"/>
          <w:color w:val="000000"/>
        </w:rPr>
        <w:t xml:space="preserve">546 </w:t>
      </w:r>
      <w:r w:rsidRPr="00A365D4">
        <w:rPr>
          <w:rFonts w:ascii="Times New Roman" w:eastAsia="Times New Roman" w:hAnsi="Times New Roman" w:cs="Times New Roman"/>
        </w:rPr>
        <w:t>pasaron efectivamente a</w:t>
      </w:r>
      <w:r w:rsidRPr="00A365D4">
        <w:rPr>
          <w:rFonts w:ascii="Times New Roman" w:eastAsia="Times New Roman" w:hAnsi="Times New Roman" w:cs="Times New Roman"/>
          <w:color w:val="000000"/>
        </w:rPr>
        <w:t xml:space="preserve"> etapa de eval</w:t>
      </w:r>
      <w:r w:rsidRPr="00A365D4">
        <w:rPr>
          <w:rFonts w:ascii="Times New Roman" w:eastAsia="Times New Roman" w:hAnsi="Times New Roman" w:cs="Times New Roman"/>
        </w:rPr>
        <w:t>uación y 224 a equivalencia.</w:t>
      </w:r>
    </w:p>
    <w:p w14:paraId="4AC75986" w14:textId="10CA6239" w:rsidR="00604E70" w:rsidRPr="00A365D4" w:rsidRDefault="00604E70" w:rsidP="00604E70">
      <w:pPr>
        <w:spacing w:line="240" w:lineRule="auto"/>
        <w:jc w:val="both"/>
        <w:rPr>
          <w:rFonts w:ascii="Times New Roman" w:eastAsia="Times New Roman" w:hAnsi="Times New Roman" w:cs="Times New Roman"/>
          <w:color w:val="000000"/>
        </w:rPr>
      </w:pPr>
      <w:r w:rsidRPr="00A365D4">
        <w:rPr>
          <w:rFonts w:ascii="Times New Roman" w:eastAsia="Times New Roman" w:hAnsi="Times New Roman" w:cs="Times New Roman"/>
        </w:rPr>
        <w:t xml:space="preserve"> Asimismo, de las 546 otras 11 no alcanzaron el puntaje mínimo estipulado para la categoría inferior, por lo que se otorgaron finalmente 535 categorías por evaluación y 224 por equivalencia, sumando finalmente 759 categorías PROCADI otorgadas. </w:t>
      </w:r>
      <w:r w:rsidRPr="00A365D4">
        <w:rPr>
          <w:rFonts w:ascii="Times New Roman" w:eastAsia="Times New Roman" w:hAnsi="Times New Roman" w:cs="Times New Roman"/>
          <w:color w:val="000000"/>
        </w:rPr>
        <w:t xml:space="preserve">En cuanto a las áreas </w:t>
      </w:r>
      <w:r w:rsidRPr="00A365D4">
        <w:rPr>
          <w:rFonts w:ascii="Times New Roman" w:eastAsia="Times New Roman" w:hAnsi="Times New Roman" w:cs="Times New Roman"/>
          <w:color w:val="000000"/>
          <w:shd w:val="clear" w:color="auto" w:fill="FFFFFF" w:themeFill="background1"/>
        </w:rPr>
        <w:t>del conocimiento</w:t>
      </w:r>
      <w:r w:rsidR="000571F4">
        <w:rPr>
          <w:rFonts w:ascii="Times New Roman" w:eastAsia="Times New Roman" w:hAnsi="Times New Roman" w:cs="Times New Roman"/>
          <w:color w:val="000000"/>
          <w:shd w:val="clear" w:color="auto" w:fill="FFFFFF" w:themeFill="background1"/>
        </w:rPr>
        <w:t xml:space="preserve"> (Gráfico 1)</w:t>
      </w:r>
      <w:r w:rsidRPr="00A365D4">
        <w:rPr>
          <w:rFonts w:ascii="Times New Roman" w:eastAsia="Times New Roman" w:hAnsi="Times New Roman" w:cs="Times New Roman"/>
          <w:color w:val="000000"/>
          <w:shd w:val="clear" w:color="auto" w:fill="FFFFFF" w:themeFill="background1"/>
        </w:rPr>
        <w:t>, aquellas con más postulaciones fueron Humanidades y Educación</w:t>
      </w:r>
      <w:r w:rsidR="00987E19" w:rsidRPr="00A365D4">
        <w:rPr>
          <w:rFonts w:ascii="Times New Roman" w:eastAsia="Times New Roman" w:hAnsi="Times New Roman" w:cs="Times New Roman"/>
          <w:color w:val="000000"/>
          <w:shd w:val="clear" w:color="auto" w:fill="FFFFFF" w:themeFill="background1"/>
        </w:rPr>
        <w:t xml:space="preserve"> con 19,87%</w:t>
      </w:r>
      <w:r w:rsidRPr="00A365D4">
        <w:rPr>
          <w:rFonts w:ascii="Times New Roman" w:eastAsia="Times New Roman" w:hAnsi="Times New Roman" w:cs="Times New Roman"/>
          <w:color w:val="000000"/>
          <w:shd w:val="clear" w:color="auto" w:fill="FFFFFF" w:themeFill="background1"/>
        </w:rPr>
        <w:t xml:space="preserve">, Ciencias Sociales y Comunicación </w:t>
      </w:r>
      <w:r w:rsidR="00987E19" w:rsidRPr="00A365D4">
        <w:rPr>
          <w:rFonts w:ascii="Times New Roman" w:eastAsia="Times New Roman" w:hAnsi="Times New Roman" w:cs="Times New Roman"/>
          <w:color w:val="000000"/>
          <w:shd w:val="clear" w:color="auto" w:fill="FFFFFF" w:themeFill="background1"/>
        </w:rPr>
        <w:t xml:space="preserve">con 18,7% </w:t>
      </w:r>
      <w:r w:rsidRPr="00A365D4">
        <w:rPr>
          <w:rFonts w:ascii="Times New Roman" w:eastAsia="Times New Roman" w:hAnsi="Times New Roman" w:cs="Times New Roman"/>
          <w:color w:val="000000"/>
          <w:shd w:val="clear" w:color="auto" w:fill="FFFFFF" w:themeFill="background1"/>
        </w:rPr>
        <w:t xml:space="preserve">y, </w:t>
      </w:r>
      <w:r w:rsidRPr="00A365D4">
        <w:rPr>
          <w:rFonts w:ascii="Times New Roman" w:eastAsia="Times New Roman" w:hAnsi="Times New Roman" w:cs="Times New Roman"/>
          <w:shd w:val="clear" w:color="auto" w:fill="FFFFFF" w:themeFill="background1"/>
        </w:rPr>
        <w:t>Ciencia</w:t>
      </w:r>
      <w:r w:rsidR="00987E19" w:rsidRPr="00A365D4">
        <w:rPr>
          <w:rFonts w:ascii="Times New Roman" w:eastAsia="Times New Roman" w:hAnsi="Times New Roman" w:cs="Times New Roman"/>
          <w:shd w:val="clear" w:color="auto" w:fill="FFFFFF" w:themeFill="background1"/>
        </w:rPr>
        <w:t>s</w:t>
      </w:r>
      <w:r w:rsidRPr="00A365D4">
        <w:rPr>
          <w:rFonts w:ascii="Times New Roman" w:eastAsia="Times New Roman" w:hAnsi="Times New Roman" w:cs="Times New Roman"/>
          <w:shd w:val="clear" w:color="auto" w:fill="FFFFFF" w:themeFill="background1"/>
        </w:rPr>
        <w:t xml:space="preserve"> Agrícolas y del Ambiente </w:t>
      </w:r>
      <w:r w:rsidR="00987E19" w:rsidRPr="00A365D4">
        <w:rPr>
          <w:rFonts w:ascii="Times New Roman" w:eastAsia="Times New Roman" w:hAnsi="Times New Roman" w:cs="Times New Roman"/>
          <w:shd w:val="clear" w:color="auto" w:fill="FFFFFF" w:themeFill="background1"/>
        </w:rPr>
        <w:t xml:space="preserve">con 15,32%, </w:t>
      </w:r>
      <w:r w:rsidRPr="00A365D4">
        <w:rPr>
          <w:rFonts w:ascii="Times New Roman" w:eastAsia="Times New Roman" w:hAnsi="Times New Roman" w:cs="Times New Roman"/>
          <w:color w:val="000000"/>
          <w:shd w:val="clear" w:color="auto" w:fill="FFFFFF" w:themeFill="background1"/>
        </w:rPr>
        <w:t xml:space="preserve">reuniendo entre las tres áreas el </w:t>
      </w:r>
      <w:r w:rsidRPr="00A365D4">
        <w:rPr>
          <w:rFonts w:ascii="Times New Roman" w:eastAsia="Times New Roman" w:hAnsi="Times New Roman" w:cs="Times New Roman"/>
          <w:shd w:val="clear" w:color="auto" w:fill="FFFFFF" w:themeFill="background1"/>
        </w:rPr>
        <w:t>53,89%</w:t>
      </w:r>
      <w:r w:rsidRPr="00A365D4">
        <w:rPr>
          <w:rFonts w:ascii="Times New Roman" w:eastAsia="Times New Roman" w:hAnsi="Times New Roman" w:cs="Times New Roman"/>
          <w:color w:val="000000"/>
          <w:shd w:val="clear" w:color="auto" w:fill="FFFFFF" w:themeFill="background1"/>
        </w:rPr>
        <w:t>.</w:t>
      </w:r>
      <w:r w:rsidRPr="00A365D4">
        <w:rPr>
          <w:rFonts w:ascii="Times New Roman" w:eastAsia="Times New Roman" w:hAnsi="Times New Roman" w:cs="Times New Roman"/>
          <w:color w:val="000000"/>
        </w:rPr>
        <w:t xml:space="preserve"> </w:t>
      </w:r>
    </w:p>
    <w:p w14:paraId="229BD8FD" w14:textId="77777777" w:rsidR="00987E19" w:rsidRPr="00A365D4" w:rsidRDefault="00987E19" w:rsidP="00604E70">
      <w:pPr>
        <w:spacing w:line="240" w:lineRule="auto"/>
        <w:jc w:val="both"/>
        <w:rPr>
          <w:rFonts w:ascii="Times New Roman" w:eastAsia="Times New Roman" w:hAnsi="Times New Roman" w:cs="Times New Roman"/>
          <w:color w:val="000000"/>
        </w:rPr>
      </w:pPr>
    </w:p>
    <w:p w14:paraId="5CC251FA" w14:textId="7BC7DBE5" w:rsidR="00604E70" w:rsidRPr="00A365D4" w:rsidRDefault="000959AB" w:rsidP="00604E70">
      <w:pPr>
        <w:spacing w:line="240" w:lineRule="auto"/>
        <w:jc w:val="center"/>
        <w:rPr>
          <w:rFonts w:ascii="Times New Roman" w:eastAsia="Times New Roman" w:hAnsi="Times New Roman" w:cs="Times New Roman"/>
        </w:rPr>
      </w:pPr>
      <w:r w:rsidRPr="00A365D4">
        <w:rPr>
          <w:rFonts w:ascii="Times New Roman" w:hAnsi="Times New Roman" w:cs="Times New Roman"/>
          <w:noProof/>
        </w:rPr>
        <w:drawing>
          <wp:inline distT="0" distB="0" distL="0" distR="0" wp14:anchorId="3D4BCD36" wp14:editId="0EC4736A">
            <wp:extent cx="4572000" cy="2219325"/>
            <wp:effectExtent l="0" t="0" r="0" b="9525"/>
            <wp:docPr id="2074692492" name="Gráfico 1">
              <a:extLst xmlns:a="http://schemas.openxmlformats.org/drawingml/2006/main">
                <a:ext uri="{FF2B5EF4-FFF2-40B4-BE49-F238E27FC236}">
                  <a16:creationId xmlns:a16="http://schemas.microsoft.com/office/drawing/2014/main" id="{5B09DCEA-7945-AA98-E196-8F0286B3F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CFDE08" w14:textId="4714764E" w:rsidR="00604E70" w:rsidRPr="00A365D4" w:rsidRDefault="00604E70" w:rsidP="00604E70">
      <w:pPr>
        <w:spacing w:line="240" w:lineRule="auto"/>
        <w:jc w:val="both"/>
        <w:rPr>
          <w:rFonts w:ascii="Times New Roman" w:eastAsia="Arial" w:hAnsi="Times New Roman" w:cs="Times New Roman"/>
          <w:color w:val="000000"/>
        </w:rPr>
      </w:pPr>
    </w:p>
    <w:p w14:paraId="32859633" w14:textId="086F70D6" w:rsidR="00604E70" w:rsidRPr="00A365D4" w:rsidRDefault="00604E70" w:rsidP="00604E70">
      <w:pPr>
        <w:spacing w:line="240" w:lineRule="auto"/>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En relación a la distribución según la categoría solicitada</w:t>
      </w:r>
      <w:r w:rsidR="000571F4">
        <w:rPr>
          <w:rFonts w:ascii="Times New Roman" w:eastAsia="Times New Roman" w:hAnsi="Times New Roman" w:cs="Times New Roman"/>
          <w:color w:val="000000"/>
        </w:rPr>
        <w:t xml:space="preserve"> (Gráfico 2)</w:t>
      </w:r>
      <w:r w:rsidRPr="00A365D4">
        <w:rPr>
          <w:rFonts w:ascii="Times New Roman" w:eastAsia="Times New Roman" w:hAnsi="Times New Roman" w:cs="Times New Roman"/>
          <w:color w:val="000000"/>
        </w:rPr>
        <w:t xml:space="preserve">, la III fue la más requerida. Este rasgo pone en evidencia un volumen de solicitantes con importantes antecedentes que requiere integrar este segmento de la pirámide para acceder a los requisitos exigidos por las políticas universitarias, principalmente, la habilitación para dirigir proyectos de investigación. Uno de los principales problemas para las universidades de gestión pública ocasionado por el retraso en los procesos de </w:t>
      </w:r>
      <w:r w:rsidRPr="00A365D4">
        <w:rPr>
          <w:rFonts w:ascii="Times New Roman" w:eastAsia="Times New Roman" w:hAnsi="Times New Roman" w:cs="Times New Roman"/>
          <w:color w:val="000000"/>
        </w:rPr>
        <w:lastRenderedPageBreak/>
        <w:t xml:space="preserve">categorización del PROINCE es la escasez de potenciales directores de proyectos de investigación debido a la insuficiente cantidad de docentes-investigadores categoría III. </w:t>
      </w:r>
    </w:p>
    <w:p w14:paraId="1AF2DD43" w14:textId="283EB0E1" w:rsidR="004710CF" w:rsidRPr="00A365D4" w:rsidRDefault="00604E70" w:rsidP="00604E70">
      <w:pPr>
        <w:spacing w:line="240" w:lineRule="auto"/>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 xml:space="preserve">Originariamente, el conjunto de los categorizados del PROINCE conformó una suerte de pirámide si se los clasifica según su categoría de investigación: en la cúspide angosta había un número reducido de docentes con las categorías I o II que representaban aproximadamente un </w:t>
      </w:r>
      <w:r w:rsidR="00987E19" w:rsidRPr="00A365D4">
        <w:rPr>
          <w:rFonts w:ascii="Times New Roman" w:eastAsia="Times New Roman" w:hAnsi="Times New Roman" w:cs="Times New Roman"/>
          <w:color w:val="000000"/>
        </w:rPr>
        <w:t>20% del</w:t>
      </w:r>
      <w:r w:rsidRPr="00A365D4">
        <w:rPr>
          <w:rFonts w:ascii="Times New Roman" w:eastAsia="Times New Roman" w:hAnsi="Times New Roman" w:cs="Times New Roman"/>
          <w:color w:val="000000"/>
        </w:rPr>
        <w:t xml:space="preserve"> total, mientras que la base estaba integrada por un número bastante mayor de docentes con categoría V, que representaba aproximadamente entre un 20% y un 30% (Prati, 2025)</w:t>
      </w:r>
      <w:r w:rsidR="00987E19" w:rsidRPr="00A365D4">
        <w:rPr>
          <w:rFonts w:ascii="Times New Roman" w:eastAsia="Times New Roman" w:hAnsi="Times New Roman" w:cs="Times New Roman"/>
          <w:color w:val="000000"/>
        </w:rPr>
        <w:t xml:space="preserve">. </w:t>
      </w:r>
      <w:r w:rsidR="0026713A" w:rsidRPr="00A365D4">
        <w:rPr>
          <w:rFonts w:ascii="Times New Roman" w:eastAsia="Times New Roman" w:hAnsi="Times New Roman" w:cs="Times New Roman"/>
          <w:color w:val="000000"/>
        </w:rPr>
        <w:t xml:space="preserve">A diferencia de la distribución piramidal característica del PROINCE, en el PROCADI las categorías V no constituyen la base más amplia del sistema. </w:t>
      </w:r>
      <w:r w:rsidR="005A657E" w:rsidRPr="00A365D4">
        <w:rPr>
          <w:rFonts w:ascii="Times New Roman" w:eastAsia="Times New Roman" w:hAnsi="Times New Roman" w:cs="Times New Roman"/>
          <w:color w:val="000000"/>
        </w:rPr>
        <w:t xml:space="preserve">Si bien </w:t>
      </w:r>
      <w:r w:rsidR="004710CF" w:rsidRPr="00A365D4">
        <w:rPr>
          <w:rFonts w:ascii="Times New Roman" w:eastAsia="Times New Roman" w:hAnsi="Times New Roman" w:cs="Times New Roman"/>
          <w:color w:val="000000"/>
        </w:rPr>
        <w:t xml:space="preserve">las categorías I y II son las minoritarias, juntas sobrepasan la </w:t>
      </w:r>
      <w:r w:rsidR="005A657E" w:rsidRPr="00A365D4">
        <w:rPr>
          <w:rFonts w:ascii="Times New Roman" w:eastAsia="Times New Roman" w:hAnsi="Times New Roman" w:cs="Times New Roman"/>
          <w:color w:val="000000"/>
        </w:rPr>
        <w:t>categoría</w:t>
      </w:r>
      <w:r w:rsidR="00987E19" w:rsidRPr="00A365D4">
        <w:rPr>
          <w:rFonts w:ascii="Times New Roman" w:eastAsia="Times New Roman" w:hAnsi="Times New Roman" w:cs="Times New Roman"/>
          <w:color w:val="000000"/>
        </w:rPr>
        <w:t xml:space="preserve"> V</w:t>
      </w:r>
      <w:r w:rsidR="009D4B69" w:rsidRPr="00A365D4">
        <w:rPr>
          <w:rFonts w:ascii="Times New Roman" w:eastAsia="Times New Roman" w:hAnsi="Times New Roman" w:cs="Times New Roman"/>
          <w:color w:val="000000"/>
        </w:rPr>
        <w:t xml:space="preserve">. Mientras </w:t>
      </w:r>
      <w:r w:rsidR="004710CF" w:rsidRPr="00A365D4">
        <w:rPr>
          <w:rFonts w:ascii="Times New Roman" w:eastAsia="Times New Roman" w:hAnsi="Times New Roman" w:cs="Times New Roman"/>
          <w:color w:val="000000"/>
        </w:rPr>
        <w:t xml:space="preserve">sumadas la </w:t>
      </w:r>
      <w:r w:rsidR="009D4B69" w:rsidRPr="00A365D4">
        <w:rPr>
          <w:rFonts w:ascii="Times New Roman" w:eastAsia="Times New Roman" w:hAnsi="Times New Roman" w:cs="Times New Roman"/>
          <w:color w:val="000000"/>
        </w:rPr>
        <w:t xml:space="preserve">I y </w:t>
      </w:r>
      <w:r w:rsidR="004710CF" w:rsidRPr="00A365D4">
        <w:rPr>
          <w:rFonts w:ascii="Times New Roman" w:eastAsia="Times New Roman" w:hAnsi="Times New Roman" w:cs="Times New Roman"/>
          <w:color w:val="000000"/>
        </w:rPr>
        <w:t xml:space="preserve">la </w:t>
      </w:r>
      <w:r w:rsidR="009D4B69" w:rsidRPr="00A365D4">
        <w:rPr>
          <w:rFonts w:ascii="Times New Roman" w:eastAsia="Times New Roman" w:hAnsi="Times New Roman" w:cs="Times New Roman"/>
          <w:color w:val="000000"/>
        </w:rPr>
        <w:t xml:space="preserve">II representan el 18,9%, las V representan 17,3%. </w:t>
      </w:r>
      <w:r w:rsidR="004710CF" w:rsidRPr="00A365D4">
        <w:rPr>
          <w:rFonts w:ascii="Times New Roman" w:eastAsia="Times New Roman" w:hAnsi="Times New Roman" w:cs="Times New Roman"/>
          <w:color w:val="000000"/>
        </w:rPr>
        <w:t xml:space="preserve">Por un lado, esto puede estar indicando una valla de entrada a la categoría I, especialmente el requisito de contar con la dirección de dos tesis de doctorado finalizadas. </w:t>
      </w:r>
    </w:p>
    <w:p w14:paraId="7D8A9EC1" w14:textId="6A2011EC" w:rsidR="00987E19" w:rsidRPr="00A365D4" w:rsidRDefault="004710CF" w:rsidP="00604E70">
      <w:pPr>
        <w:spacing w:line="240" w:lineRule="auto"/>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Respecto a la categoría V, es probable que los docentes con trayectorias más consolidadas hayan participado en mayor proporción que aquellos con antecedentes todavía incipientes, reduciendo el peso relativo de las categorías iniciales</w:t>
      </w:r>
      <w:r w:rsidR="0026713A" w:rsidRPr="00A365D4">
        <w:rPr>
          <w:rFonts w:ascii="Times New Roman" w:eastAsia="Times New Roman" w:hAnsi="Times New Roman" w:cs="Times New Roman"/>
          <w:color w:val="000000"/>
        </w:rPr>
        <w:t xml:space="preserve">. </w:t>
      </w:r>
      <w:r w:rsidRPr="00A365D4">
        <w:rPr>
          <w:rFonts w:ascii="Times New Roman" w:eastAsia="Times New Roman" w:hAnsi="Times New Roman" w:cs="Times New Roman"/>
          <w:color w:val="000000"/>
        </w:rPr>
        <w:t>la discontinuidad de algunos llamados a subsidios para proyectos de investigación puede estar reduciendo la posibilidad de los docentes de poder postularse, incluso a la categoría con menores requisitos.</w:t>
      </w:r>
    </w:p>
    <w:p w14:paraId="49DFEC55" w14:textId="5F590768" w:rsidR="00604E70" w:rsidRPr="00A365D4" w:rsidRDefault="009D4B69"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color w:val="000000"/>
        </w:rPr>
        <w:t xml:space="preserve">Lo que si sigue replicándose es el peso de la categoría III. </w:t>
      </w:r>
      <w:r w:rsidR="00604E70" w:rsidRPr="00A365D4">
        <w:rPr>
          <w:rFonts w:ascii="Times New Roman" w:eastAsia="Times New Roman" w:hAnsi="Times New Roman" w:cs="Times New Roman"/>
          <w:color w:val="000000"/>
        </w:rPr>
        <w:t xml:space="preserve">Con el paso del tiempo, la pirámide </w:t>
      </w:r>
      <w:r w:rsidRPr="00A365D4">
        <w:rPr>
          <w:rFonts w:ascii="Times New Roman" w:eastAsia="Times New Roman" w:hAnsi="Times New Roman" w:cs="Times New Roman"/>
          <w:color w:val="000000"/>
        </w:rPr>
        <w:t xml:space="preserve">del PROINCE </w:t>
      </w:r>
      <w:r w:rsidR="00604E70" w:rsidRPr="00A365D4">
        <w:rPr>
          <w:rFonts w:ascii="Times New Roman" w:eastAsia="Times New Roman" w:hAnsi="Times New Roman" w:cs="Times New Roman"/>
          <w:color w:val="000000"/>
        </w:rPr>
        <w:t>empezó a ensancharse en la categoría III</w:t>
      </w:r>
      <w:r w:rsidRPr="00A365D4">
        <w:rPr>
          <w:rFonts w:ascii="Times New Roman" w:eastAsia="Times New Roman" w:hAnsi="Times New Roman" w:cs="Times New Roman"/>
          <w:color w:val="000000"/>
        </w:rPr>
        <w:t xml:space="preserve"> porque l</w:t>
      </w:r>
      <w:r w:rsidR="00604E70" w:rsidRPr="00A365D4">
        <w:rPr>
          <w:rFonts w:ascii="Times New Roman" w:eastAsia="Times New Roman" w:hAnsi="Times New Roman" w:cs="Times New Roman"/>
          <w:color w:val="000000"/>
        </w:rPr>
        <w:t xml:space="preserve">os requisitos en el </w:t>
      </w:r>
      <w:r w:rsidR="00604E70" w:rsidRPr="00A365D4">
        <w:rPr>
          <w:rFonts w:ascii="Times New Roman" w:eastAsia="Times New Roman" w:hAnsi="Times New Roman" w:cs="Times New Roman"/>
          <w:i/>
          <w:iCs/>
        </w:rPr>
        <w:t>ítem</w:t>
      </w:r>
      <w:r w:rsidR="00604E70" w:rsidRPr="00A365D4">
        <w:rPr>
          <w:rFonts w:ascii="Times New Roman" w:eastAsia="Times New Roman" w:hAnsi="Times New Roman" w:cs="Times New Roman"/>
          <w:color w:val="000000"/>
        </w:rPr>
        <w:t xml:space="preserve"> de formación de recursos humanos funcionaron </w:t>
      </w:r>
      <w:r w:rsidR="00604E70" w:rsidRPr="00A365D4">
        <w:rPr>
          <w:rFonts w:ascii="Times New Roman" w:eastAsia="Times New Roman" w:hAnsi="Times New Roman" w:cs="Times New Roman"/>
        </w:rPr>
        <w:t>como</w:t>
      </w:r>
      <w:r w:rsidR="00604E70" w:rsidRPr="00A365D4">
        <w:rPr>
          <w:rFonts w:ascii="Times New Roman" w:eastAsia="Times New Roman" w:hAnsi="Times New Roman" w:cs="Times New Roman"/>
          <w:color w:val="000000"/>
        </w:rPr>
        <w:t xml:space="preserve"> una barrera de entrada a conformar la </w:t>
      </w:r>
      <w:r w:rsidR="00604E70" w:rsidRPr="00A365D4">
        <w:rPr>
          <w:rFonts w:ascii="Times New Roman" w:eastAsia="Times New Roman" w:hAnsi="Times New Roman" w:cs="Times New Roman"/>
        </w:rPr>
        <w:t>élite</w:t>
      </w:r>
      <w:r w:rsidR="00604E70" w:rsidRPr="00A365D4">
        <w:rPr>
          <w:rFonts w:ascii="Times New Roman" w:eastAsia="Times New Roman" w:hAnsi="Times New Roman" w:cs="Times New Roman"/>
          <w:color w:val="000000"/>
        </w:rPr>
        <w:t xml:space="preserve"> del programa. Lo mismo se replica en la </w:t>
      </w:r>
      <w:r w:rsidRPr="00A365D4">
        <w:rPr>
          <w:rFonts w:ascii="Times New Roman" w:eastAsia="Times New Roman" w:hAnsi="Times New Roman" w:cs="Times New Roman"/>
          <w:color w:val="000000"/>
        </w:rPr>
        <w:t>figura</w:t>
      </w:r>
      <w:r w:rsidR="00604E70" w:rsidRPr="00A365D4">
        <w:rPr>
          <w:rFonts w:ascii="Times New Roman" w:eastAsia="Times New Roman" w:hAnsi="Times New Roman" w:cs="Times New Roman"/>
          <w:color w:val="000000"/>
        </w:rPr>
        <w:t xml:space="preserve"> del PROCADI, donde </w:t>
      </w:r>
      <w:r w:rsidR="00604E70" w:rsidRPr="00A365D4">
        <w:rPr>
          <w:rFonts w:ascii="Times New Roman" w:eastAsia="Times New Roman" w:hAnsi="Times New Roman" w:cs="Times New Roman"/>
        </w:rPr>
        <w:t>la categoría III representa</w:t>
      </w:r>
      <w:r w:rsidR="00604E70" w:rsidRPr="00A365D4">
        <w:rPr>
          <w:rFonts w:ascii="Times New Roman" w:eastAsia="Times New Roman" w:hAnsi="Times New Roman" w:cs="Times New Roman"/>
          <w:color w:val="000000"/>
        </w:rPr>
        <w:t xml:space="preserve"> un tercio, específicamente el</w:t>
      </w:r>
      <w:r w:rsidR="00604E70" w:rsidRPr="00A365D4">
        <w:rPr>
          <w:rFonts w:ascii="Times New Roman" w:eastAsia="Times New Roman" w:hAnsi="Times New Roman" w:cs="Times New Roman"/>
        </w:rPr>
        <w:t xml:space="preserve"> </w:t>
      </w:r>
      <w:r w:rsidR="00604E70" w:rsidRPr="00A365D4">
        <w:rPr>
          <w:rFonts w:ascii="Times New Roman" w:eastAsia="Times New Roman" w:hAnsi="Times New Roman" w:cs="Times New Roman"/>
          <w:color w:val="000000"/>
        </w:rPr>
        <w:t>3</w:t>
      </w:r>
      <w:r w:rsidR="00604E70" w:rsidRPr="00A365D4">
        <w:rPr>
          <w:rFonts w:ascii="Times New Roman" w:eastAsia="Times New Roman" w:hAnsi="Times New Roman" w:cs="Times New Roman"/>
        </w:rPr>
        <w:t>3,60</w:t>
      </w:r>
      <w:r w:rsidR="00604E70" w:rsidRPr="00A365D4">
        <w:rPr>
          <w:rFonts w:ascii="Times New Roman" w:eastAsia="Times New Roman" w:hAnsi="Times New Roman" w:cs="Times New Roman"/>
          <w:color w:val="000000"/>
        </w:rPr>
        <w:t>%, siendo muy numeros</w:t>
      </w:r>
      <w:r w:rsidR="00604E70" w:rsidRPr="00A365D4">
        <w:rPr>
          <w:rFonts w:ascii="Times New Roman" w:eastAsia="Times New Roman" w:hAnsi="Times New Roman" w:cs="Times New Roman"/>
        </w:rPr>
        <w:t>a además la categoría</w:t>
      </w:r>
      <w:r w:rsidR="00604E70" w:rsidRPr="00A365D4">
        <w:rPr>
          <w:rFonts w:ascii="Times New Roman" w:eastAsia="Times New Roman" w:hAnsi="Times New Roman" w:cs="Times New Roman"/>
          <w:color w:val="000000"/>
        </w:rPr>
        <w:t xml:space="preserve"> IV, con </w:t>
      </w:r>
      <w:r w:rsidR="00604E70" w:rsidRPr="00A365D4">
        <w:rPr>
          <w:rFonts w:ascii="Times New Roman" w:eastAsia="Times New Roman" w:hAnsi="Times New Roman" w:cs="Times New Roman"/>
        </w:rPr>
        <w:t>una</w:t>
      </w:r>
      <w:r w:rsidR="00604E70" w:rsidRPr="00A365D4">
        <w:rPr>
          <w:rFonts w:ascii="Times New Roman" w:eastAsia="Times New Roman" w:hAnsi="Times New Roman" w:cs="Times New Roman"/>
          <w:color w:val="000000"/>
        </w:rPr>
        <w:t xml:space="preserve"> </w:t>
      </w:r>
      <w:r w:rsidR="00604E70" w:rsidRPr="00A365D4">
        <w:rPr>
          <w:rFonts w:ascii="Times New Roman" w:eastAsia="Times New Roman" w:hAnsi="Times New Roman" w:cs="Times New Roman"/>
        </w:rPr>
        <w:t>representatividad</w:t>
      </w:r>
      <w:r w:rsidR="00604E70" w:rsidRPr="00A365D4">
        <w:rPr>
          <w:rFonts w:ascii="Times New Roman" w:eastAsia="Times New Roman" w:hAnsi="Times New Roman" w:cs="Times New Roman"/>
          <w:color w:val="000000"/>
        </w:rPr>
        <w:t xml:space="preserve"> del </w:t>
      </w:r>
      <w:r w:rsidR="00604E70" w:rsidRPr="00A365D4">
        <w:rPr>
          <w:rFonts w:ascii="Times New Roman" w:eastAsia="Times New Roman" w:hAnsi="Times New Roman" w:cs="Times New Roman"/>
        </w:rPr>
        <w:t>30</w:t>
      </w:r>
      <w:r w:rsidRPr="00A365D4">
        <w:rPr>
          <w:rFonts w:ascii="Times New Roman" w:eastAsia="Times New Roman" w:hAnsi="Times New Roman" w:cs="Times New Roman"/>
        </w:rPr>
        <w:t>,06%</w:t>
      </w:r>
      <w:r w:rsidR="00604E70" w:rsidRPr="00A365D4">
        <w:rPr>
          <w:rFonts w:ascii="Times New Roman" w:eastAsia="Times New Roman" w:hAnsi="Times New Roman" w:cs="Times New Roman"/>
        </w:rPr>
        <w:t xml:space="preserve"> abarcando conjuntamente casi dos tercios del total</w:t>
      </w:r>
      <w:r w:rsidR="00604E70" w:rsidRPr="00A365D4">
        <w:rPr>
          <w:rFonts w:ascii="Times New Roman" w:eastAsia="Times New Roman" w:hAnsi="Times New Roman" w:cs="Times New Roman"/>
          <w:color w:val="000000"/>
        </w:rPr>
        <w:t>.</w:t>
      </w:r>
      <w:r w:rsidR="00604E70" w:rsidRPr="00A365D4">
        <w:rPr>
          <w:rFonts w:ascii="Times New Roman" w:eastAsia="Times New Roman" w:hAnsi="Times New Roman" w:cs="Times New Roman"/>
        </w:rPr>
        <w:t xml:space="preserve"> Como se puede apreciar en </w:t>
      </w:r>
      <w:r w:rsidR="009175CC">
        <w:rPr>
          <w:rFonts w:ascii="Times New Roman" w:eastAsia="Times New Roman" w:hAnsi="Times New Roman" w:cs="Times New Roman"/>
        </w:rPr>
        <w:t>el siguiente gráfico</w:t>
      </w:r>
      <w:r w:rsidR="00604E70" w:rsidRPr="00A365D4">
        <w:rPr>
          <w:rFonts w:ascii="Times New Roman" w:eastAsia="Times New Roman" w:hAnsi="Times New Roman" w:cs="Times New Roman"/>
        </w:rPr>
        <w:t>:</w:t>
      </w:r>
    </w:p>
    <w:p w14:paraId="2E7A4F7F" w14:textId="77777777" w:rsidR="00604E70" w:rsidRPr="00A365D4" w:rsidRDefault="00604E70" w:rsidP="00604E70">
      <w:pPr>
        <w:spacing w:line="240" w:lineRule="auto"/>
        <w:jc w:val="center"/>
        <w:rPr>
          <w:rFonts w:ascii="Times New Roman" w:eastAsia="Times New Roman" w:hAnsi="Times New Roman" w:cs="Times New Roman"/>
          <w:highlight w:val="white"/>
        </w:rPr>
      </w:pPr>
      <w:r w:rsidRPr="0067512F">
        <w:rPr>
          <w:rFonts w:ascii="Times New Roman" w:hAnsi="Times New Roman" w:cs="Times New Roman"/>
          <w:noProof/>
          <w:sz w:val="22"/>
          <w:szCs w:val="22"/>
        </w:rPr>
        <mc:AlternateContent>
          <mc:Choice Requires="cx2">
            <w:drawing>
              <wp:inline distT="0" distB="0" distL="0" distR="0" wp14:anchorId="27A9808A" wp14:editId="26A4790B">
                <wp:extent cx="3762375" cy="1819275"/>
                <wp:effectExtent l="0" t="0" r="9525" b="9525"/>
                <wp:docPr id="1997580166" name="Gráfico 1">
                  <a:extLst xmlns:a="http://schemas.openxmlformats.org/drawingml/2006/main">
                    <a:ext uri="{FF2B5EF4-FFF2-40B4-BE49-F238E27FC236}">
                      <a16:creationId xmlns:a16="http://schemas.microsoft.com/office/drawing/2014/main" id="{E72E9BF6-2331-4BE5-3370-1978A94335C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
                  </a:graphicData>
                </a:graphic>
              </wp:inline>
            </w:drawing>
          </mc:Choice>
          <mc:Fallback>
            <w:drawing>
              <wp:inline distT="0" distB="0" distL="0" distR="0" wp14:anchorId="27A9808A" wp14:editId="26A4790B">
                <wp:extent cx="3762375" cy="1819275"/>
                <wp:effectExtent l="0" t="0" r="9525" b="9525"/>
                <wp:docPr id="1997580166" name="Gráfico 1">
                  <a:extLst xmlns:a="http://schemas.openxmlformats.org/drawingml/2006/main">
                    <a:ext uri="{FF2B5EF4-FFF2-40B4-BE49-F238E27FC236}">
                      <a16:creationId xmlns:a16="http://schemas.microsoft.com/office/drawing/2014/main" id="{E72E9BF6-2331-4BE5-3370-1978A94335C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97580166" name="Gráfico 1">
                          <a:extLst>
                            <a:ext uri="{FF2B5EF4-FFF2-40B4-BE49-F238E27FC236}">
                              <a16:creationId xmlns:a16="http://schemas.microsoft.com/office/drawing/2014/main" id="{E72E9BF6-2331-4BE5-3370-1978A94335CD}"/>
                            </a:ext>
                          </a:extLst>
                        </pic:cNvPr>
                        <pic:cNvPicPr>
                          <a:picLocks noGrp="1" noRot="1" noChangeAspect="1" noMove="1" noResize="1" noEditPoints="1" noAdjustHandles="1" noChangeArrowheads="1" noChangeShapeType="1"/>
                        </pic:cNvPicPr>
                      </pic:nvPicPr>
                      <pic:blipFill>
                        <a:blip r:embed="rId10"/>
                        <a:stretch>
                          <a:fillRect/>
                        </a:stretch>
                      </pic:blipFill>
                      <pic:spPr>
                        <a:xfrm>
                          <a:off x="0" y="0"/>
                          <a:ext cx="3762375" cy="1819275"/>
                        </a:xfrm>
                        <a:prstGeom prst="rect">
                          <a:avLst/>
                        </a:prstGeom>
                      </pic:spPr>
                    </pic:pic>
                  </a:graphicData>
                </a:graphic>
              </wp:inline>
            </w:drawing>
          </mc:Fallback>
        </mc:AlternateContent>
      </w:r>
    </w:p>
    <w:p w14:paraId="25489414" w14:textId="77777777" w:rsidR="00604E70" w:rsidRPr="00A365D4" w:rsidRDefault="00604E70" w:rsidP="00604E70">
      <w:pPr>
        <w:spacing w:line="240" w:lineRule="auto"/>
        <w:jc w:val="center"/>
        <w:rPr>
          <w:rFonts w:ascii="Times New Roman" w:eastAsia="Arial" w:hAnsi="Times New Roman" w:cs="Times New Roman"/>
          <w:color w:val="000000"/>
        </w:rPr>
      </w:pPr>
    </w:p>
    <w:p w14:paraId="78558BF2" w14:textId="77777777" w:rsidR="00604E70" w:rsidRPr="00A365D4" w:rsidRDefault="00604E70" w:rsidP="00CC57F3">
      <w:pPr>
        <w:pStyle w:val="Prrafodelista"/>
        <w:numPr>
          <w:ilvl w:val="0"/>
          <w:numId w:val="3"/>
        </w:numPr>
        <w:spacing w:line="240" w:lineRule="auto"/>
        <w:jc w:val="both"/>
        <w:rPr>
          <w:rFonts w:ascii="Times New Roman" w:eastAsia="Times New Roman" w:hAnsi="Times New Roman" w:cs="Times New Roman"/>
          <w:b/>
          <w:bCs/>
        </w:rPr>
      </w:pPr>
      <w:r w:rsidRPr="00A365D4">
        <w:rPr>
          <w:rFonts w:ascii="Times New Roman" w:eastAsia="Times New Roman" w:hAnsi="Times New Roman" w:cs="Times New Roman"/>
          <w:b/>
          <w:bCs/>
        </w:rPr>
        <w:t>La perspectiva de evaluadores y evaluadoras sobre el proceso</w:t>
      </w:r>
    </w:p>
    <w:p w14:paraId="409C4B58" w14:textId="4AE06178" w:rsidR="00B56493" w:rsidRPr="00B56493" w:rsidRDefault="00B56493" w:rsidP="00B56493">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Si bien respetando lo establecido por la normativa, basada en la metodología del PRINUAR, d</w:t>
      </w:r>
      <w:r w:rsidRPr="00B56493">
        <w:rPr>
          <w:rFonts w:ascii="Times New Roman" w:eastAsia="Times New Roman" w:hAnsi="Times New Roman" w:cs="Times New Roman"/>
          <w:color w:val="000000"/>
        </w:rPr>
        <w:t>esde la SECAT</w:t>
      </w:r>
      <w:r>
        <w:rPr>
          <w:rFonts w:ascii="Times New Roman" w:eastAsia="Times New Roman" w:hAnsi="Times New Roman" w:cs="Times New Roman"/>
          <w:color w:val="000000"/>
        </w:rPr>
        <w:t xml:space="preserve"> se introdujeron innovaciones en el mecanismo de evaluación para lograr un adecuado desarrollo del proceso. Se </w:t>
      </w:r>
      <w:r w:rsidRPr="00B56493">
        <w:rPr>
          <w:rFonts w:ascii="Times New Roman" w:eastAsia="Times New Roman" w:hAnsi="Times New Roman" w:cs="Times New Roman"/>
          <w:color w:val="000000"/>
        </w:rPr>
        <w:t xml:space="preserve">decidió desdoblar la evaluación: las </w:t>
      </w:r>
      <w:r w:rsidRPr="00B56493">
        <w:rPr>
          <w:rFonts w:ascii="Times New Roman" w:eastAsia="Times New Roman" w:hAnsi="Times New Roman" w:cs="Times New Roman"/>
          <w:color w:val="000000"/>
        </w:rPr>
        <w:lastRenderedPageBreak/>
        <w:t>categorías I, II</w:t>
      </w:r>
      <w:r w:rsidRPr="00B56493">
        <w:rPr>
          <w:rFonts w:ascii="Times New Roman" w:eastAsia="Times New Roman" w:hAnsi="Times New Roman" w:cs="Times New Roman"/>
        </w:rPr>
        <w:t>,</w:t>
      </w:r>
      <w:r w:rsidRPr="00B56493">
        <w:rPr>
          <w:rFonts w:ascii="Times New Roman" w:eastAsia="Times New Roman" w:hAnsi="Times New Roman" w:cs="Times New Roman"/>
          <w:color w:val="000000"/>
        </w:rPr>
        <w:t xml:space="preserve"> III y </w:t>
      </w:r>
      <w:r w:rsidRPr="00B56493">
        <w:rPr>
          <w:rFonts w:ascii="Times New Roman" w:eastAsia="Times New Roman" w:hAnsi="Times New Roman" w:cs="Times New Roman"/>
        </w:rPr>
        <w:t xml:space="preserve">IV </w:t>
      </w:r>
      <w:r w:rsidRPr="00B56493">
        <w:rPr>
          <w:rFonts w:ascii="Times New Roman" w:eastAsia="Times New Roman" w:hAnsi="Times New Roman" w:cs="Times New Roman"/>
          <w:color w:val="000000"/>
        </w:rPr>
        <w:t xml:space="preserve">serían evaluadas por comisiones, mientras que la V sería </w:t>
      </w:r>
      <w:proofErr w:type="spellStart"/>
      <w:r w:rsidRPr="00B56493">
        <w:rPr>
          <w:rFonts w:ascii="Times New Roman" w:eastAsia="Times New Roman" w:hAnsi="Times New Roman" w:cs="Times New Roman"/>
          <w:color w:val="000000"/>
        </w:rPr>
        <w:t>pre-evaluada</w:t>
      </w:r>
      <w:proofErr w:type="spellEnd"/>
      <w:r w:rsidRPr="00B56493">
        <w:rPr>
          <w:rFonts w:ascii="Times New Roman" w:eastAsia="Times New Roman" w:hAnsi="Times New Roman" w:cs="Times New Roman"/>
          <w:color w:val="000000"/>
        </w:rPr>
        <w:t xml:space="preserve"> por miembros de la Secretaría con supervisión de las autoridades. Asimismo, algunas de las dimensiones </w:t>
      </w:r>
      <w:r w:rsidRPr="00B56493">
        <w:rPr>
          <w:rFonts w:ascii="Times New Roman" w:eastAsia="Times New Roman" w:hAnsi="Times New Roman" w:cs="Times New Roman"/>
        </w:rPr>
        <w:t xml:space="preserve">del resto de las categorías fueron también </w:t>
      </w:r>
      <w:proofErr w:type="spellStart"/>
      <w:r w:rsidRPr="00B56493">
        <w:rPr>
          <w:rFonts w:ascii="Times New Roman" w:eastAsia="Times New Roman" w:hAnsi="Times New Roman" w:cs="Times New Roman"/>
        </w:rPr>
        <w:t>pre-evaluadas</w:t>
      </w:r>
      <w:proofErr w:type="spellEnd"/>
      <w:r w:rsidRPr="00B56493">
        <w:rPr>
          <w:rFonts w:ascii="Times New Roman" w:eastAsia="Times New Roman" w:hAnsi="Times New Roman" w:cs="Times New Roman"/>
        </w:rPr>
        <w:t xml:space="preserve"> por el personal para facilitar el proceso de evaluación por pares en una jornada específica, </w:t>
      </w:r>
      <w:r>
        <w:rPr>
          <w:rFonts w:ascii="Times New Roman" w:eastAsia="Times New Roman" w:hAnsi="Times New Roman" w:cs="Times New Roman"/>
        </w:rPr>
        <w:t>durante el 01 y el 02 de diciembre de 2025.</w:t>
      </w:r>
    </w:p>
    <w:p w14:paraId="04E6C7EA"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En total, las/os evaluadores convocados fueron 25, tres por cada una de las ocho comisiones, con la salvedad de la Comisión de Ciencias Médicas y de la Salud que contó el primer día con una evaluadora, que fue reemplazada el segundo día, con lo cual dicha comisión tuvo 4 miembros. El total de quienes entregaron la encuesta solicitada fue de 24 integrantes de comités, los tres de todas las comisiones por área, salvo en el caso de Ciencias Sociales y Comunicación que, de sus 6 integrantes, entregaron la encuesta cinco de ellos. De todas maneras, contar con la opinión de 24 miembros de un total de 25 resulta un número más que suficiente para conocer qué opinión poseen los actores centrales de este proceso.</w:t>
      </w:r>
    </w:p>
    <w:p w14:paraId="24901F5F" w14:textId="02D1788B"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La encuesta se estructuró en tres ejes. Las primeras seis preguntas consistieron en cuestiones referidas a la edad, comisión evaluadora de pertenencia, cargo docente, membresía a </w:t>
      </w:r>
      <w:r w:rsidR="00CC57F3" w:rsidRPr="00A365D4">
        <w:rPr>
          <w:rFonts w:ascii="Times New Roman" w:eastAsia="Times New Roman" w:hAnsi="Times New Roman" w:cs="Times New Roman"/>
        </w:rPr>
        <w:t xml:space="preserve">carrera de </w:t>
      </w:r>
      <w:r w:rsidRPr="00A365D4">
        <w:rPr>
          <w:rFonts w:ascii="Times New Roman" w:eastAsia="Times New Roman" w:hAnsi="Times New Roman" w:cs="Times New Roman"/>
        </w:rPr>
        <w:t xml:space="preserve">CONICET o CICPBA y Universidad de lugar de trabajo. Fundamentalmente, estos datos fueron requeridos para poder replicar a futuro este instrumento construyendo una base de datos mayor con diferentes procesos de evaluación enmarcados por sistemas institucionales de evaluación. </w:t>
      </w:r>
    </w:p>
    <w:p w14:paraId="48103E4D" w14:textId="589F852A" w:rsidR="00604E70" w:rsidRPr="00A365D4" w:rsidRDefault="00604E70" w:rsidP="00604E70">
      <w:pPr>
        <w:tabs>
          <w:tab w:val="left" w:pos="284"/>
        </w:tabs>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Un segundo eje reunió 13 preguntas y buscó explorar la opinión de cada participante acerca de la experiencia en el proceso de evaluación del PROCADI.  Una de las preguntas se propuso indagar en las dificultades para valorar las actividades y productos. Ante la pregunta: ¿Cuáles son las actividades que le resultaron más difíciles de ponderar objetivamente</w:t>
      </w:r>
      <w:r w:rsidRPr="00A365D4">
        <w:rPr>
          <w:rFonts w:ascii="Times New Roman" w:eastAsia="Times New Roman" w:hAnsi="Times New Roman" w:cs="Times New Roman"/>
          <w:vertAlign w:val="superscript"/>
        </w:rPr>
        <w:footnoteReference w:id="2"/>
      </w:r>
      <w:r w:rsidRPr="00A365D4">
        <w:rPr>
          <w:rFonts w:ascii="Times New Roman" w:eastAsia="Times New Roman" w:hAnsi="Times New Roman" w:cs="Times New Roman"/>
        </w:rPr>
        <w:t xml:space="preserve">?, con la posibilidad de marcar hasta 3 opciones, se obtuvo que son dos centralmente las que implicaron un mayor reto para ponderar objetivamente. Tal como muestra el </w:t>
      </w:r>
      <w:r w:rsidR="0067512F">
        <w:rPr>
          <w:rFonts w:ascii="Times New Roman" w:eastAsia="Times New Roman" w:hAnsi="Times New Roman" w:cs="Times New Roman"/>
        </w:rPr>
        <w:t>G</w:t>
      </w:r>
      <w:r w:rsidRPr="00A365D4">
        <w:rPr>
          <w:rFonts w:ascii="Times New Roman" w:eastAsia="Times New Roman" w:hAnsi="Times New Roman" w:cs="Times New Roman"/>
        </w:rPr>
        <w:t xml:space="preserve">ráfico </w:t>
      </w:r>
      <w:r w:rsidR="00CC57F3" w:rsidRPr="00A365D4">
        <w:rPr>
          <w:rFonts w:ascii="Times New Roman" w:eastAsia="Times New Roman" w:hAnsi="Times New Roman" w:cs="Times New Roman"/>
        </w:rPr>
        <w:t>3</w:t>
      </w:r>
      <w:r w:rsidRPr="00A365D4">
        <w:rPr>
          <w:rFonts w:ascii="Times New Roman" w:eastAsia="Times New Roman" w:hAnsi="Times New Roman" w:cs="Times New Roman"/>
        </w:rPr>
        <w:t xml:space="preserve"> las mayores dificultades para ponderar objetivamente se concentran en actividades que se sitúan por fuera del núcleo tradicional de la evaluación académica. En particular, las actividades y productos en el </w:t>
      </w:r>
      <w:proofErr w:type="spellStart"/>
      <w:r w:rsidRPr="00A365D4">
        <w:rPr>
          <w:rFonts w:ascii="Times New Roman" w:eastAsia="Times New Roman" w:hAnsi="Times New Roman" w:cs="Times New Roman"/>
          <w:i/>
          <w:iCs/>
        </w:rPr>
        <w:t>item</w:t>
      </w:r>
      <w:proofErr w:type="spellEnd"/>
      <w:r w:rsidRPr="00A365D4">
        <w:rPr>
          <w:rFonts w:ascii="Times New Roman" w:eastAsia="Times New Roman" w:hAnsi="Times New Roman" w:cs="Times New Roman"/>
        </w:rPr>
        <w:t xml:space="preserve"> Comunicación Pública de la Ciencia aparecen como la dimensión más problemática, concentrando el mayor porcentaje de menciones, esto es, un 79%, seguida muy de cerca por aquellas enmarcadas por la Extensión universitaria con un 75% de menciones. Estos resultados indican que, para una proporción significativa de los/as evaluadores/as, la valoración de este tipo de actividades presenta altos niveles de incertidumbre y heterogeneidad.</w:t>
      </w:r>
    </w:p>
    <w:p w14:paraId="3232F20E" w14:textId="56887258" w:rsidR="00604E70" w:rsidRPr="00A365D4" w:rsidRDefault="00604E70" w:rsidP="00604E70">
      <w:pPr>
        <w:tabs>
          <w:tab w:val="left" w:pos="284"/>
        </w:tabs>
        <w:spacing w:line="240" w:lineRule="auto"/>
        <w:jc w:val="both"/>
        <w:rPr>
          <w:rFonts w:ascii="Times New Roman" w:eastAsia="Times New Roman" w:hAnsi="Times New Roman" w:cs="Times New Roman"/>
          <w:highlight w:val="yellow"/>
        </w:rPr>
      </w:pPr>
      <w:r w:rsidRPr="00A365D4">
        <w:rPr>
          <w:rFonts w:ascii="Times New Roman" w:eastAsia="Times New Roman" w:hAnsi="Times New Roman" w:cs="Times New Roman"/>
        </w:rPr>
        <w:t xml:space="preserve">En un segundo nivel se ubica el </w:t>
      </w:r>
      <w:proofErr w:type="spellStart"/>
      <w:r w:rsidRPr="00A365D4">
        <w:rPr>
          <w:rFonts w:ascii="Times New Roman" w:eastAsia="Times New Roman" w:hAnsi="Times New Roman" w:cs="Times New Roman"/>
          <w:i/>
          <w:iCs/>
        </w:rPr>
        <w:t>item</w:t>
      </w:r>
      <w:proofErr w:type="spellEnd"/>
      <w:r w:rsidRPr="00A365D4">
        <w:rPr>
          <w:rFonts w:ascii="Times New Roman" w:eastAsia="Times New Roman" w:hAnsi="Times New Roman" w:cs="Times New Roman"/>
        </w:rPr>
        <w:t xml:space="preserve"> Transferencias de conocimiento y demás actividades asociadas, que, si bien registra una menor proporción de menciones, concretamente un 4</w:t>
      </w:r>
      <w:r w:rsidR="0067512F">
        <w:rPr>
          <w:rFonts w:ascii="Times New Roman" w:eastAsia="Times New Roman" w:hAnsi="Times New Roman" w:cs="Times New Roman"/>
        </w:rPr>
        <w:t>2</w:t>
      </w:r>
      <w:r w:rsidRPr="00A365D4">
        <w:rPr>
          <w:rFonts w:ascii="Times New Roman" w:eastAsia="Times New Roman" w:hAnsi="Times New Roman" w:cs="Times New Roman"/>
        </w:rPr>
        <w:t xml:space="preserve">%, continúan siendo percibidas como difíciles de evaluar en términos objetivos. En contraste, las Actividades y Producción en Docencia muestran un nivel intermedio de </w:t>
      </w:r>
      <w:r w:rsidRPr="00A365D4">
        <w:rPr>
          <w:rFonts w:ascii="Times New Roman" w:eastAsia="Times New Roman" w:hAnsi="Times New Roman" w:cs="Times New Roman"/>
        </w:rPr>
        <w:lastRenderedPageBreak/>
        <w:t xml:space="preserve">dificultad, lo que sugiere una mayor estabilización relativa de sus criterios de evaluación, aunque aún no exenta de tensiones. Por su parte, los ítems Actividades y Producción Científica y Evaluación de trayectorias y actividades, registran los porcentajes más bajos de dificultad percibida. Por un lado, el primero es uno de los más estables en cuanto a la existencia de criterios más estandarizados. Por el otro, el segundo fue uno de los ítems </w:t>
      </w:r>
      <w:proofErr w:type="spellStart"/>
      <w:r w:rsidRPr="00A365D4">
        <w:rPr>
          <w:rFonts w:ascii="Times New Roman" w:eastAsia="Times New Roman" w:hAnsi="Times New Roman" w:cs="Times New Roman"/>
        </w:rPr>
        <w:t>pre-evaluados</w:t>
      </w:r>
      <w:proofErr w:type="spellEnd"/>
      <w:r w:rsidRPr="00A365D4">
        <w:rPr>
          <w:rFonts w:ascii="Times New Roman" w:eastAsia="Times New Roman" w:hAnsi="Times New Roman" w:cs="Times New Roman"/>
        </w:rPr>
        <w:t xml:space="preserve"> desde la </w:t>
      </w:r>
      <w:proofErr w:type="spellStart"/>
      <w:r w:rsidRPr="00A365D4">
        <w:rPr>
          <w:rFonts w:ascii="Times New Roman" w:eastAsia="Times New Roman" w:hAnsi="Times New Roman" w:cs="Times New Roman"/>
        </w:rPr>
        <w:t>SeCAT</w:t>
      </w:r>
      <w:proofErr w:type="spellEnd"/>
      <w:r w:rsidRPr="00A365D4">
        <w:rPr>
          <w:rFonts w:ascii="Times New Roman" w:eastAsia="Times New Roman" w:hAnsi="Times New Roman" w:cs="Times New Roman"/>
        </w:rPr>
        <w:t xml:space="preserve"> y, con ello, habrá quienes decidieron no cuestionar el puntaje ya colocado y por ello fue algo que no despertó dificultad. </w:t>
      </w:r>
      <w:r w:rsidR="00F4773E" w:rsidRPr="00A365D4">
        <w:rPr>
          <w:rFonts w:ascii="Times New Roman" w:eastAsia="Times New Roman" w:hAnsi="Times New Roman" w:cs="Times New Roman"/>
        </w:rPr>
        <w:t>E</w:t>
      </w:r>
      <w:r w:rsidRPr="00A365D4">
        <w:rPr>
          <w:rFonts w:ascii="Times New Roman" w:eastAsia="Times New Roman" w:hAnsi="Times New Roman" w:cs="Times New Roman"/>
        </w:rPr>
        <w:t xml:space="preserve">n definitiva, </w:t>
      </w:r>
      <w:r w:rsidR="00F4773E" w:rsidRPr="00A365D4">
        <w:rPr>
          <w:rFonts w:ascii="Times New Roman" w:eastAsia="Times New Roman" w:hAnsi="Times New Roman" w:cs="Times New Roman"/>
        </w:rPr>
        <w:t xml:space="preserve">podemos afirmar que </w:t>
      </w:r>
      <w:r w:rsidRPr="00A365D4">
        <w:rPr>
          <w:rFonts w:ascii="Times New Roman" w:eastAsia="Times New Roman" w:hAnsi="Times New Roman" w:cs="Times New Roman"/>
        </w:rPr>
        <w:t xml:space="preserve">es la tercera misión de la Universidad la que más </w:t>
      </w:r>
      <w:r w:rsidR="00F4773E" w:rsidRPr="00A365D4">
        <w:rPr>
          <w:rFonts w:ascii="Times New Roman" w:eastAsia="Times New Roman" w:hAnsi="Times New Roman" w:cs="Times New Roman"/>
        </w:rPr>
        <w:t>tensiones</w:t>
      </w:r>
      <w:r w:rsidRPr="00A365D4">
        <w:rPr>
          <w:rFonts w:ascii="Times New Roman" w:eastAsia="Times New Roman" w:hAnsi="Times New Roman" w:cs="Times New Roman"/>
        </w:rPr>
        <w:t xml:space="preserve"> genera y</w:t>
      </w:r>
      <w:r w:rsidR="00F4773E" w:rsidRPr="00A365D4">
        <w:rPr>
          <w:rFonts w:ascii="Times New Roman" w:eastAsia="Times New Roman" w:hAnsi="Times New Roman" w:cs="Times New Roman"/>
        </w:rPr>
        <w:t>,</w:t>
      </w:r>
      <w:r w:rsidRPr="00A365D4">
        <w:rPr>
          <w:rFonts w:ascii="Times New Roman" w:eastAsia="Times New Roman" w:hAnsi="Times New Roman" w:cs="Times New Roman"/>
        </w:rPr>
        <w:t xml:space="preserve"> la comunicación con la sociedad</w:t>
      </w:r>
      <w:r w:rsidR="00F4773E" w:rsidRPr="00A365D4">
        <w:rPr>
          <w:rFonts w:ascii="Times New Roman" w:eastAsia="Times New Roman" w:hAnsi="Times New Roman" w:cs="Times New Roman"/>
        </w:rPr>
        <w:t>,</w:t>
      </w:r>
      <w:r w:rsidRPr="00A365D4">
        <w:rPr>
          <w:rFonts w:ascii="Times New Roman" w:eastAsia="Times New Roman" w:hAnsi="Times New Roman" w:cs="Times New Roman"/>
        </w:rPr>
        <w:t xml:space="preserve"> que también marca la articulación fuera de la academia)</w:t>
      </w:r>
    </w:p>
    <w:p w14:paraId="677CD402" w14:textId="77777777" w:rsidR="00604E70" w:rsidRPr="00A365D4" w:rsidRDefault="00604E70" w:rsidP="00604E70">
      <w:pPr>
        <w:spacing w:after="0" w:line="240" w:lineRule="auto"/>
        <w:jc w:val="center"/>
        <w:rPr>
          <w:rFonts w:ascii="Times New Roman" w:eastAsia="Arial" w:hAnsi="Times New Roman" w:cs="Times New Roman"/>
        </w:rPr>
      </w:pPr>
      <w:r w:rsidRPr="00A365D4">
        <w:rPr>
          <w:rFonts w:ascii="Times New Roman" w:hAnsi="Times New Roman" w:cs="Times New Roman"/>
          <w:noProof/>
        </w:rPr>
        <w:drawing>
          <wp:inline distT="0" distB="0" distL="0" distR="0" wp14:anchorId="3422D99E" wp14:editId="1598A649">
            <wp:extent cx="4572000" cy="2172065"/>
            <wp:effectExtent l="0" t="0" r="0" b="0"/>
            <wp:docPr id="1631518145" name="Gráfico 1631518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DE3129" w14:textId="77777777" w:rsidR="00604E70" w:rsidRPr="00A365D4" w:rsidRDefault="00604E70" w:rsidP="00604E70">
      <w:pPr>
        <w:spacing w:line="240" w:lineRule="auto"/>
        <w:jc w:val="both"/>
        <w:rPr>
          <w:rFonts w:ascii="Times New Roman" w:eastAsia="Arial" w:hAnsi="Times New Roman" w:cs="Times New Roman"/>
        </w:rPr>
      </w:pPr>
    </w:p>
    <w:p w14:paraId="7910C2F7" w14:textId="774BDAB4"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La siguiente pregunta buscó detectar cuál puede ser la causa de la dificultad para valorar esas actividades. Las opciones de respuesta eran cuatro, con la posibilidad de respuesta abierta en la última. Como se observa en el gráfico </w:t>
      </w:r>
      <w:proofErr w:type="spellStart"/>
      <w:r w:rsidRPr="00A365D4">
        <w:rPr>
          <w:rFonts w:ascii="Times New Roman" w:eastAsia="Times New Roman" w:hAnsi="Times New Roman" w:cs="Times New Roman"/>
        </w:rPr>
        <w:t>N°</w:t>
      </w:r>
      <w:proofErr w:type="spellEnd"/>
      <w:r w:rsidRPr="00A365D4">
        <w:rPr>
          <w:rFonts w:ascii="Times New Roman" w:eastAsia="Times New Roman" w:hAnsi="Times New Roman" w:cs="Times New Roman"/>
        </w:rPr>
        <w:t xml:space="preserve"> </w:t>
      </w:r>
      <w:r w:rsidR="00F4773E" w:rsidRPr="00A365D4">
        <w:rPr>
          <w:rFonts w:ascii="Times New Roman" w:eastAsia="Times New Roman" w:hAnsi="Times New Roman" w:cs="Times New Roman"/>
        </w:rPr>
        <w:t>4</w:t>
      </w:r>
      <w:r w:rsidRPr="00A365D4">
        <w:rPr>
          <w:rFonts w:ascii="Times New Roman" w:eastAsia="Times New Roman" w:hAnsi="Times New Roman" w:cs="Times New Roman"/>
        </w:rPr>
        <w:t xml:space="preserve"> casi un 80% de las/los evaluadores coinciden en que las dificultades están en la información disponible, es decir, el CV presentado por el/la postulante. Si además incorporamos las respuestas que algunos/as desarrollaron en Otro, se refuerza el problema de la información disponible. Encontramos evaluadores/as que dicen, por ejemplo, “el CV del CVAr”, “problema en SIGEVA que mezcla extensión y publicaciones en docencia y científica”, “CVAr”, “el problema es con el CVAr: no se puede usar en este contexto”.</w:t>
      </w:r>
    </w:p>
    <w:p w14:paraId="13146C1A" w14:textId="77777777" w:rsidR="00604E70" w:rsidRPr="00A365D4" w:rsidRDefault="00604E70" w:rsidP="00604E70">
      <w:pPr>
        <w:spacing w:line="240" w:lineRule="auto"/>
        <w:jc w:val="center"/>
        <w:rPr>
          <w:rFonts w:ascii="Times New Roman" w:eastAsia="Times New Roman" w:hAnsi="Times New Roman" w:cs="Times New Roman"/>
        </w:rPr>
      </w:pPr>
      <w:r w:rsidRPr="00A365D4">
        <w:rPr>
          <w:rFonts w:ascii="Times New Roman" w:eastAsia="Times New Roman" w:hAnsi="Times New Roman" w:cs="Times New Roman"/>
          <w:noProof/>
        </w:rPr>
        <w:drawing>
          <wp:inline distT="0" distB="0" distL="0" distR="0" wp14:anchorId="73A025B5" wp14:editId="565EBD7E">
            <wp:extent cx="3943350" cy="1962150"/>
            <wp:effectExtent l="0" t="0" r="0" b="0"/>
            <wp:docPr id="1631518147" name="Gráfico 1631518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83EA5B" w14:textId="77777777" w:rsidR="00604E70" w:rsidRPr="00A365D4" w:rsidRDefault="00604E70" w:rsidP="00604E70">
      <w:pPr>
        <w:spacing w:line="240" w:lineRule="auto"/>
        <w:jc w:val="center"/>
        <w:rPr>
          <w:rFonts w:ascii="Times New Roman" w:eastAsia="Times New Roman" w:hAnsi="Times New Roman" w:cs="Times New Roman"/>
        </w:rPr>
      </w:pPr>
    </w:p>
    <w:p w14:paraId="0CC24E6C" w14:textId="77777777"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 xml:space="preserve">Más allá de los problemas causados por cuestiones operativas, nos propusimos conocer qué sucedía con la orientación respecto a la evaluación que brinda la Grilla y los criterios propios de los/as evaluadores. De esta manera, preguntamos ¿Con qué frecuencia se sintió obligado/a por la normativa/grilla de evaluación a otorgar puntaje a antecedentes que, a su criterio experto, tienen poco valor real? </w:t>
      </w:r>
    </w:p>
    <w:p w14:paraId="154742E7" w14:textId="6730AD12"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 xml:space="preserve">El </w:t>
      </w:r>
      <w:r w:rsidR="0067512F">
        <w:rPr>
          <w:rFonts w:ascii="Times New Roman" w:eastAsia="Times New Roman" w:hAnsi="Times New Roman" w:cs="Times New Roman"/>
          <w:color w:val="000000"/>
        </w:rPr>
        <w:t>G</w:t>
      </w:r>
      <w:r w:rsidRPr="00A365D4">
        <w:rPr>
          <w:rFonts w:ascii="Times New Roman" w:eastAsia="Times New Roman" w:hAnsi="Times New Roman" w:cs="Times New Roman"/>
          <w:color w:val="000000"/>
        </w:rPr>
        <w:t xml:space="preserve">ráfico </w:t>
      </w:r>
      <w:r w:rsidR="0067512F">
        <w:rPr>
          <w:rFonts w:ascii="Times New Roman" w:eastAsia="Times New Roman" w:hAnsi="Times New Roman" w:cs="Times New Roman"/>
          <w:color w:val="000000"/>
        </w:rPr>
        <w:t>4</w:t>
      </w:r>
      <w:r w:rsidR="00F4773E" w:rsidRPr="00A365D4">
        <w:rPr>
          <w:rFonts w:ascii="Times New Roman" w:eastAsia="Times New Roman" w:hAnsi="Times New Roman" w:cs="Times New Roman"/>
          <w:color w:val="000000"/>
        </w:rPr>
        <w:t xml:space="preserve"> </w:t>
      </w:r>
      <w:r w:rsidRPr="00A365D4">
        <w:rPr>
          <w:rFonts w:ascii="Times New Roman" w:eastAsia="Times New Roman" w:hAnsi="Times New Roman" w:cs="Times New Roman"/>
          <w:color w:val="000000"/>
        </w:rPr>
        <w:t>muestra que la principal explicación atribuida por los/as evaluadores/as a la dificultad para evaluar ciertas actividades o productos se vincula con la información disponible en la postulación, opción señalada por el 75 % de las respuestas. Este resultado sugiere que las limitaciones no se explican exclusivamente por la naturaleza de las actividades evaluadas, sino también por las condiciones materiales y documentales en las que se desarrolla el proceso evaluativo.</w:t>
      </w:r>
    </w:p>
    <w:p w14:paraId="69DE5E33" w14:textId="12F3345D"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En un segundo plano aparece la categoría “Otro” (33%), lo que indica la presencia de factores adicionales que no quedan completamente capturados por las opciones predefinidas. Este resultado sugiere la existencia de causas más difusas o contextuales, potencialmente asociadas a criterios implícitos, experiencias previas de los/as evaluadores/as o particularidades disciplinares, que requieren un abordaje cualitativo complementario.</w:t>
      </w:r>
    </w:p>
    <w:p w14:paraId="12D0B2E8" w14:textId="50BEF64B"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Asimismo, un 16% de los/as encuestados/as atribuye la dificultad tanto a la diversidad de trayectorias como a los criterios de evaluación establecidos en la grilla. Aunque estos porcentajes son menores en términos relativos, resultan significativos en tanto señalan que una parte de los/as evaluadores/as identifica tensiones estructurales entre la heterogeneidad de las trayectorias académicas y los instrumentos estandarizados de evaluación.</w:t>
      </w:r>
    </w:p>
    <w:p w14:paraId="6B6C22BB" w14:textId="77777777"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En conjunto, los resultados indican que las dificultades en la evaluación no son percibidas primordialmente como un problema de falta de competencia evaluativa, sino como el resultado de una combinación de restricciones informacionales, diversidad de trayectorias y límites del diseño de los instrumentos de evaluación. Esta lectura refuerza la idea de que la grilla opera no solo como una herramienta técnica, sino también como un dispositivo que condiciona las posibilidades de reconocimiento y valoración de determinadas actividades.</w:t>
      </w:r>
    </w:p>
    <w:p w14:paraId="2E7D3F78" w14:textId="77777777" w:rsidR="00604E70" w:rsidRPr="00A365D4" w:rsidRDefault="00604E70" w:rsidP="0067512F">
      <w:pPr>
        <w:pBdr>
          <w:top w:val="nil"/>
          <w:left w:val="nil"/>
          <w:bottom w:val="nil"/>
          <w:right w:val="nil"/>
          <w:between w:val="nil"/>
        </w:pBdr>
        <w:tabs>
          <w:tab w:val="left" w:pos="350"/>
        </w:tabs>
        <w:spacing w:after="0" w:line="240" w:lineRule="auto"/>
        <w:ind w:left="42"/>
        <w:jc w:val="center"/>
        <w:rPr>
          <w:rFonts w:ascii="Times New Roman" w:eastAsia="Times New Roman" w:hAnsi="Times New Roman" w:cs="Times New Roman"/>
          <w:color w:val="000000"/>
        </w:rPr>
      </w:pPr>
      <w:r w:rsidRPr="00A365D4">
        <w:rPr>
          <w:rFonts w:ascii="Times New Roman" w:eastAsia="Times New Roman" w:hAnsi="Times New Roman" w:cs="Times New Roman"/>
          <w:noProof/>
          <w:color w:val="000000"/>
        </w:rPr>
        <w:drawing>
          <wp:inline distT="0" distB="0" distL="0" distR="0" wp14:anchorId="0DA34AC9" wp14:editId="71F0DA57">
            <wp:extent cx="4572000" cy="2172065"/>
            <wp:effectExtent l="0" t="0" r="0" b="0"/>
            <wp:docPr id="1631518146" name="Gráfico 1631518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F8A8DA" w14:textId="77777777"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p>
    <w:p w14:paraId="1D9B63AC" w14:textId="3DBDCF86"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lastRenderedPageBreak/>
        <w:t xml:space="preserve">El gráfico muestra que </w:t>
      </w:r>
      <w:r w:rsidR="00F4773E" w:rsidRPr="00A365D4">
        <w:rPr>
          <w:rFonts w:ascii="Times New Roman" w:eastAsia="Times New Roman" w:hAnsi="Times New Roman" w:cs="Times New Roman"/>
          <w:color w:val="000000"/>
        </w:rPr>
        <w:t xml:space="preserve">el 87% </w:t>
      </w:r>
      <w:r w:rsidRPr="00A365D4">
        <w:rPr>
          <w:rFonts w:ascii="Times New Roman" w:eastAsia="Times New Roman" w:hAnsi="Times New Roman" w:cs="Times New Roman"/>
          <w:color w:val="000000"/>
        </w:rPr>
        <w:t xml:space="preserve">de los/as evaluadores/as encuestados/as experimentó, al menos de manera ocasional, una tensión entre su propio criterio evaluativo y las exigencias formales de la grilla de evaluación del PROCADI. En efecto, el 58% indicó que ocasionalmente se sintió obligado/a </w:t>
      </w:r>
      <w:proofErr w:type="spellStart"/>
      <w:r w:rsidRPr="00A365D4">
        <w:rPr>
          <w:rFonts w:ascii="Times New Roman" w:eastAsia="Times New Roman" w:hAnsi="Times New Roman" w:cs="Times New Roman"/>
          <w:color w:val="000000"/>
        </w:rPr>
        <w:t>a</w:t>
      </w:r>
      <w:proofErr w:type="spellEnd"/>
      <w:r w:rsidRPr="00A365D4">
        <w:rPr>
          <w:rFonts w:ascii="Times New Roman" w:eastAsia="Times New Roman" w:hAnsi="Times New Roman" w:cs="Times New Roman"/>
          <w:color w:val="000000"/>
        </w:rPr>
        <w:t xml:space="preserve"> otorgar puntaje a antecedentes que, a su juicio, tenían poco valor. A esta situación se suman quienes reportan haber atravesado esta experiencia con mayor frecuencia: el </w:t>
      </w:r>
      <w:r w:rsidR="00D27459" w:rsidRPr="00A365D4">
        <w:rPr>
          <w:rFonts w:ascii="Times New Roman" w:eastAsia="Times New Roman" w:hAnsi="Times New Roman" w:cs="Times New Roman"/>
          <w:color w:val="000000"/>
        </w:rPr>
        <w:t>58</w:t>
      </w:r>
      <w:r w:rsidRPr="00A365D4">
        <w:rPr>
          <w:rFonts w:ascii="Times New Roman" w:eastAsia="Times New Roman" w:hAnsi="Times New Roman" w:cs="Times New Roman"/>
          <w:color w:val="000000"/>
        </w:rPr>
        <w:t>% señaló que ocurre frecuentement</w:t>
      </w:r>
      <w:r w:rsidR="006C3A59" w:rsidRPr="00A365D4">
        <w:rPr>
          <w:rFonts w:ascii="Times New Roman" w:eastAsia="Times New Roman" w:hAnsi="Times New Roman" w:cs="Times New Roman"/>
          <w:color w:val="000000"/>
        </w:rPr>
        <w:t>e</w:t>
      </w:r>
      <w:r w:rsidRPr="00A365D4">
        <w:rPr>
          <w:rFonts w:ascii="Times New Roman" w:eastAsia="Times New Roman" w:hAnsi="Times New Roman" w:cs="Times New Roman"/>
          <w:color w:val="000000"/>
        </w:rPr>
        <w:t xml:space="preserve"> y el 4% muy frecuentemente. Considerados en conjunto, estos valores indican que casi el 75% de los participantes se vieron, en algún momento, compelidos por la grilla de evaluación a asignar puntajes a antecedentes que no consideraban sustantivos desde el punto de vista de su propio juicio académico.</w:t>
      </w:r>
    </w:p>
    <w:p w14:paraId="6D4B6D70" w14:textId="77777777"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p>
    <w:p w14:paraId="01B2451F" w14:textId="037245E2"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highlight w:val="yellow"/>
        </w:rPr>
      </w:pPr>
      <w:r w:rsidRPr="00A365D4">
        <w:rPr>
          <w:rFonts w:ascii="Times New Roman" w:eastAsia="Times New Roman" w:hAnsi="Times New Roman" w:cs="Times New Roman"/>
          <w:color w:val="000000"/>
        </w:rPr>
        <w:t>En contraste, un 2</w:t>
      </w:r>
      <w:r w:rsidR="006C3A59" w:rsidRPr="00A365D4">
        <w:rPr>
          <w:rFonts w:ascii="Times New Roman" w:eastAsia="Times New Roman" w:hAnsi="Times New Roman" w:cs="Times New Roman"/>
          <w:color w:val="000000"/>
        </w:rPr>
        <w:t>1</w:t>
      </w:r>
      <w:r w:rsidRPr="00A365D4">
        <w:rPr>
          <w:rFonts w:ascii="Times New Roman" w:eastAsia="Times New Roman" w:hAnsi="Times New Roman" w:cs="Times New Roman"/>
          <w:color w:val="000000"/>
        </w:rPr>
        <w:t>% manifestó que esta situación se present</w:t>
      </w:r>
      <w:r w:rsidR="006C3A59" w:rsidRPr="00A365D4">
        <w:rPr>
          <w:rFonts w:ascii="Times New Roman" w:eastAsia="Times New Roman" w:hAnsi="Times New Roman" w:cs="Times New Roman"/>
          <w:color w:val="000000"/>
        </w:rPr>
        <w:t>ó</w:t>
      </w:r>
      <w:r w:rsidRPr="00A365D4">
        <w:rPr>
          <w:rFonts w:ascii="Times New Roman" w:eastAsia="Times New Roman" w:hAnsi="Times New Roman" w:cs="Times New Roman"/>
          <w:color w:val="000000"/>
        </w:rPr>
        <w:t xml:space="preserve"> raramente, mientras que solo un 4% indicó que nunca se sintió obligado/a </w:t>
      </w:r>
      <w:proofErr w:type="spellStart"/>
      <w:r w:rsidRPr="00A365D4">
        <w:rPr>
          <w:rFonts w:ascii="Times New Roman" w:eastAsia="Times New Roman" w:hAnsi="Times New Roman" w:cs="Times New Roman"/>
          <w:color w:val="000000"/>
        </w:rPr>
        <w:t>a</w:t>
      </w:r>
      <w:proofErr w:type="spellEnd"/>
      <w:r w:rsidRPr="00A365D4">
        <w:rPr>
          <w:rFonts w:ascii="Times New Roman" w:eastAsia="Times New Roman" w:hAnsi="Times New Roman" w:cs="Times New Roman"/>
          <w:color w:val="000000"/>
        </w:rPr>
        <w:t xml:space="preserve"> otorgar puntaje en estas condiciones</w:t>
      </w:r>
      <w:r w:rsidR="006C3A59" w:rsidRPr="00A365D4">
        <w:rPr>
          <w:rFonts w:ascii="Times New Roman" w:eastAsia="Times New Roman" w:hAnsi="Times New Roman" w:cs="Times New Roman"/>
          <w:color w:val="000000"/>
        </w:rPr>
        <w:t xml:space="preserve">. </w:t>
      </w:r>
      <w:r w:rsidRPr="00A365D4">
        <w:rPr>
          <w:rFonts w:ascii="Times New Roman" w:eastAsia="Times New Roman" w:hAnsi="Times New Roman" w:cs="Times New Roman"/>
          <w:color w:val="000000"/>
        </w:rPr>
        <w:t xml:space="preserve">Esta distribución sugiere que la experiencia de desajuste entre criterios formales e interpretación experta no constituye un fenómeno excepcional, sino una práctica relativamente extendida en el marco del proceso de evaluación. </w:t>
      </w:r>
    </w:p>
    <w:p w14:paraId="2F126B3D" w14:textId="77777777"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highlight w:val="yellow"/>
        </w:rPr>
      </w:pPr>
    </w:p>
    <w:p w14:paraId="70A8C6BF" w14:textId="77777777" w:rsidR="00604E70" w:rsidRPr="00A365D4" w:rsidRDefault="00604E70" w:rsidP="00604E70">
      <w:pPr>
        <w:pBdr>
          <w:top w:val="nil"/>
          <w:left w:val="nil"/>
          <w:bottom w:val="nil"/>
          <w:right w:val="nil"/>
          <w:between w:val="nil"/>
        </w:pBdr>
        <w:shd w:val="clear" w:color="auto" w:fill="FFFFFF"/>
        <w:tabs>
          <w:tab w:val="left" w:pos="350"/>
        </w:tabs>
        <w:spacing w:after="0" w:line="240" w:lineRule="auto"/>
        <w:ind w:left="42"/>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En conjunto, los resultados ponen de relieve la existencia de tensiones estructurales entre los instrumentos estandarizados de evaluación y el ejercicio del juicio evaluativo de los pares. Sin avanzar aún en explicaciones causales, el gráfico evidencia que la grilla no opera únicamente como una herramienta técnica de apoyo, sino también como un dispositivo normativo que condiciona, en distinta medida, las decisiones de los/as evaluadores/as.</w:t>
      </w:r>
    </w:p>
    <w:p w14:paraId="15DD7816" w14:textId="77777777" w:rsidR="00604E70" w:rsidRPr="00A365D4" w:rsidRDefault="00604E70" w:rsidP="00604E70">
      <w:pPr>
        <w:pBdr>
          <w:top w:val="nil"/>
          <w:left w:val="nil"/>
          <w:bottom w:val="nil"/>
          <w:right w:val="nil"/>
          <w:between w:val="nil"/>
        </w:pBdr>
        <w:tabs>
          <w:tab w:val="left" w:pos="350"/>
        </w:tabs>
        <w:spacing w:after="0" w:line="240" w:lineRule="auto"/>
        <w:ind w:left="42"/>
        <w:jc w:val="both"/>
        <w:rPr>
          <w:rFonts w:ascii="Times New Roman" w:eastAsia="Times New Roman" w:hAnsi="Times New Roman" w:cs="Times New Roman"/>
          <w:color w:val="000000"/>
        </w:rPr>
      </w:pPr>
    </w:p>
    <w:p w14:paraId="6C54B0A4" w14:textId="77777777" w:rsidR="00604E70" w:rsidRPr="00A365D4" w:rsidRDefault="00604E70" w:rsidP="006C3A59">
      <w:pPr>
        <w:pBdr>
          <w:top w:val="nil"/>
          <w:left w:val="nil"/>
          <w:bottom w:val="nil"/>
          <w:right w:val="nil"/>
          <w:between w:val="nil"/>
        </w:pBdr>
        <w:tabs>
          <w:tab w:val="left" w:pos="350"/>
        </w:tabs>
        <w:spacing w:after="0" w:line="240" w:lineRule="auto"/>
        <w:ind w:left="42"/>
        <w:jc w:val="center"/>
        <w:rPr>
          <w:rFonts w:ascii="Times New Roman" w:eastAsia="Times New Roman" w:hAnsi="Times New Roman" w:cs="Times New Roman"/>
          <w:color w:val="000000"/>
        </w:rPr>
      </w:pPr>
      <w:r w:rsidRPr="00A365D4">
        <w:rPr>
          <w:rFonts w:ascii="Times New Roman" w:eastAsia="Times New Roman" w:hAnsi="Times New Roman" w:cs="Times New Roman"/>
          <w:noProof/>
          <w:color w:val="000000"/>
        </w:rPr>
        <w:drawing>
          <wp:inline distT="0" distB="0" distL="0" distR="0" wp14:anchorId="50F5B82D" wp14:editId="7FDE47F0">
            <wp:extent cx="4133850" cy="1981518"/>
            <wp:effectExtent l="0" t="0" r="0" b="0"/>
            <wp:docPr id="1631518149" name="Gráfico 1631518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097CD1" w14:textId="77777777"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  </w:t>
      </w:r>
    </w:p>
    <w:p w14:paraId="6F060D81" w14:textId="77DFD62E" w:rsidR="00604E70" w:rsidRPr="00A365D4" w:rsidRDefault="00604E70" w:rsidP="00604E70">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Ante la existencia de tensiones entre la grilla de evaluación y el criterio propio, tal como puede verse en el gráfico, la estrategia predominante entre los/as evaluadores/as es la deliberación colectiva. Un 78% de las respuestas indica que estas tensiones se resolvieron mediante la discusión con el resto de la comisión para alcanzar consensos, lo que pone de relieve el carácter colegiado del proceso de evaluación y la centralidad de la interacción entre pares en la toma de decisiones.</w:t>
      </w:r>
    </w:p>
    <w:p w14:paraId="5640F4D0" w14:textId="78EF02AF" w:rsidR="00604E70" w:rsidRPr="00A365D4" w:rsidRDefault="00604E70" w:rsidP="00604E70">
      <w:pPr>
        <w:spacing w:line="240" w:lineRule="auto"/>
        <w:jc w:val="both"/>
        <w:rPr>
          <w:rFonts w:ascii="Times New Roman" w:eastAsia="Times New Roman" w:hAnsi="Times New Roman" w:cs="Times New Roman"/>
          <w:highlight w:val="yellow"/>
        </w:rPr>
      </w:pPr>
      <w:r w:rsidRPr="00A365D4">
        <w:rPr>
          <w:rFonts w:ascii="Times New Roman" w:eastAsia="Times New Roman" w:hAnsi="Times New Roman" w:cs="Times New Roman"/>
        </w:rPr>
        <w:t>Por su parte, un 3</w:t>
      </w:r>
      <w:r w:rsidR="005D45D5">
        <w:rPr>
          <w:rFonts w:ascii="Times New Roman" w:eastAsia="Times New Roman" w:hAnsi="Times New Roman" w:cs="Times New Roman"/>
        </w:rPr>
        <w:t>5</w:t>
      </w:r>
      <w:r w:rsidRPr="00A365D4">
        <w:rPr>
          <w:rFonts w:ascii="Times New Roman" w:eastAsia="Times New Roman" w:hAnsi="Times New Roman" w:cs="Times New Roman"/>
        </w:rPr>
        <w:t xml:space="preserve">% de los/as encuestados/as señaló que, en estas situaciones, priorizó su criterio como experto/a, lo que evidencia que el juicio individual sigue desempeñando </w:t>
      </w:r>
      <w:r w:rsidRPr="00A365D4">
        <w:rPr>
          <w:rFonts w:ascii="Times New Roman" w:eastAsia="Times New Roman" w:hAnsi="Times New Roman" w:cs="Times New Roman"/>
        </w:rPr>
        <w:lastRenderedPageBreak/>
        <w:t>un rol relevante cuando las herramientas formales no ofrecen respuestas claras o suficientes. Este resultado sugiere que la grilla no opera de manera automática o determinista, sino que deja márgenes para la interpretación experta. Por su parte, solo un 17% manifestó haberse ajustado estrictamente a la normativa, mientras que la opción “Otro” representa un peso marginal</w:t>
      </w:r>
      <w:r w:rsidR="006C3A59" w:rsidRPr="00A365D4">
        <w:rPr>
          <w:rFonts w:ascii="Times New Roman" w:eastAsia="Times New Roman" w:hAnsi="Times New Roman" w:cs="Times New Roman"/>
        </w:rPr>
        <w:t xml:space="preserve">. De este modo, </w:t>
      </w:r>
      <w:r w:rsidRPr="00A365D4">
        <w:rPr>
          <w:rFonts w:ascii="Times New Roman" w:eastAsia="Times New Roman" w:hAnsi="Times New Roman" w:cs="Times New Roman"/>
        </w:rPr>
        <w:t xml:space="preserve">la grilla </w:t>
      </w:r>
      <w:r w:rsidR="006C3A59" w:rsidRPr="00A365D4">
        <w:rPr>
          <w:rFonts w:ascii="Times New Roman" w:eastAsia="Times New Roman" w:hAnsi="Times New Roman" w:cs="Times New Roman"/>
        </w:rPr>
        <w:t xml:space="preserve">pareciera operar </w:t>
      </w:r>
      <w:r w:rsidRPr="00A365D4">
        <w:rPr>
          <w:rFonts w:ascii="Times New Roman" w:eastAsia="Times New Roman" w:hAnsi="Times New Roman" w:cs="Times New Roman"/>
        </w:rPr>
        <w:t xml:space="preserve">como un marco normativo que condiciona, pero no determina, dado que al menos un tercio resolvió como creyó conveniente </w:t>
      </w:r>
      <w:r w:rsidR="006C3A59" w:rsidRPr="00A365D4">
        <w:rPr>
          <w:rFonts w:ascii="Times New Roman" w:eastAsia="Times New Roman" w:hAnsi="Times New Roman" w:cs="Times New Roman"/>
        </w:rPr>
        <w:t xml:space="preserve">y </w:t>
      </w:r>
      <w:r w:rsidRPr="00A365D4">
        <w:rPr>
          <w:rFonts w:ascii="Times New Roman" w:eastAsia="Times New Roman" w:hAnsi="Times New Roman" w:cs="Times New Roman"/>
        </w:rPr>
        <w:t>el resto lo resolvió en conjunto</w:t>
      </w:r>
      <w:r w:rsidR="006C3A59" w:rsidRPr="00A365D4">
        <w:rPr>
          <w:rFonts w:ascii="Times New Roman" w:eastAsia="Times New Roman" w:hAnsi="Times New Roman" w:cs="Times New Roman"/>
        </w:rPr>
        <w:t>.</w:t>
      </w:r>
    </w:p>
    <w:p w14:paraId="14FCBF95" w14:textId="77777777" w:rsidR="00604E70" w:rsidRPr="00A365D4" w:rsidRDefault="00604E70" w:rsidP="00604E70">
      <w:pPr>
        <w:spacing w:line="240" w:lineRule="auto"/>
        <w:jc w:val="both"/>
        <w:rPr>
          <w:rFonts w:ascii="Times New Roman" w:eastAsia="Arial" w:hAnsi="Times New Roman" w:cs="Times New Roman"/>
        </w:rPr>
      </w:pPr>
      <w:r w:rsidRPr="00A365D4">
        <w:rPr>
          <w:rFonts w:ascii="Times New Roman" w:eastAsia="Times New Roman" w:hAnsi="Times New Roman" w:cs="Times New Roman"/>
        </w:rPr>
        <w:t>A continuación, presentaremos agrupadas un conjunto de siete afirmaciones que buscan captar la percepción de las/los evaluadores sobre algunas características del proceso. Utilizando una escala Likert analizada de forma ordinal, y en la cual los valores se presentan como distribuciones porcentuales se muestra el grado de acuerdo con cada una de ellas por parte de evaluadores/oras</w:t>
      </w:r>
      <w:r w:rsidRPr="00A365D4">
        <w:rPr>
          <w:rFonts w:ascii="Times New Roman" w:eastAsia="Arial" w:hAnsi="Times New Roman" w:cs="Times New Roman"/>
        </w:rPr>
        <w:t xml:space="preserve">. </w:t>
      </w:r>
    </w:p>
    <w:p w14:paraId="3F4E7FCF" w14:textId="77777777" w:rsidR="00604E70" w:rsidRPr="00A365D4" w:rsidRDefault="00604E70" w:rsidP="00604E70">
      <w:pPr>
        <w:spacing w:after="0" w:line="240" w:lineRule="auto"/>
        <w:jc w:val="both"/>
        <w:rPr>
          <w:rFonts w:ascii="Times New Roman" w:eastAsia="Arial" w:hAnsi="Times New Roman" w:cs="Times New Roman"/>
        </w:rPr>
      </w:pPr>
      <w:r w:rsidRPr="00A365D4">
        <w:rPr>
          <w:rFonts w:ascii="Times New Roman" w:hAnsi="Times New Roman" w:cs="Times New Roman"/>
          <w:noProof/>
        </w:rPr>
        <w:drawing>
          <wp:inline distT="0" distB="0" distL="0" distR="0" wp14:anchorId="19F82517" wp14:editId="06298BAA">
            <wp:extent cx="5391150" cy="4019868"/>
            <wp:effectExtent l="0" t="0" r="0" b="0"/>
            <wp:docPr id="1631518148" name="Gráfico 1631518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F05F2E" w14:textId="77777777" w:rsidR="005D45D5" w:rsidRDefault="005D45D5" w:rsidP="00A365D4">
      <w:pPr>
        <w:spacing w:line="240" w:lineRule="auto"/>
        <w:jc w:val="both"/>
        <w:rPr>
          <w:rFonts w:ascii="Times New Roman" w:eastAsia="Times New Roman" w:hAnsi="Times New Roman" w:cs="Times New Roman"/>
        </w:rPr>
      </w:pPr>
    </w:p>
    <w:p w14:paraId="418A0962" w14:textId="02DFB35B" w:rsidR="00604E70" w:rsidRPr="00A365D4" w:rsidRDefault="00604E70" w:rsidP="00A365D4">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El gráfico </w:t>
      </w:r>
      <w:r w:rsidR="00BD1CB1" w:rsidRPr="00A365D4">
        <w:rPr>
          <w:rFonts w:ascii="Times New Roman" w:eastAsia="Times New Roman" w:hAnsi="Times New Roman" w:cs="Times New Roman"/>
        </w:rPr>
        <w:t xml:space="preserve">7 </w:t>
      </w:r>
      <w:r w:rsidRPr="00A365D4">
        <w:rPr>
          <w:rFonts w:ascii="Times New Roman" w:eastAsia="Times New Roman" w:hAnsi="Times New Roman" w:cs="Times New Roman"/>
        </w:rPr>
        <w:t>muestra un alto nivel de acuerdo con las afirmaciones vinculadas al funcionamiento de las comisiones evaluadoras y a las condiciones en las que se desarrolló el proceso de evaluación del PROCADI. En todos los ítems se observa un predominio claro de la categoría “Totalmente de acuerdo”, lo que indica una valoración ampliamente positiva de la experiencia por parte de los/as encuestados/as.</w:t>
      </w:r>
    </w:p>
    <w:p w14:paraId="6796BEA1" w14:textId="5AB6E69F" w:rsidR="00604E70" w:rsidRPr="00A365D4" w:rsidRDefault="00604E70" w:rsidP="00A365D4">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Los mayores niveles de acuerdo se registran en los puntos vinculados al funcionamiento colectivo de la comisión, la escucha y valoración de las opiniones durante las discusiones, </w:t>
      </w:r>
      <w:r w:rsidRPr="00A365D4">
        <w:rPr>
          <w:rFonts w:ascii="Times New Roman" w:eastAsia="Times New Roman" w:hAnsi="Times New Roman" w:cs="Times New Roman"/>
        </w:rPr>
        <w:lastRenderedPageBreak/>
        <w:t>y la utilidad de la modalidad presencial, lo que refuerza la centralidad del trabajo colegiado y de la deliberación entre pares como componentes clave del proceso de evaluación. Estos resultados sugieren que</w:t>
      </w:r>
      <w:r w:rsidR="006C3A59" w:rsidRPr="00A365D4">
        <w:rPr>
          <w:rFonts w:ascii="Times New Roman" w:eastAsia="Times New Roman" w:hAnsi="Times New Roman" w:cs="Times New Roman"/>
        </w:rPr>
        <w:t xml:space="preserve"> </w:t>
      </w:r>
      <w:r w:rsidRPr="00A365D4">
        <w:rPr>
          <w:rFonts w:ascii="Times New Roman" w:eastAsia="Times New Roman" w:hAnsi="Times New Roman" w:cs="Times New Roman"/>
        </w:rPr>
        <w:t xml:space="preserve">todos estos puntos mencionados, en su conjunto, facilitaron el proceso de evaluación teniendo en cuenta el tiempo </w:t>
      </w:r>
      <w:proofErr w:type="spellStart"/>
      <w:r w:rsidR="006C3A59" w:rsidRPr="00A365D4">
        <w:rPr>
          <w:rFonts w:ascii="Times New Roman" w:eastAsia="Times New Roman" w:hAnsi="Times New Roman" w:cs="Times New Roman"/>
        </w:rPr>
        <w:t>etsupulado</w:t>
      </w:r>
      <w:proofErr w:type="spellEnd"/>
      <w:r w:rsidRPr="00A365D4">
        <w:rPr>
          <w:rFonts w:ascii="Times New Roman" w:eastAsia="Times New Roman" w:hAnsi="Times New Roman" w:cs="Times New Roman"/>
        </w:rPr>
        <w:t xml:space="preserve"> y la cantidad de casos a evaluar</w:t>
      </w:r>
      <w:r w:rsidR="006C3A59" w:rsidRPr="00A365D4">
        <w:rPr>
          <w:rFonts w:ascii="Times New Roman" w:eastAsia="Times New Roman" w:hAnsi="Times New Roman" w:cs="Times New Roman"/>
        </w:rPr>
        <w:t xml:space="preserve">. </w:t>
      </w:r>
      <w:r w:rsidRPr="00A365D4">
        <w:rPr>
          <w:rFonts w:ascii="Times New Roman" w:eastAsia="Times New Roman" w:hAnsi="Times New Roman" w:cs="Times New Roman"/>
        </w:rPr>
        <w:t xml:space="preserve"> </w:t>
      </w:r>
    </w:p>
    <w:p w14:paraId="1D1C1203" w14:textId="77777777" w:rsidR="00604E70" w:rsidRPr="00A365D4" w:rsidRDefault="00604E70" w:rsidP="00A365D4">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Por su parte, los puntos referidos a las condiciones operativas del proceso, esto es, la carga de trabajo asignada, la disponibilidad de tiempo para evaluar y la adecuación de las herramientas y materiales, muestran también una valoración mayoritariamente positiva, aunque con una presencia algo más visible de respuestas neutrales (color amarillo). Esto sugiere que, si bien estas dimensiones no constituyen un obstáculo central, presentan márgenes de mejora en términos de organización y soporte al trabajo de evaluación, sobre todo respecto a los materiales y herramientas provistas. </w:t>
      </w:r>
    </w:p>
    <w:p w14:paraId="31C98A26" w14:textId="2EBB086D" w:rsidR="00604E70" w:rsidRPr="00A365D4" w:rsidRDefault="00604E70" w:rsidP="00A365D4">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Un punto a destacar es la afirmación relativa a que el avance en la evaluación de los ítems más simples desde la SECAT agilizó el proceso presenta un alto nivel de acuerdo, lo que indica que las decisiones de diseño institucional orientadas a simplificar etapas del procedimiento son valoradas positivamente por los/as evaluadores/as.</w:t>
      </w:r>
      <w:r w:rsidR="00DA5099">
        <w:rPr>
          <w:rFonts w:ascii="Times New Roman" w:eastAsia="Times New Roman" w:hAnsi="Times New Roman" w:cs="Times New Roman"/>
        </w:rPr>
        <w:t xml:space="preserve"> </w:t>
      </w:r>
      <w:r w:rsidRPr="00A365D4">
        <w:rPr>
          <w:rFonts w:ascii="Times New Roman" w:eastAsia="Times New Roman" w:hAnsi="Times New Roman" w:cs="Times New Roman"/>
        </w:rPr>
        <w:t>En conjunto, el gráfico evidencia un alto nivel de acuerdo sobre las diferentes afirmaciones, que en su totalidad hacen a la metodología implementada para la realización de la jornada de evaluación del PROCADI</w:t>
      </w:r>
      <w:r w:rsidR="00BD1CB1" w:rsidRPr="00A365D4">
        <w:rPr>
          <w:rFonts w:ascii="Times New Roman" w:eastAsia="Times New Roman" w:hAnsi="Times New Roman" w:cs="Times New Roman"/>
        </w:rPr>
        <w:t>.</w:t>
      </w:r>
    </w:p>
    <w:p w14:paraId="3C847878" w14:textId="31022938" w:rsidR="00A365D4" w:rsidRPr="00A365D4" w:rsidRDefault="00BD1CB1" w:rsidP="00A365D4">
      <w:pPr>
        <w:spacing w:line="240" w:lineRule="auto"/>
        <w:jc w:val="both"/>
        <w:rPr>
          <w:rFonts w:ascii="Times New Roman" w:eastAsia="Arial" w:hAnsi="Times New Roman" w:cs="Times New Roman"/>
          <w:lang w:val="es-AR"/>
        </w:rPr>
      </w:pPr>
      <w:r w:rsidRPr="00A365D4">
        <w:rPr>
          <w:rFonts w:ascii="Times New Roman" w:eastAsia="Times New Roman" w:hAnsi="Times New Roman" w:cs="Times New Roman"/>
        </w:rPr>
        <w:t xml:space="preserve">Por último, la Tabla 1 recupera las opiniones de los evaluadores/as sobre los sistemas de evaluación de investigadores/as en las universidades argentinas. </w:t>
      </w:r>
      <w:r w:rsidR="00A365D4" w:rsidRPr="00A365D4">
        <w:rPr>
          <w:rFonts w:ascii="Times New Roman" w:eastAsia="Times New Roman" w:hAnsi="Times New Roman" w:cs="Times New Roman"/>
        </w:rPr>
        <w:t xml:space="preserve">Como puede observarse hay </w:t>
      </w:r>
      <w:r w:rsidR="00A365D4" w:rsidRPr="00A365D4">
        <w:rPr>
          <w:rFonts w:ascii="Times New Roman" w:eastAsia="Arial" w:hAnsi="Times New Roman" w:cs="Times New Roman"/>
          <w:lang w:val="es-AR"/>
        </w:rPr>
        <w:t xml:space="preserve">un patrón bastante claro: existe un fuerte respaldo a que la universidad cuente con herramientas propias de evaluación, pero no necesariamente desligadas de los sistemas nacionales. </w:t>
      </w:r>
    </w:p>
    <w:p w14:paraId="23FB3E1E" w14:textId="410E6351" w:rsidR="00BD1CB1" w:rsidRPr="00A365D4" w:rsidRDefault="00BD1CB1" w:rsidP="00BD1CB1">
      <w:pPr>
        <w:spacing w:line="240" w:lineRule="auto"/>
        <w:jc w:val="both"/>
        <w:rPr>
          <w:rFonts w:ascii="Times New Roman" w:eastAsia="Times New Roman" w:hAnsi="Times New Roman" w:cs="Times New Roman"/>
          <w:lang w:val="es-AR"/>
        </w:rPr>
      </w:pPr>
    </w:p>
    <w:p w14:paraId="1BC5B18B" w14:textId="7D27BCCC" w:rsidR="00604E70" w:rsidRPr="005D45D5" w:rsidRDefault="00604E70" w:rsidP="00604E70">
      <w:pPr>
        <w:spacing w:line="240" w:lineRule="auto"/>
        <w:jc w:val="both"/>
        <w:rPr>
          <w:rFonts w:ascii="Times New Roman" w:eastAsia="Times New Roman" w:hAnsi="Times New Roman" w:cs="Times New Roman"/>
          <w:b/>
          <w:bCs/>
          <w:sz w:val="20"/>
          <w:szCs w:val="20"/>
        </w:rPr>
      </w:pPr>
      <w:r w:rsidRPr="005D45D5">
        <w:rPr>
          <w:rFonts w:ascii="Times New Roman" w:eastAsia="Times New Roman" w:hAnsi="Times New Roman" w:cs="Times New Roman"/>
          <w:b/>
          <w:bCs/>
          <w:sz w:val="20"/>
          <w:szCs w:val="20"/>
        </w:rPr>
        <w:t>T</w:t>
      </w:r>
      <w:r w:rsidR="00BD1CB1" w:rsidRPr="005D45D5">
        <w:rPr>
          <w:rFonts w:ascii="Times New Roman" w:eastAsia="Times New Roman" w:hAnsi="Times New Roman" w:cs="Times New Roman"/>
          <w:b/>
          <w:bCs/>
          <w:sz w:val="20"/>
          <w:szCs w:val="20"/>
        </w:rPr>
        <w:t>abla 1</w:t>
      </w:r>
      <w:r w:rsidRPr="005D45D5">
        <w:rPr>
          <w:rFonts w:ascii="Times New Roman" w:eastAsia="Times New Roman" w:hAnsi="Times New Roman" w:cs="Times New Roman"/>
          <w:b/>
          <w:bCs/>
          <w:sz w:val="20"/>
          <w:szCs w:val="20"/>
        </w:rPr>
        <w:t>. Grado de acuerdo con afirmaciones sobre la evaluación de investigadores en la universidad en Argentina (%)</w:t>
      </w:r>
    </w:p>
    <w:tbl>
      <w:tblPr>
        <w:tblW w:w="8504" w:type="dxa"/>
        <w:tblBorders>
          <w:top w:val="single" w:sz="4" w:space="0" w:color="7F7F7F"/>
          <w:bottom w:val="single" w:sz="4" w:space="0" w:color="7F7F7F"/>
        </w:tblBorders>
        <w:tblLayout w:type="fixed"/>
        <w:tblLook w:val="04A0" w:firstRow="1" w:lastRow="0" w:firstColumn="1" w:lastColumn="0" w:noHBand="0" w:noVBand="1"/>
      </w:tblPr>
      <w:tblGrid>
        <w:gridCol w:w="4101"/>
        <w:gridCol w:w="1535"/>
        <w:gridCol w:w="1700"/>
        <w:gridCol w:w="1168"/>
      </w:tblGrid>
      <w:tr w:rsidR="00604E70" w:rsidRPr="005D45D5" w14:paraId="5ECE79E4" w14:textId="77777777" w:rsidTr="00A4036C">
        <w:tc>
          <w:tcPr>
            <w:tcW w:w="4101" w:type="dxa"/>
            <w:shd w:val="clear" w:color="auto" w:fill="E7E6E6"/>
          </w:tcPr>
          <w:p w14:paraId="0A38DDE4" w14:textId="77777777" w:rsidR="00604E70" w:rsidRPr="005D45D5" w:rsidRDefault="00604E70" w:rsidP="00604E70">
            <w:pPr>
              <w:spacing w:line="240" w:lineRule="auto"/>
              <w:rPr>
                <w:rFonts w:ascii="Times New Roman" w:eastAsia="Times New Roman" w:hAnsi="Times New Roman" w:cs="Times New Roman"/>
                <w:sz w:val="20"/>
                <w:szCs w:val="20"/>
              </w:rPr>
            </w:pPr>
            <w:bookmarkStart w:id="0" w:name="_Hlk234519920"/>
            <w:r w:rsidRPr="005D45D5">
              <w:rPr>
                <w:rFonts w:ascii="Times New Roman" w:eastAsia="Times New Roman" w:hAnsi="Times New Roman" w:cs="Times New Roman"/>
                <w:sz w:val="20"/>
                <w:szCs w:val="20"/>
              </w:rPr>
              <w:t>Afirmación</w:t>
            </w:r>
          </w:p>
        </w:tc>
        <w:tc>
          <w:tcPr>
            <w:tcW w:w="1535" w:type="dxa"/>
            <w:shd w:val="clear" w:color="auto" w:fill="E7E6E6"/>
          </w:tcPr>
          <w:p w14:paraId="42A536BD"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sz w:val="20"/>
                <w:szCs w:val="20"/>
              </w:rPr>
              <w:t>Desacuerdo (1–2)</w:t>
            </w:r>
          </w:p>
        </w:tc>
        <w:tc>
          <w:tcPr>
            <w:tcW w:w="1700" w:type="dxa"/>
            <w:shd w:val="clear" w:color="auto" w:fill="E7E6E6"/>
          </w:tcPr>
          <w:p w14:paraId="5731D25E" w14:textId="77777777" w:rsidR="00604E70" w:rsidRPr="005D45D5" w:rsidRDefault="00604E70" w:rsidP="00604E70">
            <w:pPr>
              <w:spacing w:line="240" w:lineRule="auto"/>
              <w:jc w:val="center"/>
              <w:rPr>
                <w:rFonts w:ascii="Times New Roman" w:eastAsia="Times New Roman" w:hAnsi="Times New Roman" w:cs="Times New Roman"/>
                <w:sz w:val="20"/>
                <w:szCs w:val="20"/>
                <w:lang w:val="es-AR"/>
              </w:rPr>
            </w:pPr>
            <w:r w:rsidRPr="005D45D5">
              <w:rPr>
                <w:rFonts w:ascii="Times New Roman" w:eastAsia="Times New Roman" w:hAnsi="Times New Roman" w:cs="Times New Roman"/>
                <w:sz w:val="20"/>
                <w:szCs w:val="20"/>
                <w:lang w:val="es-AR"/>
              </w:rPr>
              <w:t>Ni de acuerdo ni en desacuerdo (3)</w:t>
            </w:r>
          </w:p>
        </w:tc>
        <w:tc>
          <w:tcPr>
            <w:tcW w:w="1168" w:type="dxa"/>
            <w:shd w:val="clear" w:color="auto" w:fill="E7E6E6"/>
          </w:tcPr>
          <w:p w14:paraId="2D603498"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sz w:val="20"/>
                <w:szCs w:val="20"/>
              </w:rPr>
              <w:t>Acuerdo (4–5)</w:t>
            </w:r>
          </w:p>
        </w:tc>
      </w:tr>
      <w:tr w:rsidR="00604E70" w:rsidRPr="005D45D5" w14:paraId="67F136FB" w14:textId="77777777" w:rsidTr="00A4036C">
        <w:tc>
          <w:tcPr>
            <w:tcW w:w="4101" w:type="dxa"/>
          </w:tcPr>
          <w:p w14:paraId="32271564" w14:textId="77777777" w:rsidR="00604E70" w:rsidRPr="005D45D5" w:rsidRDefault="00604E70" w:rsidP="00604E70">
            <w:pPr>
              <w:spacing w:line="240" w:lineRule="auto"/>
              <w:jc w:val="center"/>
              <w:rPr>
                <w:rFonts w:ascii="Times New Roman" w:eastAsia="Times New Roman" w:hAnsi="Times New Roman" w:cs="Times New Roman"/>
                <w:sz w:val="20"/>
                <w:szCs w:val="20"/>
                <w:lang w:val="es-AR"/>
              </w:rPr>
            </w:pPr>
            <w:r w:rsidRPr="005D45D5">
              <w:rPr>
                <w:rFonts w:ascii="Times New Roman" w:eastAsia="Times New Roman" w:hAnsi="Times New Roman" w:cs="Times New Roman"/>
                <w:sz w:val="20"/>
                <w:szCs w:val="20"/>
                <w:lang w:val="es-AR"/>
              </w:rPr>
              <w:t>Actualmente, la evaluación en las universidades argentinas se limita a replicar criterios de organismos externos o lógicas disciplinares, sin haber consolidado aún una cultura evaluativa con identidad propia.</w:t>
            </w:r>
          </w:p>
        </w:tc>
        <w:tc>
          <w:tcPr>
            <w:tcW w:w="1535" w:type="dxa"/>
          </w:tcPr>
          <w:p w14:paraId="206C76F2"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26%</w:t>
            </w:r>
          </w:p>
        </w:tc>
        <w:tc>
          <w:tcPr>
            <w:tcW w:w="1700" w:type="dxa"/>
          </w:tcPr>
          <w:p w14:paraId="7C1BDEAD"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26%</w:t>
            </w:r>
          </w:p>
        </w:tc>
        <w:tc>
          <w:tcPr>
            <w:tcW w:w="1168" w:type="dxa"/>
          </w:tcPr>
          <w:p w14:paraId="543A9EF6"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48%</w:t>
            </w:r>
          </w:p>
        </w:tc>
      </w:tr>
      <w:tr w:rsidR="00604E70" w:rsidRPr="005D45D5" w14:paraId="4176D2E3" w14:textId="77777777" w:rsidTr="00A4036C">
        <w:tc>
          <w:tcPr>
            <w:tcW w:w="4101" w:type="dxa"/>
          </w:tcPr>
          <w:p w14:paraId="2BD71F70" w14:textId="77777777" w:rsidR="00604E70" w:rsidRPr="005D45D5" w:rsidRDefault="00604E70" w:rsidP="00604E70">
            <w:pPr>
              <w:spacing w:line="240" w:lineRule="auto"/>
              <w:jc w:val="center"/>
              <w:rPr>
                <w:rFonts w:ascii="Times New Roman" w:eastAsia="Times New Roman" w:hAnsi="Times New Roman" w:cs="Times New Roman"/>
                <w:sz w:val="20"/>
                <w:szCs w:val="20"/>
                <w:lang w:val="es-AR"/>
              </w:rPr>
            </w:pPr>
            <w:r w:rsidRPr="005D45D5">
              <w:rPr>
                <w:rFonts w:ascii="Times New Roman" w:eastAsia="Times New Roman" w:hAnsi="Times New Roman" w:cs="Times New Roman"/>
                <w:sz w:val="20"/>
                <w:szCs w:val="20"/>
                <w:lang w:val="es-AR"/>
              </w:rPr>
              <w:t>Los actuales procesos de evaluación universitaria (ej. concursos docentes, carrera académica) son suficientes para reconocer e incentivar todas las actividades de los docentes-investigadores, haciendo innecesarios los programas de categorización.</w:t>
            </w:r>
          </w:p>
        </w:tc>
        <w:tc>
          <w:tcPr>
            <w:tcW w:w="1535" w:type="dxa"/>
          </w:tcPr>
          <w:p w14:paraId="76DDE6DF"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65%</w:t>
            </w:r>
          </w:p>
        </w:tc>
        <w:tc>
          <w:tcPr>
            <w:tcW w:w="1700" w:type="dxa"/>
          </w:tcPr>
          <w:p w14:paraId="39EEFB63"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30%</w:t>
            </w:r>
          </w:p>
        </w:tc>
        <w:tc>
          <w:tcPr>
            <w:tcW w:w="1168" w:type="dxa"/>
          </w:tcPr>
          <w:p w14:paraId="202EE0E7"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4%</w:t>
            </w:r>
          </w:p>
        </w:tc>
      </w:tr>
      <w:tr w:rsidR="00604E70" w:rsidRPr="005D45D5" w14:paraId="44B92EB0" w14:textId="77777777" w:rsidTr="00A4036C">
        <w:tc>
          <w:tcPr>
            <w:tcW w:w="4101" w:type="dxa"/>
          </w:tcPr>
          <w:p w14:paraId="0685278F" w14:textId="77777777" w:rsidR="00604E70" w:rsidRPr="005D45D5" w:rsidRDefault="00604E70" w:rsidP="00604E70">
            <w:pPr>
              <w:spacing w:line="240" w:lineRule="auto"/>
              <w:jc w:val="center"/>
              <w:rPr>
                <w:rFonts w:ascii="Times New Roman" w:eastAsia="Times New Roman" w:hAnsi="Times New Roman" w:cs="Times New Roman"/>
                <w:sz w:val="20"/>
                <w:szCs w:val="20"/>
                <w:lang w:val="es-AR"/>
              </w:rPr>
            </w:pPr>
            <w:r w:rsidRPr="005D45D5">
              <w:rPr>
                <w:rFonts w:ascii="Times New Roman" w:eastAsia="Times New Roman" w:hAnsi="Times New Roman" w:cs="Times New Roman"/>
                <w:sz w:val="20"/>
                <w:szCs w:val="20"/>
                <w:lang w:val="es-AR"/>
              </w:rPr>
              <w:t xml:space="preserve">Contar con un sistema propio de categorización permite a la Universidad definir su propia política de investigación y estándares de calidad </w:t>
            </w:r>
            <w:r w:rsidRPr="005D45D5">
              <w:rPr>
                <w:rFonts w:ascii="Times New Roman" w:eastAsia="Times New Roman" w:hAnsi="Times New Roman" w:cs="Times New Roman"/>
                <w:sz w:val="20"/>
                <w:szCs w:val="20"/>
                <w:lang w:val="es-AR"/>
              </w:rPr>
              <w:lastRenderedPageBreak/>
              <w:t>con independencia de organismos nacionales e internacionales.</w:t>
            </w:r>
          </w:p>
        </w:tc>
        <w:tc>
          <w:tcPr>
            <w:tcW w:w="1535" w:type="dxa"/>
          </w:tcPr>
          <w:p w14:paraId="3D4B4B4D"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lastRenderedPageBreak/>
              <w:t>0%</w:t>
            </w:r>
          </w:p>
        </w:tc>
        <w:tc>
          <w:tcPr>
            <w:tcW w:w="1700" w:type="dxa"/>
          </w:tcPr>
          <w:p w14:paraId="0C94A536"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22%</w:t>
            </w:r>
          </w:p>
        </w:tc>
        <w:tc>
          <w:tcPr>
            <w:tcW w:w="1168" w:type="dxa"/>
          </w:tcPr>
          <w:p w14:paraId="3D92D319"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78%</w:t>
            </w:r>
          </w:p>
        </w:tc>
      </w:tr>
      <w:tr w:rsidR="00604E70" w:rsidRPr="005D45D5" w14:paraId="5A555602" w14:textId="77777777" w:rsidTr="00A4036C">
        <w:tc>
          <w:tcPr>
            <w:tcW w:w="4101" w:type="dxa"/>
          </w:tcPr>
          <w:p w14:paraId="0F40F028" w14:textId="77777777" w:rsidR="00604E70" w:rsidRPr="005D45D5" w:rsidRDefault="00604E70" w:rsidP="00604E70">
            <w:pPr>
              <w:spacing w:line="240" w:lineRule="auto"/>
              <w:jc w:val="center"/>
              <w:rPr>
                <w:rFonts w:ascii="Times New Roman" w:eastAsia="Times New Roman" w:hAnsi="Times New Roman" w:cs="Times New Roman"/>
                <w:sz w:val="20"/>
                <w:szCs w:val="20"/>
                <w:lang w:val="es-AR"/>
              </w:rPr>
            </w:pPr>
            <w:r w:rsidRPr="005D45D5">
              <w:rPr>
                <w:rFonts w:ascii="Times New Roman" w:eastAsia="Times New Roman" w:hAnsi="Times New Roman" w:cs="Times New Roman"/>
                <w:sz w:val="20"/>
                <w:szCs w:val="20"/>
                <w:lang w:val="es-AR"/>
              </w:rPr>
              <w:t>Sería conveniente avanzar hacia criterios de evaluación más integrados entre las universidades y otros organismos que cuentan con carrera de investigador (CONICET, CIC, CICPBA).</w:t>
            </w:r>
          </w:p>
        </w:tc>
        <w:tc>
          <w:tcPr>
            <w:tcW w:w="1535" w:type="dxa"/>
          </w:tcPr>
          <w:p w14:paraId="4949D651"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8%</w:t>
            </w:r>
          </w:p>
        </w:tc>
        <w:tc>
          <w:tcPr>
            <w:tcW w:w="1700" w:type="dxa"/>
          </w:tcPr>
          <w:p w14:paraId="30AFCC93"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17%</w:t>
            </w:r>
          </w:p>
        </w:tc>
        <w:tc>
          <w:tcPr>
            <w:tcW w:w="1168" w:type="dxa"/>
          </w:tcPr>
          <w:p w14:paraId="6347F380" w14:textId="77777777" w:rsidR="00604E70" w:rsidRPr="005D45D5" w:rsidRDefault="00604E70" w:rsidP="00604E70">
            <w:pPr>
              <w:spacing w:line="240" w:lineRule="auto"/>
              <w:jc w:val="center"/>
              <w:rPr>
                <w:rFonts w:ascii="Times New Roman" w:eastAsia="Times New Roman" w:hAnsi="Times New Roman" w:cs="Times New Roman"/>
                <w:sz w:val="20"/>
                <w:szCs w:val="20"/>
              </w:rPr>
            </w:pPr>
            <w:r w:rsidRPr="005D45D5">
              <w:rPr>
                <w:rFonts w:ascii="Times New Roman" w:eastAsia="Times New Roman" w:hAnsi="Times New Roman" w:cs="Times New Roman"/>
                <w:b/>
                <w:bCs/>
                <w:sz w:val="20"/>
                <w:szCs w:val="20"/>
              </w:rPr>
              <w:t>74%</w:t>
            </w:r>
          </w:p>
        </w:tc>
      </w:tr>
    </w:tbl>
    <w:bookmarkEnd w:id="0"/>
    <w:p w14:paraId="16D162C5" w14:textId="77777777" w:rsidR="00604E70" w:rsidRPr="00A365D4" w:rsidRDefault="00604E70" w:rsidP="00604E70">
      <w:pPr>
        <w:spacing w:line="240" w:lineRule="auto"/>
        <w:jc w:val="center"/>
        <w:rPr>
          <w:rFonts w:ascii="Times New Roman" w:eastAsia="Times New Roman" w:hAnsi="Times New Roman" w:cs="Times New Roman"/>
          <w:sz w:val="20"/>
          <w:szCs w:val="20"/>
        </w:rPr>
      </w:pPr>
      <w:r w:rsidRPr="00A365D4">
        <w:rPr>
          <w:rFonts w:ascii="Times New Roman" w:eastAsia="Times New Roman" w:hAnsi="Times New Roman" w:cs="Times New Roman"/>
          <w:sz w:val="20"/>
          <w:szCs w:val="20"/>
        </w:rPr>
        <w:t>Fuente: elaboración propia. Las respuestas corresponden a una escala Likert de cinco puntos (1 = totalmente en desacuerdo; 5 = totalmente de acuerdo) y se presentan agrupadas en categorías ordinales.</w:t>
      </w:r>
    </w:p>
    <w:p w14:paraId="42AB5035" w14:textId="77777777" w:rsidR="00A365D4" w:rsidRPr="00A365D4" w:rsidRDefault="00A365D4" w:rsidP="00A365D4">
      <w:pPr>
        <w:spacing w:line="240" w:lineRule="auto"/>
        <w:jc w:val="both"/>
        <w:rPr>
          <w:rFonts w:ascii="Times New Roman" w:eastAsia="Arial" w:hAnsi="Times New Roman" w:cs="Times New Roman"/>
          <w:lang w:val="es-AR"/>
        </w:rPr>
      </w:pPr>
      <w:r w:rsidRPr="00A365D4">
        <w:rPr>
          <w:rFonts w:ascii="Times New Roman" w:eastAsia="Arial" w:hAnsi="Times New Roman" w:cs="Times New Roman"/>
          <w:lang w:val="es-AR"/>
        </w:rPr>
        <w:t xml:space="preserve">Los resultados muestran, en primer lugar, un amplio consenso sobre la legitimidad de que la universidad disponga de un sistema propio de categorización. El 78% de los evaluadores está de acuerdo en que contar con un sistema institucional permite a la universidad definir su propia política de investigación y sus estándares de calidad con mayor independencia de los organismos nacionales e internacionales, mientras que ninguno manifestó desacuerdo con esta afirmación. </w:t>
      </w:r>
    </w:p>
    <w:p w14:paraId="4130E0F0" w14:textId="7A413FE3" w:rsidR="00A365D4" w:rsidRPr="00A365D4" w:rsidRDefault="00A365D4" w:rsidP="00A365D4">
      <w:pPr>
        <w:spacing w:line="240" w:lineRule="auto"/>
        <w:jc w:val="both"/>
        <w:rPr>
          <w:rFonts w:ascii="Times New Roman" w:eastAsia="Arial" w:hAnsi="Times New Roman" w:cs="Times New Roman"/>
          <w:lang w:val="es-AR"/>
        </w:rPr>
      </w:pPr>
      <w:r w:rsidRPr="00A365D4">
        <w:rPr>
          <w:rFonts w:ascii="Times New Roman" w:eastAsia="Arial" w:hAnsi="Times New Roman" w:cs="Times New Roman"/>
          <w:lang w:val="es-AR"/>
        </w:rPr>
        <w:t xml:space="preserve">Sin embargo, este apoyo a un sistema institucional propio no se traduce en una preferencia por modelos completamente autónomos o desconectados del resto del sistema científico. Por el contrario, el 74% considera conveniente avanzar hacia criterios de evaluación más integrados entre las universidades y otros organismos con carrera de investigador, como CONICET o CICPBA. Este resultado sugiere que las y los evaluadores no perciben como contradictorias la autonomía universitaria y la articulación con los sistemas nacionales, sino que parecen concebirlas como dimensiones complementarias. </w:t>
      </w:r>
    </w:p>
    <w:p w14:paraId="0B322F4F" w14:textId="77777777" w:rsidR="00A365D4" w:rsidRPr="00A365D4" w:rsidRDefault="00A365D4" w:rsidP="00A365D4">
      <w:pPr>
        <w:spacing w:line="240" w:lineRule="auto"/>
        <w:jc w:val="both"/>
        <w:rPr>
          <w:rFonts w:ascii="Times New Roman" w:eastAsia="Arial" w:hAnsi="Times New Roman" w:cs="Times New Roman"/>
          <w:lang w:val="es-AR"/>
        </w:rPr>
      </w:pPr>
      <w:r w:rsidRPr="00A365D4">
        <w:rPr>
          <w:rFonts w:ascii="Times New Roman" w:eastAsia="Arial" w:hAnsi="Times New Roman" w:cs="Times New Roman"/>
          <w:lang w:val="es-AR"/>
        </w:rPr>
        <w:t xml:space="preserve">En sentido contrario, existe un rechazo mayoritario a la idea de que los programas de categorización sean innecesarios. Frente a la afirmación de que los procesos habituales de evaluación universitaria (como concursos docentes o carrera académica) son suficientes para reconocer e incentivar las distintas actividades de los docentes-investigadores, el 65% manifestó su desacuerdo y solo un 4% estuvo de acuerdo. Este resultado pone de manifiesto que, para la mayoría de los integrantes de las comisiones, los mecanismos ordinarios de evaluación universitaria no sustituyen la función específica que cumplen los sistemas de categorización. </w:t>
      </w:r>
    </w:p>
    <w:p w14:paraId="1F4D8E31" w14:textId="77777777" w:rsidR="00A365D4" w:rsidRPr="00A365D4" w:rsidRDefault="00A365D4" w:rsidP="00A365D4">
      <w:pPr>
        <w:spacing w:line="240" w:lineRule="auto"/>
        <w:jc w:val="both"/>
        <w:rPr>
          <w:rFonts w:ascii="Times New Roman" w:eastAsia="Arial" w:hAnsi="Times New Roman" w:cs="Times New Roman"/>
          <w:lang w:val="es-AR"/>
        </w:rPr>
      </w:pPr>
      <w:r w:rsidRPr="00A365D4">
        <w:rPr>
          <w:rFonts w:ascii="Times New Roman" w:eastAsia="Arial" w:hAnsi="Times New Roman" w:cs="Times New Roman"/>
          <w:lang w:val="es-AR"/>
        </w:rPr>
        <w:t xml:space="preserve">Por último, la percepción sobre el estado actual de la evaluación universitaria aparece considerablemente más dividida. Ante la afirmación de que las universidades argentinas continúan replicando criterios de organismos externos sin haber consolidado una cultura evaluativa propia, el 48% expresó acuerdo, mientras que un 26% manifestó desacuerdo y otro 26% adoptó una posición neutral. Esta distribución evidencia que no existe una visión compartida acerca del grado de autonomía alcanzado por las universidades en materia de evaluación, lo que constituye un indicio de que este aspecto sigue siendo objeto de debate entre los propios evaluadores. </w:t>
      </w:r>
    </w:p>
    <w:p w14:paraId="355F7413" w14:textId="77777777" w:rsidR="00A365D4" w:rsidRPr="00A365D4" w:rsidRDefault="00A365D4" w:rsidP="00A365D4">
      <w:pPr>
        <w:spacing w:line="240" w:lineRule="auto"/>
        <w:jc w:val="both"/>
        <w:rPr>
          <w:rFonts w:ascii="Times New Roman" w:eastAsia="Arial" w:hAnsi="Times New Roman" w:cs="Times New Roman"/>
          <w:lang w:val="es-AR"/>
        </w:rPr>
      </w:pPr>
      <w:r w:rsidRPr="00A365D4">
        <w:rPr>
          <w:rFonts w:ascii="Times New Roman" w:eastAsia="Arial" w:hAnsi="Times New Roman" w:cs="Times New Roman"/>
          <w:lang w:val="es-AR"/>
        </w:rPr>
        <w:t xml:space="preserve">Considerados en conjunto, los resultados muestran una posición relativamente consistente. Los evaluadores respaldan la existencia de un sistema institucional de categorización y consideran que este cumple una función que no puede ser reemplazada por otros mecanismos universitarios de evaluación. Al mismo tiempo, no conciben esa </w:t>
      </w:r>
      <w:r w:rsidRPr="00A365D4">
        <w:rPr>
          <w:rFonts w:ascii="Times New Roman" w:eastAsia="Arial" w:hAnsi="Times New Roman" w:cs="Times New Roman"/>
          <w:lang w:val="es-AR"/>
        </w:rPr>
        <w:lastRenderedPageBreak/>
        <w:t>institucionalización en términos de aislamiento respecto del sistema científico nacional, sino como una oportunidad para fortalecer la capacidad de la universidad para definir sus propias prioridades sin renunciar a criterios compartidos con otros organismos de investigación. Esta combinación de autonomía institucional y articulación interinstitucional constituye, probablemente, uno de los hallazgos más interesantes del estudio.</w:t>
      </w:r>
    </w:p>
    <w:p w14:paraId="79C6E373" w14:textId="79D482DE" w:rsidR="00604E70" w:rsidRDefault="00A365D4" w:rsidP="00A365D4">
      <w:pPr>
        <w:spacing w:line="240" w:lineRule="auto"/>
        <w:rPr>
          <w:rFonts w:ascii="Times New Roman" w:eastAsia="Arial" w:hAnsi="Times New Roman" w:cs="Times New Roman"/>
          <w:b/>
          <w:bCs/>
          <w:lang w:val="es-AR"/>
        </w:rPr>
      </w:pPr>
      <w:r w:rsidRPr="00A365D4">
        <w:rPr>
          <w:rFonts w:ascii="Times New Roman" w:eastAsia="Arial" w:hAnsi="Times New Roman" w:cs="Times New Roman"/>
          <w:b/>
          <w:bCs/>
          <w:lang w:val="es-AR"/>
        </w:rPr>
        <w:t>Comentarios finales</w:t>
      </w:r>
    </w:p>
    <w:p w14:paraId="1EF286DE" w14:textId="77777777" w:rsidR="00137E3A" w:rsidRDefault="00137E3A" w:rsidP="00137E3A">
      <w:pPr>
        <w:spacing w:line="240" w:lineRule="auto"/>
        <w:jc w:val="both"/>
        <w:rPr>
          <w:rFonts w:ascii="Times New Roman" w:eastAsia="Arial" w:hAnsi="Times New Roman" w:cs="Times New Roman"/>
          <w:lang w:val="es-AR"/>
        </w:rPr>
      </w:pPr>
      <w:r>
        <w:rPr>
          <w:rFonts w:ascii="Times New Roman" w:eastAsia="Arial" w:hAnsi="Times New Roman" w:cs="Times New Roman"/>
          <w:lang w:val="es-AR"/>
        </w:rPr>
        <w:t xml:space="preserve">Este artículo busco examinar la implementación de un sistema de evaluación de investigadores/as a nivel institucional, mediante una encuesta a las y los evaluadores participantes del proceso. </w:t>
      </w:r>
      <w:r w:rsidRPr="00137E3A">
        <w:rPr>
          <w:rFonts w:ascii="Times New Roman" w:eastAsia="Arial" w:hAnsi="Times New Roman" w:cs="Times New Roman"/>
          <w:lang w:val="es-AR"/>
        </w:rPr>
        <w:t>A partir del análisis del PROCADI de la UNCPBA, se concluye que su creación representa un ejercicio de autonomía y soberanía institucional frente a la parálisis y las demoras del sistema nacional</w:t>
      </w:r>
      <w:r>
        <w:rPr>
          <w:rFonts w:ascii="Times New Roman" w:eastAsia="Arial" w:hAnsi="Times New Roman" w:cs="Times New Roman"/>
          <w:lang w:val="es-AR"/>
        </w:rPr>
        <w:t>. Esta iniciativa parece contar con un amplio respaldo</w:t>
      </w:r>
      <w:r w:rsidRPr="00137E3A">
        <w:rPr>
          <w:rFonts w:ascii="Times New Roman" w:eastAsia="Arial" w:hAnsi="Times New Roman" w:cs="Times New Roman"/>
          <w:lang w:val="es-AR"/>
        </w:rPr>
        <w:t xml:space="preserve"> </w:t>
      </w:r>
      <w:r>
        <w:rPr>
          <w:rFonts w:ascii="Times New Roman" w:eastAsia="Arial" w:hAnsi="Times New Roman" w:cs="Times New Roman"/>
          <w:lang w:val="es-AR"/>
        </w:rPr>
        <w:t xml:space="preserve">de las y los </w:t>
      </w:r>
      <w:r w:rsidRPr="00137E3A">
        <w:rPr>
          <w:rFonts w:ascii="Times New Roman" w:eastAsia="Arial" w:hAnsi="Times New Roman" w:cs="Times New Roman"/>
          <w:lang w:val="es-AR"/>
        </w:rPr>
        <w:t>evaluadores</w:t>
      </w:r>
      <w:r>
        <w:rPr>
          <w:rFonts w:ascii="Times New Roman" w:eastAsia="Arial" w:hAnsi="Times New Roman" w:cs="Times New Roman"/>
          <w:lang w:val="es-AR"/>
        </w:rPr>
        <w:t xml:space="preserve">, aunque la implementación </w:t>
      </w:r>
      <w:r w:rsidRPr="00137E3A">
        <w:rPr>
          <w:rFonts w:ascii="Times New Roman" w:eastAsia="Arial" w:hAnsi="Times New Roman" w:cs="Times New Roman"/>
          <w:lang w:val="es-AR"/>
        </w:rPr>
        <w:t xml:space="preserve">del programa pone de manifiesto tensiones estructurales </w:t>
      </w:r>
      <w:r>
        <w:rPr>
          <w:rFonts w:ascii="Times New Roman" w:eastAsia="Arial" w:hAnsi="Times New Roman" w:cs="Times New Roman"/>
          <w:lang w:val="es-AR"/>
        </w:rPr>
        <w:t xml:space="preserve">respecto al diseño e implementación de </w:t>
      </w:r>
      <w:r w:rsidRPr="00137E3A">
        <w:rPr>
          <w:rFonts w:ascii="Times New Roman" w:eastAsia="Arial" w:hAnsi="Times New Roman" w:cs="Times New Roman"/>
          <w:lang w:val="es-AR"/>
        </w:rPr>
        <w:t>la evaluación</w:t>
      </w:r>
      <w:r>
        <w:rPr>
          <w:rFonts w:ascii="Times New Roman" w:eastAsia="Arial" w:hAnsi="Times New Roman" w:cs="Times New Roman"/>
          <w:lang w:val="es-AR"/>
        </w:rPr>
        <w:t>.</w:t>
      </w:r>
    </w:p>
    <w:p w14:paraId="41A25315" w14:textId="7C972820" w:rsidR="00137E3A" w:rsidRDefault="00137E3A" w:rsidP="00137E3A">
      <w:pPr>
        <w:spacing w:line="240" w:lineRule="auto"/>
        <w:jc w:val="both"/>
        <w:rPr>
          <w:rFonts w:ascii="Times New Roman" w:eastAsia="Arial" w:hAnsi="Times New Roman" w:cs="Times New Roman"/>
          <w:lang w:val="es-AR"/>
        </w:rPr>
      </w:pPr>
      <w:r>
        <w:rPr>
          <w:rFonts w:ascii="Times New Roman" w:eastAsia="Arial" w:hAnsi="Times New Roman" w:cs="Times New Roman"/>
          <w:lang w:val="es-AR"/>
        </w:rPr>
        <w:t xml:space="preserve">Respecto a la dificultad de valoración de cada uno de los ítems las </w:t>
      </w:r>
      <w:r w:rsidRPr="00137E3A">
        <w:rPr>
          <w:rFonts w:ascii="Times New Roman" w:eastAsia="Arial" w:hAnsi="Times New Roman" w:cs="Times New Roman"/>
          <w:lang w:val="es-AR"/>
        </w:rPr>
        <w:t>actividades de comunicación pública de la ciencia</w:t>
      </w:r>
      <w:r w:rsidR="00DA5099">
        <w:rPr>
          <w:rFonts w:ascii="Times New Roman" w:eastAsia="Arial" w:hAnsi="Times New Roman" w:cs="Times New Roman"/>
          <w:lang w:val="es-AR"/>
        </w:rPr>
        <w:t xml:space="preserve">, </w:t>
      </w:r>
      <w:r>
        <w:rPr>
          <w:rFonts w:ascii="Times New Roman" w:eastAsia="Arial" w:hAnsi="Times New Roman" w:cs="Times New Roman"/>
          <w:lang w:val="es-AR"/>
        </w:rPr>
        <w:t xml:space="preserve">de </w:t>
      </w:r>
      <w:r w:rsidRPr="00137E3A">
        <w:rPr>
          <w:rFonts w:ascii="Times New Roman" w:eastAsia="Arial" w:hAnsi="Times New Roman" w:cs="Times New Roman"/>
          <w:lang w:val="es-AR"/>
        </w:rPr>
        <w:t xml:space="preserve">extensión </w:t>
      </w:r>
      <w:r w:rsidR="00DA5099">
        <w:rPr>
          <w:rFonts w:ascii="Times New Roman" w:eastAsia="Arial" w:hAnsi="Times New Roman" w:cs="Times New Roman"/>
          <w:lang w:val="es-AR"/>
        </w:rPr>
        <w:t xml:space="preserve">y de transferencia de conocimientos </w:t>
      </w:r>
      <w:r w:rsidRPr="00137E3A">
        <w:rPr>
          <w:rFonts w:ascii="Times New Roman" w:eastAsia="Arial" w:hAnsi="Times New Roman" w:cs="Times New Roman"/>
          <w:lang w:val="es-AR"/>
        </w:rPr>
        <w:t xml:space="preserve">son identificadas como las más difíciles de ponderar objetivamente, generando una incertidumbre significativamente mayor que la producción científica tradicional. Esta dificultad se vincula </w:t>
      </w:r>
      <w:r w:rsidR="00DA5099">
        <w:rPr>
          <w:rFonts w:ascii="Times New Roman" w:eastAsia="Arial" w:hAnsi="Times New Roman" w:cs="Times New Roman"/>
          <w:lang w:val="es-AR"/>
        </w:rPr>
        <w:t>-entre otras razones- c</w:t>
      </w:r>
      <w:r w:rsidRPr="00137E3A">
        <w:rPr>
          <w:rFonts w:ascii="Times New Roman" w:eastAsia="Arial" w:hAnsi="Times New Roman" w:cs="Times New Roman"/>
          <w:lang w:val="es-AR"/>
        </w:rPr>
        <w:t>on las deficiencias en la infraestructura de información, ya que los evaluadores señalan que los sistemas de currículum actuales (SIGEVA/CVAr) presentan datos fragmentados o mezclados que obstaculizan una valoración precisa de las trayectorias.</w:t>
      </w:r>
    </w:p>
    <w:p w14:paraId="57BF608D" w14:textId="74E9B4B0" w:rsidR="00DA5099" w:rsidRPr="00137E3A" w:rsidRDefault="00DA5099" w:rsidP="00137E3A">
      <w:pPr>
        <w:spacing w:line="240" w:lineRule="auto"/>
        <w:jc w:val="both"/>
        <w:rPr>
          <w:rFonts w:ascii="Times New Roman" w:eastAsia="Arial" w:hAnsi="Times New Roman" w:cs="Times New Roman"/>
          <w:lang w:val="es-AR"/>
        </w:rPr>
      </w:pPr>
      <w:r>
        <w:rPr>
          <w:rFonts w:ascii="Times New Roman" w:eastAsia="Arial" w:hAnsi="Times New Roman" w:cs="Times New Roman"/>
        </w:rPr>
        <w:t>En relación a la metodología</w:t>
      </w:r>
      <w:r w:rsidRPr="00DA5099">
        <w:rPr>
          <w:rFonts w:ascii="Times New Roman" w:eastAsia="Arial" w:hAnsi="Times New Roman" w:cs="Times New Roman"/>
        </w:rPr>
        <w:t xml:space="preserve"> implementada</w:t>
      </w:r>
      <w:r>
        <w:rPr>
          <w:rFonts w:ascii="Times New Roman" w:eastAsia="Arial" w:hAnsi="Times New Roman" w:cs="Times New Roman"/>
        </w:rPr>
        <w:t xml:space="preserve"> por la SECAT</w:t>
      </w:r>
      <w:r w:rsidRPr="00DA5099">
        <w:rPr>
          <w:rFonts w:ascii="Times New Roman" w:eastAsia="Arial" w:hAnsi="Times New Roman" w:cs="Times New Roman"/>
        </w:rPr>
        <w:t xml:space="preserve"> para la jornada de evaluación del PROCADI fue valorada de manera ampliamente positiva por quienes integraron las comisiones evaluadoras. Más allá de las condiciones operativas, el principal hallazgo radica en la importancia atribuida al carácter colegiado del proceso: la deliberación entre pares, la posibilidad de intercambiar argumentos y la modalidad presencial emergen como elementos centrales para garantizar la legitimidad y calidad de las decisiones. Al mismo tiempo, la valoración favorable de la intervención previa de la </w:t>
      </w:r>
      <w:proofErr w:type="spellStart"/>
      <w:r w:rsidRPr="00DA5099">
        <w:rPr>
          <w:rFonts w:ascii="Times New Roman" w:eastAsia="Arial" w:hAnsi="Times New Roman" w:cs="Times New Roman"/>
        </w:rPr>
        <w:t>SeCAT</w:t>
      </w:r>
      <w:proofErr w:type="spellEnd"/>
      <w:r w:rsidRPr="00DA5099">
        <w:rPr>
          <w:rFonts w:ascii="Times New Roman" w:eastAsia="Arial" w:hAnsi="Times New Roman" w:cs="Times New Roman"/>
        </w:rPr>
        <w:t xml:space="preserve"> en la evaluación de los ítems más objetivos sugiere que la combinación entre tareas de apoyo técnico-administrativo y la deliberación académica constituye un diseño institucional eficaz, ya que permite concentrar el trabajo de las comisiones en aquellos aspectos que requieren juicio experto. Si bien persisten oportunidades de mejora en relación con las herramientas de apoyo y la organización del proceso, los resultados indican que el modelo implementado logró generar condiciones propicias para desarrollar evaluaciones percibidas como rigurosas, participativas y eficientes.</w:t>
      </w:r>
    </w:p>
    <w:p w14:paraId="0B5A2B31" w14:textId="52A64DF9" w:rsidR="00137E3A" w:rsidRPr="00137E3A" w:rsidRDefault="00137E3A" w:rsidP="00137E3A">
      <w:pPr>
        <w:spacing w:line="240" w:lineRule="auto"/>
        <w:jc w:val="both"/>
        <w:rPr>
          <w:rFonts w:ascii="Times New Roman" w:eastAsia="Arial" w:hAnsi="Times New Roman" w:cs="Times New Roman"/>
          <w:lang w:val="es-AR"/>
        </w:rPr>
      </w:pPr>
      <w:r w:rsidRPr="00137E3A">
        <w:rPr>
          <w:rFonts w:ascii="Times New Roman" w:eastAsia="Arial" w:hAnsi="Times New Roman" w:cs="Times New Roman"/>
          <w:lang w:val="es-AR"/>
        </w:rPr>
        <w:t>Finalmente, e</w:t>
      </w:r>
      <w:r w:rsidR="001669C2">
        <w:rPr>
          <w:rFonts w:ascii="Times New Roman" w:eastAsia="Arial" w:hAnsi="Times New Roman" w:cs="Times New Roman"/>
          <w:lang w:val="es-AR"/>
        </w:rPr>
        <w:t xml:space="preserve">sta ponencia </w:t>
      </w:r>
      <w:r w:rsidRPr="00137E3A">
        <w:rPr>
          <w:rFonts w:ascii="Times New Roman" w:eastAsia="Arial" w:hAnsi="Times New Roman" w:cs="Times New Roman"/>
          <w:lang w:val="es-AR"/>
        </w:rPr>
        <w:t xml:space="preserve">destaca que el proceso de evaluación sigue siendo una práctica profundamente social y colectiva que logra mediar entre las normas y el juicio experto. Aunque </w:t>
      </w:r>
      <w:r>
        <w:rPr>
          <w:rFonts w:ascii="Times New Roman" w:eastAsia="Arial" w:hAnsi="Times New Roman" w:cs="Times New Roman"/>
          <w:lang w:val="es-AR"/>
        </w:rPr>
        <w:t xml:space="preserve">gran parte </w:t>
      </w:r>
      <w:r w:rsidRPr="00137E3A">
        <w:rPr>
          <w:rFonts w:ascii="Times New Roman" w:eastAsia="Arial" w:hAnsi="Times New Roman" w:cs="Times New Roman"/>
          <w:lang w:val="es-AR"/>
        </w:rPr>
        <w:t xml:space="preserve">de los evaluadores experimentó tensiones entre su propio criterio y las exigencias de la grilla normativa, la mayoría resolvió estos desajustes mediante la deliberación colectiva en las comisiones. </w:t>
      </w:r>
    </w:p>
    <w:p w14:paraId="6E4DD580" w14:textId="7E8153C6" w:rsidR="00DA5099" w:rsidRPr="00A365D4" w:rsidRDefault="00DA5099" w:rsidP="00A365D4">
      <w:pPr>
        <w:spacing w:line="240" w:lineRule="auto"/>
        <w:rPr>
          <w:rFonts w:ascii="Times New Roman" w:eastAsia="Arial" w:hAnsi="Times New Roman" w:cs="Times New Roman"/>
          <w:b/>
          <w:bCs/>
          <w:lang w:val="es-AR"/>
        </w:rPr>
      </w:pPr>
      <w:r>
        <w:rPr>
          <w:rFonts w:ascii="Times New Roman" w:eastAsia="Arial" w:hAnsi="Times New Roman" w:cs="Times New Roman"/>
          <w:b/>
          <w:bCs/>
          <w:lang w:val="es-AR"/>
        </w:rPr>
        <w:t>Bibliografía</w:t>
      </w:r>
    </w:p>
    <w:p w14:paraId="35881F2F"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lang w:val="en-US"/>
        </w:rPr>
      </w:pPr>
      <w:r w:rsidRPr="001669C2">
        <w:rPr>
          <w:rFonts w:ascii="Times New Roman" w:eastAsia="Times New Roman" w:hAnsi="Times New Roman" w:cs="Times New Roman"/>
          <w:color w:val="000000"/>
        </w:rPr>
        <w:lastRenderedPageBreak/>
        <w:t xml:space="preserve">Aguiar, D., &amp; </w:t>
      </w:r>
      <w:proofErr w:type="spellStart"/>
      <w:r w:rsidRPr="001669C2">
        <w:rPr>
          <w:rFonts w:ascii="Times New Roman" w:eastAsia="Times New Roman" w:hAnsi="Times New Roman" w:cs="Times New Roman"/>
          <w:color w:val="000000"/>
        </w:rPr>
        <w:t>Svampa</w:t>
      </w:r>
      <w:proofErr w:type="spellEnd"/>
      <w:r w:rsidRPr="001669C2">
        <w:rPr>
          <w:rFonts w:ascii="Times New Roman" w:eastAsia="Times New Roman" w:hAnsi="Times New Roman" w:cs="Times New Roman"/>
          <w:color w:val="000000"/>
        </w:rPr>
        <w:t>, F. (2024). La carrera del investigador del CONICET de Argentina entre 1983 y 2016. </w:t>
      </w:r>
      <w:r w:rsidRPr="001669C2">
        <w:rPr>
          <w:rFonts w:ascii="Times New Roman" w:eastAsia="Times New Roman" w:hAnsi="Times New Roman" w:cs="Times New Roman"/>
          <w:i/>
          <w:iCs/>
          <w:color w:val="000000"/>
        </w:rPr>
        <w:t>Ciencia, Tecnología y Política</w:t>
      </w:r>
      <w:r w:rsidRPr="001669C2">
        <w:rPr>
          <w:rFonts w:ascii="Times New Roman" w:eastAsia="Times New Roman" w:hAnsi="Times New Roman" w:cs="Times New Roman"/>
          <w:color w:val="000000"/>
        </w:rPr>
        <w:t>, </w:t>
      </w:r>
      <w:r w:rsidRPr="001669C2">
        <w:rPr>
          <w:rFonts w:ascii="Times New Roman" w:eastAsia="Times New Roman" w:hAnsi="Times New Roman" w:cs="Times New Roman"/>
          <w:i/>
          <w:iCs/>
          <w:color w:val="000000"/>
        </w:rPr>
        <w:t>7</w:t>
      </w:r>
      <w:r w:rsidRPr="001669C2">
        <w:rPr>
          <w:rFonts w:ascii="Times New Roman" w:eastAsia="Times New Roman" w:hAnsi="Times New Roman" w:cs="Times New Roman"/>
          <w:color w:val="000000"/>
        </w:rPr>
        <w:t>(12).</w:t>
      </w:r>
    </w:p>
    <w:p w14:paraId="422112A2" w14:textId="77777777" w:rsidR="001669C2" w:rsidRPr="004257BD" w:rsidRDefault="001669C2" w:rsidP="004257BD">
      <w:pPr>
        <w:spacing w:line="240" w:lineRule="auto"/>
        <w:jc w:val="both"/>
        <w:rPr>
          <w:rFonts w:ascii="Times New Roman" w:eastAsia="Times New Roman" w:hAnsi="Times New Roman" w:cs="Times New Roman"/>
        </w:rPr>
      </w:pPr>
      <w:r w:rsidRPr="004257BD">
        <w:rPr>
          <w:rFonts w:ascii="Times New Roman" w:eastAsia="Times New Roman" w:hAnsi="Times New Roman" w:cs="Times New Roman"/>
        </w:rPr>
        <w:t xml:space="preserve">Araujo. S. (2014). La evaluación y la Universidad en Argentina: políticas, enfoques y prácticas, </w:t>
      </w:r>
      <w:r w:rsidRPr="004257BD">
        <w:rPr>
          <w:rFonts w:ascii="Times New Roman" w:eastAsia="Times New Roman" w:hAnsi="Times New Roman" w:cs="Times New Roman"/>
          <w:i/>
          <w:iCs/>
        </w:rPr>
        <w:t xml:space="preserve">Revista de la Educación Superior </w:t>
      </w:r>
      <w:r w:rsidRPr="004257BD">
        <w:rPr>
          <w:rFonts w:ascii="Times New Roman" w:eastAsia="Times New Roman" w:hAnsi="Times New Roman" w:cs="Times New Roman"/>
        </w:rPr>
        <w:t xml:space="preserve">Vol. XLIII (4); No.172, octubre-diciembre del 2014. </w:t>
      </w:r>
      <w:proofErr w:type="spellStart"/>
      <w:r w:rsidRPr="004257BD">
        <w:rPr>
          <w:rFonts w:ascii="Times New Roman" w:eastAsia="Times New Roman" w:hAnsi="Times New Roman" w:cs="Times New Roman"/>
        </w:rPr>
        <w:t>issn</w:t>
      </w:r>
      <w:proofErr w:type="spellEnd"/>
      <w:r w:rsidRPr="004257BD">
        <w:rPr>
          <w:rFonts w:ascii="Times New Roman" w:eastAsia="Times New Roman" w:hAnsi="Times New Roman" w:cs="Times New Roman"/>
        </w:rPr>
        <w:t>: 0185-2760. (p. 57-77)</w:t>
      </w:r>
    </w:p>
    <w:p w14:paraId="09D4B269" w14:textId="77777777" w:rsidR="001669C2"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r w:rsidRPr="006C6EEF">
        <w:rPr>
          <w:rFonts w:ascii="Times New Roman" w:eastAsia="Times New Roman" w:hAnsi="Times New Roman" w:cs="Times New Roman"/>
          <w:color w:val="000000"/>
          <w:lang w:val="en-US"/>
        </w:rPr>
        <w:t xml:space="preserve">Arocena, R., &amp; </w:t>
      </w:r>
      <w:proofErr w:type="spellStart"/>
      <w:r w:rsidRPr="006C6EEF">
        <w:rPr>
          <w:rFonts w:ascii="Times New Roman" w:eastAsia="Times New Roman" w:hAnsi="Times New Roman" w:cs="Times New Roman"/>
          <w:color w:val="000000"/>
          <w:lang w:val="en-US"/>
        </w:rPr>
        <w:t>Sutz</w:t>
      </w:r>
      <w:proofErr w:type="spellEnd"/>
      <w:r w:rsidRPr="006C6EEF">
        <w:rPr>
          <w:rFonts w:ascii="Times New Roman" w:eastAsia="Times New Roman" w:hAnsi="Times New Roman" w:cs="Times New Roman"/>
          <w:color w:val="000000"/>
          <w:lang w:val="en-US"/>
        </w:rPr>
        <w:t>, J. (2005). Latin American Universities: From an original revolution to an uncertain transition. </w:t>
      </w:r>
      <w:proofErr w:type="spellStart"/>
      <w:r w:rsidRPr="006C6EEF">
        <w:rPr>
          <w:rFonts w:ascii="Times New Roman" w:eastAsia="Times New Roman" w:hAnsi="Times New Roman" w:cs="Times New Roman"/>
          <w:i/>
          <w:iCs/>
          <w:color w:val="000000"/>
        </w:rPr>
        <w:t>Higher</w:t>
      </w:r>
      <w:proofErr w:type="spellEnd"/>
      <w:r w:rsidRPr="006C6EEF">
        <w:rPr>
          <w:rFonts w:ascii="Times New Roman" w:eastAsia="Times New Roman" w:hAnsi="Times New Roman" w:cs="Times New Roman"/>
          <w:i/>
          <w:iCs/>
          <w:color w:val="000000"/>
        </w:rPr>
        <w:t xml:space="preserve"> </w:t>
      </w:r>
      <w:proofErr w:type="spellStart"/>
      <w:r w:rsidRPr="006C6EEF">
        <w:rPr>
          <w:rFonts w:ascii="Times New Roman" w:eastAsia="Times New Roman" w:hAnsi="Times New Roman" w:cs="Times New Roman"/>
          <w:i/>
          <w:iCs/>
          <w:color w:val="000000"/>
        </w:rPr>
        <w:t>education</w:t>
      </w:r>
      <w:proofErr w:type="spellEnd"/>
      <w:r w:rsidRPr="006C6EEF">
        <w:rPr>
          <w:rFonts w:ascii="Times New Roman" w:eastAsia="Times New Roman" w:hAnsi="Times New Roman" w:cs="Times New Roman"/>
          <w:color w:val="000000"/>
        </w:rPr>
        <w:t>, </w:t>
      </w:r>
      <w:r w:rsidRPr="006C6EEF">
        <w:rPr>
          <w:rFonts w:ascii="Times New Roman" w:eastAsia="Times New Roman" w:hAnsi="Times New Roman" w:cs="Times New Roman"/>
          <w:i/>
          <w:iCs/>
          <w:color w:val="000000"/>
        </w:rPr>
        <w:t>50</w:t>
      </w:r>
      <w:r w:rsidRPr="006C6EEF">
        <w:rPr>
          <w:rFonts w:ascii="Times New Roman" w:eastAsia="Times New Roman" w:hAnsi="Times New Roman" w:cs="Times New Roman"/>
          <w:color w:val="000000"/>
        </w:rPr>
        <w:t>(4), 573-592.</w:t>
      </w:r>
    </w:p>
    <w:p w14:paraId="3FCD2CA7" w14:textId="77777777" w:rsidR="001669C2"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r w:rsidRPr="001669C2">
        <w:rPr>
          <w:rFonts w:ascii="Times New Roman" w:eastAsia="Times New Roman" w:hAnsi="Times New Roman" w:cs="Times New Roman"/>
          <w:color w:val="000000"/>
        </w:rPr>
        <w:t xml:space="preserve">Beigel, M. F., Bekerman, F. A., Algañaraz Soria, V. H., </w:t>
      </w:r>
      <w:proofErr w:type="spellStart"/>
      <w:r w:rsidRPr="001669C2">
        <w:rPr>
          <w:rFonts w:ascii="Times New Roman" w:eastAsia="Times New Roman" w:hAnsi="Times New Roman" w:cs="Times New Roman"/>
          <w:color w:val="000000"/>
        </w:rPr>
        <w:t>Baranger</w:t>
      </w:r>
      <w:proofErr w:type="spellEnd"/>
      <w:r w:rsidRPr="001669C2">
        <w:rPr>
          <w:rFonts w:ascii="Times New Roman" w:eastAsia="Times New Roman" w:hAnsi="Times New Roman" w:cs="Times New Roman"/>
          <w:color w:val="000000"/>
        </w:rPr>
        <w:t xml:space="preserve">, D., Bayle, P. A., </w:t>
      </w:r>
      <w:proofErr w:type="spellStart"/>
      <w:r w:rsidRPr="001669C2">
        <w:rPr>
          <w:rFonts w:ascii="Times New Roman" w:eastAsia="Times New Roman" w:hAnsi="Times New Roman" w:cs="Times New Roman"/>
          <w:color w:val="000000"/>
        </w:rPr>
        <w:t>Erreguerena</w:t>
      </w:r>
      <w:proofErr w:type="spellEnd"/>
      <w:r w:rsidRPr="001669C2">
        <w:rPr>
          <w:rFonts w:ascii="Times New Roman" w:eastAsia="Times New Roman" w:hAnsi="Times New Roman" w:cs="Times New Roman"/>
          <w:color w:val="000000"/>
        </w:rPr>
        <w:t>, F., ... &amp; Salim, R. B. (2019). </w:t>
      </w:r>
      <w:r w:rsidRPr="001669C2">
        <w:rPr>
          <w:rFonts w:ascii="Times New Roman" w:eastAsia="Times New Roman" w:hAnsi="Times New Roman" w:cs="Times New Roman"/>
          <w:i/>
          <w:iCs/>
          <w:color w:val="000000"/>
        </w:rPr>
        <w:t>Culturas evaluativas: Impactos y dilemas del Programa de Incentivos a Docentes-Investigadores en Argentina (1993-2018)</w:t>
      </w:r>
      <w:r w:rsidRPr="001669C2">
        <w:rPr>
          <w:rFonts w:ascii="Times New Roman" w:eastAsia="Times New Roman" w:hAnsi="Times New Roman" w:cs="Times New Roman"/>
          <w:color w:val="000000"/>
        </w:rPr>
        <w:t>. Consejo Latinoamericano de Ciencias Sociales.</w:t>
      </w:r>
    </w:p>
    <w:p w14:paraId="3D36D996"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Bekerman, F., &amp; Monti, C. (2025). Evaluación de la ciencia. Tendencias y heterogeneidades en el sistema universitario argentino. </w:t>
      </w:r>
      <w:r w:rsidRPr="00A365D4">
        <w:rPr>
          <w:rFonts w:ascii="Times New Roman" w:eastAsia="Times New Roman" w:hAnsi="Times New Roman" w:cs="Times New Roman"/>
          <w:i/>
          <w:iCs/>
          <w:color w:val="000000"/>
        </w:rPr>
        <w:t>Redes. Revista de estudios sociales de la ciencia y la tecnología</w:t>
      </w:r>
      <w:r w:rsidRPr="00A365D4">
        <w:rPr>
          <w:rFonts w:ascii="Times New Roman" w:eastAsia="Times New Roman" w:hAnsi="Times New Roman" w:cs="Times New Roman"/>
          <w:color w:val="000000"/>
        </w:rPr>
        <w:t>, </w:t>
      </w:r>
      <w:r w:rsidRPr="00A365D4">
        <w:rPr>
          <w:rFonts w:ascii="Times New Roman" w:eastAsia="Times New Roman" w:hAnsi="Times New Roman" w:cs="Times New Roman"/>
          <w:i/>
          <w:iCs/>
          <w:color w:val="000000"/>
        </w:rPr>
        <w:t>31</w:t>
      </w:r>
      <w:r w:rsidRPr="00A365D4">
        <w:rPr>
          <w:rFonts w:ascii="Times New Roman" w:eastAsia="Times New Roman" w:hAnsi="Times New Roman" w:cs="Times New Roman"/>
          <w:color w:val="000000"/>
        </w:rPr>
        <w:t xml:space="preserve">(61). </w:t>
      </w:r>
      <w:hyperlink r:id="rId16">
        <w:r w:rsidRPr="00A365D4">
          <w:rPr>
            <w:rFonts w:ascii="Times New Roman" w:eastAsia="Times New Roman" w:hAnsi="Times New Roman" w:cs="Times New Roman"/>
            <w:color w:val="0563C1"/>
            <w:u w:val="single"/>
          </w:rPr>
          <w:t>https://doi.org/10.48160/18517072re61.906</w:t>
        </w:r>
      </w:hyperlink>
    </w:p>
    <w:p w14:paraId="7C461DF0"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Bentancur, N. (1997). El Estado Evaluador como nueva forma de relacionamiento Estado-Universidades. </w:t>
      </w:r>
      <w:r w:rsidRPr="00A365D4">
        <w:rPr>
          <w:rFonts w:ascii="Times New Roman" w:eastAsia="Times New Roman" w:hAnsi="Times New Roman" w:cs="Times New Roman"/>
          <w:i/>
          <w:iCs/>
          <w:color w:val="000000"/>
        </w:rPr>
        <w:t>Revista Uruguaya de Ciencia Política</w:t>
      </w:r>
      <w:r w:rsidRPr="00A365D4">
        <w:rPr>
          <w:rFonts w:ascii="Times New Roman" w:eastAsia="Times New Roman" w:hAnsi="Times New Roman" w:cs="Times New Roman"/>
          <w:color w:val="000000"/>
        </w:rPr>
        <w:t>, (10), 117-131.</w:t>
      </w:r>
    </w:p>
    <w:p w14:paraId="28F78736"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 xml:space="preserve">Gras, N. (2022). </w:t>
      </w:r>
      <w:r w:rsidRPr="00A365D4">
        <w:rPr>
          <w:rFonts w:ascii="Times New Roman" w:eastAsia="Times New Roman" w:hAnsi="Times New Roman" w:cs="Times New Roman"/>
          <w:i/>
          <w:iCs/>
          <w:color w:val="000000"/>
        </w:rPr>
        <w:t>Formas de evaluación de propuestas de investigación orientadas a problemas del desarrollo. Prácticas y perspectivas desde Organizaciones Nacionales de Ciencia y Tecnología e Instituciones de Educación Superior de América Latina y el Caribe.</w:t>
      </w:r>
      <w:r w:rsidRPr="00A365D4">
        <w:rPr>
          <w:rFonts w:ascii="Times New Roman" w:eastAsia="Times New Roman" w:hAnsi="Times New Roman" w:cs="Times New Roman"/>
          <w:color w:val="000000"/>
        </w:rPr>
        <w:t xml:space="preserve">  </w:t>
      </w:r>
      <w:hyperlink r:id="rId17">
        <w:r w:rsidRPr="00A365D4">
          <w:rPr>
            <w:rFonts w:ascii="Times New Roman" w:eastAsia="Times New Roman" w:hAnsi="Times New Roman" w:cs="Times New Roman"/>
            <w:color w:val="0563C1"/>
            <w:u w:val="single"/>
          </w:rPr>
          <w:t>https://biblioteca-repositorio.clacso.edu.ar/bitstream/CLACSO/168954/1/ Formas-evalucion-propuestas.pdf</w:t>
        </w:r>
      </w:hyperlink>
    </w:p>
    <w:p w14:paraId="3B0AE262" w14:textId="77777777" w:rsidR="001669C2" w:rsidRPr="001669C2"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lang w:val="en-US"/>
        </w:rPr>
      </w:pPr>
      <w:r w:rsidRPr="006C6EEF">
        <w:rPr>
          <w:rFonts w:ascii="Times New Roman" w:eastAsia="Times New Roman" w:hAnsi="Times New Roman" w:cs="Times New Roman"/>
          <w:color w:val="000000"/>
          <w:lang w:val="en-US"/>
        </w:rPr>
        <w:t xml:space="preserve">Hicks, D., Wouters, P., Waltman, L., De Rijcke, S., &amp; Rafols, I. (2015). </w:t>
      </w:r>
      <w:r w:rsidRPr="001669C2">
        <w:rPr>
          <w:rFonts w:ascii="Times New Roman" w:eastAsia="Times New Roman" w:hAnsi="Times New Roman" w:cs="Times New Roman"/>
          <w:color w:val="000000"/>
          <w:lang w:val="en-US"/>
        </w:rPr>
        <w:t>Bibliometrics: the Leiden Manifesto for research metrics. </w:t>
      </w:r>
      <w:r w:rsidRPr="001669C2">
        <w:rPr>
          <w:rFonts w:ascii="Times New Roman" w:eastAsia="Times New Roman" w:hAnsi="Times New Roman" w:cs="Times New Roman"/>
          <w:i/>
          <w:iCs/>
          <w:color w:val="000000"/>
          <w:lang w:val="en-US"/>
        </w:rPr>
        <w:t>Nature</w:t>
      </w:r>
      <w:r w:rsidRPr="001669C2">
        <w:rPr>
          <w:rFonts w:ascii="Times New Roman" w:eastAsia="Times New Roman" w:hAnsi="Times New Roman" w:cs="Times New Roman"/>
          <w:color w:val="000000"/>
          <w:lang w:val="en-US"/>
        </w:rPr>
        <w:t>, </w:t>
      </w:r>
      <w:r w:rsidRPr="001669C2">
        <w:rPr>
          <w:rFonts w:ascii="Times New Roman" w:eastAsia="Times New Roman" w:hAnsi="Times New Roman" w:cs="Times New Roman"/>
          <w:i/>
          <w:iCs/>
          <w:color w:val="000000"/>
          <w:lang w:val="en-US"/>
        </w:rPr>
        <w:t>520</w:t>
      </w:r>
      <w:r w:rsidRPr="001669C2">
        <w:rPr>
          <w:rFonts w:ascii="Times New Roman" w:eastAsia="Times New Roman" w:hAnsi="Times New Roman" w:cs="Times New Roman"/>
          <w:color w:val="000000"/>
          <w:lang w:val="en-US"/>
        </w:rPr>
        <w:t>(7548), 429-431.</w:t>
      </w:r>
    </w:p>
    <w:p w14:paraId="2B9B932F" w14:textId="77777777" w:rsidR="001669C2" w:rsidRPr="00A365D4" w:rsidRDefault="001669C2" w:rsidP="004257BD">
      <w:pPr>
        <w:spacing w:line="240" w:lineRule="auto"/>
        <w:jc w:val="both"/>
        <w:rPr>
          <w:rFonts w:ascii="Times New Roman" w:hAnsi="Times New Roman" w:cs="Times New Roman"/>
          <w:lang w:val="pt-BR"/>
        </w:rPr>
      </w:pPr>
      <w:r w:rsidRPr="00A365D4">
        <w:rPr>
          <w:rFonts w:ascii="Times New Roman" w:hAnsi="Times New Roman" w:cs="Times New Roman"/>
          <w:lang w:val="en-US"/>
        </w:rPr>
        <w:t xml:space="preserve">Light, M. A., &amp; Light, I. H. (2008). The geographic expansion of Mexican immigration in the United States and its </w:t>
      </w:r>
      <w:proofErr w:type="spellStart"/>
      <w:r w:rsidRPr="00A365D4">
        <w:rPr>
          <w:rFonts w:ascii="Times New Roman" w:hAnsi="Times New Roman" w:cs="Times New Roman"/>
          <w:lang w:val="en-US"/>
        </w:rPr>
        <w:t>impications</w:t>
      </w:r>
      <w:proofErr w:type="spellEnd"/>
      <w:r w:rsidRPr="00A365D4">
        <w:rPr>
          <w:rFonts w:ascii="Times New Roman" w:hAnsi="Times New Roman" w:cs="Times New Roman"/>
          <w:lang w:val="en-US"/>
        </w:rPr>
        <w:t xml:space="preserve"> for local law enforcement. </w:t>
      </w:r>
      <w:r w:rsidRPr="004257BD">
        <w:rPr>
          <w:rFonts w:ascii="Times New Roman" w:hAnsi="Times New Roman" w:cs="Times New Roman"/>
          <w:i/>
          <w:iCs/>
          <w:lang w:val="en-US"/>
        </w:rPr>
        <w:t>Law Enforcement Executive Forum Journal, 8</w:t>
      </w:r>
      <w:r w:rsidRPr="004257BD">
        <w:rPr>
          <w:rFonts w:ascii="Times New Roman" w:hAnsi="Times New Roman" w:cs="Times New Roman"/>
          <w:lang w:val="en-US"/>
        </w:rPr>
        <w:t>(1), 73-82.</w:t>
      </w:r>
    </w:p>
    <w:p w14:paraId="0A6A33CA" w14:textId="77777777" w:rsidR="001669C2"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proofErr w:type="spellStart"/>
      <w:r w:rsidRPr="001669C2">
        <w:rPr>
          <w:rFonts w:ascii="Times New Roman" w:eastAsia="Times New Roman" w:hAnsi="Times New Roman" w:cs="Times New Roman"/>
          <w:color w:val="000000"/>
          <w:lang w:val="pt-BR"/>
        </w:rPr>
        <w:t>McManus</w:t>
      </w:r>
      <w:proofErr w:type="spellEnd"/>
      <w:r w:rsidRPr="001669C2">
        <w:rPr>
          <w:rFonts w:ascii="Times New Roman" w:eastAsia="Times New Roman" w:hAnsi="Times New Roman" w:cs="Times New Roman"/>
          <w:color w:val="000000"/>
          <w:lang w:val="pt-BR"/>
        </w:rPr>
        <w:t xml:space="preserve">, C., Baeta Neves, A.A., Souza Filho, A.G., Rosa, A.A.S., Carvalho, C.H., Freire, D.M.G., Fioravanti M.C.S., </w:t>
      </w:r>
      <w:proofErr w:type="spellStart"/>
      <w:r w:rsidRPr="001669C2">
        <w:rPr>
          <w:rFonts w:ascii="Times New Roman" w:eastAsia="Times New Roman" w:hAnsi="Times New Roman" w:cs="Times New Roman"/>
          <w:color w:val="000000"/>
          <w:lang w:val="pt-BR"/>
        </w:rPr>
        <w:t>Bao</w:t>
      </w:r>
      <w:proofErr w:type="spellEnd"/>
      <w:r w:rsidRPr="001669C2">
        <w:rPr>
          <w:rFonts w:ascii="Times New Roman" w:eastAsia="Times New Roman" w:hAnsi="Times New Roman" w:cs="Times New Roman"/>
          <w:color w:val="000000"/>
          <w:lang w:val="pt-BR"/>
        </w:rPr>
        <w:t xml:space="preserve"> S.N., de Medeiros I.A., Diniz-Filho J.A., Diaz B.L., de Carvalho E.R., </w:t>
      </w:r>
      <w:proofErr w:type="spellStart"/>
      <w:r w:rsidRPr="001669C2">
        <w:rPr>
          <w:rFonts w:ascii="Times New Roman" w:eastAsia="Times New Roman" w:hAnsi="Times New Roman" w:cs="Times New Roman"/>
          <w:color w:val="000000"/>
          <w:lang w:val="pt-BR"/>
        </w:rPr>
        <w:t>Audy</w:t>
      </w:r>
      <w:proofErr w:type="spellEnd"/>
      <w:r w:rsidRPr="001669C2">
        <w:rPr>
          <w:rFonts w:ascii="Times New Roman" w:eastAsia="Times New Roman" w:hAnsi="Times New Roman" w:cs="Times New Roman"/>
          <w:color w:val="000000"/>
          <w:lang w:val="pt-BR"/>
        </w:rPr>
        <w:t xml:space="preserve"> J.L.N., Silva-Filho M.C., Gimenez J., Carvalho M., da Silva R.R. </w:t>
      </w:r>
      <w:proofErr w:type="spellStart"/>
      <w:r w:rsidRPr="001669C2">
        <w:rPr>
          <w:rFonts w:ascii="Times New Roman" w:eastAsia="Times New Roman" w:hAnsi="Times New Roman" w:cs="Times New Roman"/>
          <w:color w:val="000000"/>
          <w:lang w:val="pt-BR"/>
        </w:rPr>
        <w:t>and</w:t>
      </w:r>
      <w:proofErr w:type="spellEnd"/>
      <w:r w:rsidRPr="001669C2">
        <w:rPr>
          <w:rFonts w:ascii="Times New Roman" w:eastAsia="Times New Roman" w:hAnsi="Times New Roman" w:cs="Times New Roman"/>
          <w:color w:val="000000"/>
          <w:lang w:val="pt-BR"/>
        </w:rPr>
        <w:t xml:space="preserve"> </w:t>
      </w:r>
      <w:proofErr w:type="spellStart"/>
      <w:r w:rsidRPr="001669C2">
        <w:rPr>
          <w:rFonts w:ascii="Times New Roman" w:eastAsia="Times New Roman" w:hAnsi="Times New Roman" w:cs="Times New Roman"/>
          <w:color w:val="000000"/>
          <w:lang w:val="pt-BR"/>
        </w:rPr>
        <w:t>Napimoga</w:t>
      </w:r>
      <w:proofErr w:type="spellEnd"/>
      <w:r w:rsidRPr="001669C2">
        <w:rPr>
          <w:rFonts w:ascii="Times New Roman" w:eastAsia="Times New Roman" w:hAnsi="Times New Roman" w:cs="Times New Roman"/>
          <w:color w:val="000000"/>
          <w:lang w:val="pt-BR"/>
        </w:rPr>
        <w:t xml:space="preserve"> M.H. (2022) Assessment </w:t>
      </w:r>
      <w:proofErr w:type="spellStart"/>
      <w:r w:rsidRPr="001669C2">
        <w:rPr>
          <w:rFonts w:ascii="Times New Roman" w:eastAsia="Times New Roman" w:hAnsi="Times New Roman" w:cs="Times New Roman"/>
          <w:color w:val="000000"/>
          <w:lang w:val="pt-BR"/>
        </w:rPr>
        <w:t>of</w:t>
      </w:r>
      <w:proofErr w:type="spellEnd"/>
      <w:r w:rsidRPr="001669C2">
        <w:rPr>
          <w:rFonts w:ascii="Times New Roman" w:eastAsia="Times New Roman" w:hAnsi="Times New Roman" w:cs="Times New Roman"/>
          <w:color w:val="000000"/>
          <w:lang w:val="pt-BR"/>
        </w:rPr>
        <w:t xml:space="preserve"> </w:t>
      </w:r>
      <w:proofErr w:type="spellStart"/>
      <w:r w:rsidRPr="001669C2">
        <w:rPr>
          <w:rFonts w:ascii="Times New Roman" w:eastAsia="Times New Roman" w:hAnsi="Times New Roman" w:cs="Times New Roman"/>
          <w:color w:val="000000"/>
          <w:lang w:val="pt-BR"/>
        </w:rPr>
        <w:t>the</w:t>
      </w:r>
      <w:proofErr w:type="spellEnd"/>
      <w:r w:rsidRPr="001669C2">
        <w:rPr>
          <w:rFonts w:ascii="Times New Roman" w:eastAsia="Times New Roman" w:hAnsi="Times New Roman" w:cs="Times New Roman"/>
          <w:color w:val="000000"/>
          <w:lang w:val="pt-BR"/>
        </w:rPr>
        <w:t xml:space="preserve"> </w:t>
      </w:r>
      <w:proofErr w:type="spellStart"/>
      <w:r w:rsidRPr="001669C2">
        <w:rPr>
          <w:rFonts w:ascii="Times New Roman" w:eastAsia="Times New Roman" w:hAnsi="Times New Roman" w:cs="Times New Roman"/>
          <w:color w:val="000000"/>
          <w:lang w:val="pt-BR"/>
        </w:rPr>
        <w:t>Brazilian</w:t>
      </w:r>
      <w:proofErr w:type="spellEnd"/>
      <w:r w:rsidRPr="001669C2">
        <w:rPr>
          <w:rFonts w:ascii="Times New Roman" w:eastAsia="Times New Roman" w:hAnsi="Times New Roman" w:cs="Times New Roman"/>
          <w:color w:val="000000"/>
          <w:lang w:val="pt-BR"/>
        </w:rPr>
        <w:t xml:space="preserve"> </w:t>
      </w:r>
      <w:proofErr w:type="spellStart"/>
      <w:r w:rsidRPr="001669C2">
        <w:rPr>
          <w:rFonts w:ascii="Times New Roman" w:eastAsia="Times New Roman" w:hAnsi="Times New Roman" w:cs="Times New Roman"/>
          <w:color w:val="000000"/>
          <w:lang w:val="pt-BR"/>
        </w:rPr>
        <w:t>postgraduate</w:t>
      </w:r>
      <w:proofErr w:type="spellEnd"/>
      <w:r w:rsidRPr="001669C2">
        <w:rPr>
          <w:rFonts w:ascii="Times New Roman" w:eastAsia="Times New Roman" w:hAnsi="Times New Roman" w:cs="Times New Roman"/>
          <w:color w:val="000000"/>
          <w:lang w:val="pt-BR"/>
        </w:rPr>
        <w:t xml:space="preserve"> </w:t>
      </w:r>
      <w:proofErr w:type="spellStart"/>
      <w:r w:rsidRPr="001669C2">
        <w:rPr>
          <w:rFonts w:ascii="Times New Roman" w:eastAsia="Times New Roman" w:hAnsi="Times New Roman" w:cs="Times New Roman"/>
          <w:color w:val="000000"/>
          <w:lang w:val="pt-BR"/>
        </w:rPr>
        <w:t>evaluation</w:t>
      </w:r>
      <w:proofErr w:type="spellEnd"/>
      <w:r w:rsidRPr="001669C2">
        <w:rPr>
          <w:rFonts w:ascii="Times New Roman" w:eastAsia="Times New Roman" w:hAnsi="Times New Roman" w:cs="Times New Roman"/>
          <w:color w:val="000000"/>
          <w:lang w:val="pt-BR"/>
        </w:rPr>
        <w:t xml:space="preserve"> system. </w:t>
      </w:r>
      <w:r w:rsidRPr="00A365D4">
        <w:rPr>
          <w:rFonts w:ascii="Times New Roman" w:eastAsia="Times New Roman" w:hAnsi="Times New Roman" w:cs="Times New Roman"/>
          <w:i/>
          <w:iCs/>
          <w:color w:val="000000"/>
        </w:rPr>
        <w:t>Front. E</w:t>
      </w:r>
      <w:proofErr w:type="spellStart"/>
      <w:r w:rsidRPr="00A365D4">
        <w:rPr>
          <w:rFonts w:ascii="Times New Roman" w:eastAsia="Times New Roman" w:hAnsi="Times New Roman" w:cs="Times New Roman"/>
          <w:i/>
          <w:iCs/>
          <w:color w:val="000000"/>
        </w:rPr>
        <w:t>duc</w:t>
      </w:r>
      <w:proofErr w:type="spellEnd"/>
      <w:r w:rsidRPr="00A365D4">
        <w:rPr>
          <w:rFonts w:ascii="Times New Roman" w:eastAsia="Times New Roman" w:hAnsi="Times New Roman" w:cs="Times New Roman"/>
          <w:i/>
          <w:iCs/>
          <w:color w:val="000000"/>
        </w:rPr>
        <w:t xml:space="preserve">. </w:t>
      </w:r>
      <w:r w:rsidRPr="00A365D4">
        <w:rPr>
          <w:rFonts w:ascii="Times New Roman" w:eastAsia="Times New Roman" w:hAnsi="Times New Roman" w:cs="Times New Roman"/>
          <w:color w:val="000000"/>
        </w:rPr>
        <w:t xml:space="preserve">7:1036108. </w:t>
      </w:r>
      <w:hyperlink r:id="rId18" w:history="1">
        <w:r w:rsidRPr="004257BD">
          <w:rPr>
            <w:rStyle w:val="Hipervnculo"/>
            <w:rFonts w:ascii="Times New Roman" w:eastAsia="Times New Roman" w:hAnsi="Times New Roman" w:cs="Times New Roman"/>
          </w:rPr>
          <w:t>https://doi.org/10.3389/feduc.2022.1036108</w:t>
        </w:r>
      </w:hyperlink>
    </w:p>
    <w:p w14:paraId="27518B53" w14:textId="77777777" w:rsidR="001669C2" w:rsidRPr="00A365D4" w:rsidRDefault="001669C2" w:rsidP="004257BD">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color w:val="222222"/>
          <w:highlight w:val="white"/>
        </w:rPr>
        <w:t xml:space="preserve">Ocampo-Gómez, E., Jiménez-García, S., &amp; Palacios-Ramírez, L. (2020). El investigador fragmentado: conflictos y tensiones derivados de la diversificación de su carga laboral. </w:t>
      </w:r>
      <w:r w:rsidRPr="00A365D4">
        <w:rPr>
          <w:rFonts w:ascii="Times New Roman" w:eastAsia="Times New Roman" w:hAnsi="Times New Roman" w:cs="Times New Roman"/>
          <w:i/>
          <w:iCs/>
          <w:color w:val="222222"/>
          <w:highlight w:val="white"/>
        </w:rPr>
        <w:t>Revista iberoamericana de educación superior</w:t>
      </w:r>
      <w:r w:rsidRPr="00A365D4">
        <w:rPr>
          <w:rFonts w:ascii="Times New Roman" w:eastAsia="Times New Roman" w:hAnsi="Times New Roman" w:cs="Times New Roman"/>
          <w:color w:val="222222"/>
          <w:highlight w:val="white"/>
        </w:rPr>
        <w:t xml:space="preserve">, </w:t>
      </w:r>
      <w:r w:rsidRPr="00A365D4">
        <w:rPr>
          <w:rFonts w:ascii="Times New Roman" w:eastAsia="Times New Roman" w:hAnsi="Times New Roman" w:cs="Times New Roman"/>
          <w:i/>
          <w:iCs/>
          <w:color w:val="222222"/>
          <w:highlight w:val="white"/>
        </w:rPr>
        <w:t>11</w:t>
      </w:r>
      <w:r w:rsidRPr="00A365D4">
        <w:rPr>
          <w:rFonts w:ascii="Times New Roman" w:eastAsia="Times New Roman" w:hAnsi="Times New Roman" w:cs="Times New Roman"/>
          <w:color w:val="222222"/>
          <w:highlight w:val="white"/>
        </w:rPr>
        <w:t>(30), 41-56.</w:t>
      </w:r>
      <w:r w:rsidRPr="00A365D4">
        <w:rPr>
          <w:rFonts w:ascii="Times New Roman" w:eastAsia="Times New Roman" w:hAnsi="Times New Roman" w:cs="Times New Roman"/>
        </w:rPr>
        <w:t xml:space="preserve"> </w:t>
      </w:r>
    </w:p>
    <w:p w14:paraId="7E5AB8CE" w14:textId="77777777" w:rsidR="001669C2" w:rsidRPr="00A365D4" w:rsidRDefault="001669C2" w:rsidP="004257BD">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Prati, M. (2024). </w:t>
      </w:r>
      <w:r w:rsidRPr="00A365D4">
        <w:rPr>
          <w:rFonts w:ascii="Times New Roman" w:eastAsia="Times New Roman" w:hAnsi="Times New Roman" w:cs="Times New Roman"/>
          <w:i/>
          <w:iCs/>
        </w:rPr>
        <w:t>El Programa de Incentivos: Formulación, implementación y efectos de una política universitaria en la Argentina</w:t>
      </w:r>
      <w:r w:rsidRPr="00A365D4">
        <w:rPr>
          <w:rFonts w:ascii="Times New Roman" w:eastAsia="Times New Roman" w:hAnsi="Times New Roman" w:cs="Times New Roman"/>
        </w:rPr>
        <w:t xml:space="preserve">. Universidad Nacional de La Plata. Facultad de Humanidades y Ciencias de la Educación; </w:t>
      </w:r>
      <w:proofErr w:type="spellStart"/>
      <w:r w:rsidRPr="00A365D4">
        <w:rPr>
          <w:rFonts w:ascii="Times New Roman" w:eastAsia="Times New Roman" w:hAnsi="Times New Roman" w:cs="Times New Roman"/>
        </w:rPr>
        <w:t>IdIHCS</w:t>
      </w:r>
      <w:proofErr w:type="spellEnd"/>
      <w:r w:rsidRPr="00A365D4">
        <w:rPr>
          <w:rFonts w:ascii="Times New Roman" w:eastAsia="Times New Roman" w:hAnsi="Times New Roman" w:cs="Times New Roman"/>
        </w:rPr>
        <w:t>. (Estado y política(s); 3). </w:t>
      </w:r>
      <w:hyperlink r:id="rId19">
        <w:r w:rsidRPr="00A365D4">
          <w:rPr>
            <w:rFonts w:ascii="Times New Roman" w:eastAsia="Times New Roman" w:hAnsi="Times New Roman" w:cs="Times New Roman"/>
            <w:color w:val="0563C1"/>
            <w:u w:val="single"/>
          </w:rPr>
          <w:t>https://doi.org/10.24215/978-950-34-2459-9</w:t>
        </w:r>
      </w:hyperlink>
    </w:p>
    <w:p w14:paraId="7970A5E0" w14:textId="77777777" w:rsidR="001669C2" w:rsidRPr="001669C2" w:rsidRDefault="001669C2" w:rsidP="004257BD">
      <w:pPr>
        <w:spacing w:line="240" w:lineRule="auto"/>
        <w:jc w:val="both"/>
        <w:rPr>
          <w:rFonts w:ascii="Times New Roman" w:eastAsia="Times New Roman" w:hAnsi="Times New Roman" w:cs="Times New Roman"/>
          <w:color w:val="000000" w:themeColor="text1"/>
          <w:lang w:val="en-US"/>
        </w:rPr>
      </w:pPr>
      <w:r w:rsidRPr="004257BD">
        <w:rPr>
          <w:rFonts w:ascii="Times New Roman" w:eastAsia="Times New Roman" w:hAnsi="Times New Roman" w:cs="Times New Roman"/>
          <w:color w:val="000000" w:themeColor="text1"/>
        </w:rPr>
        <w:lastRenderedPageBreak/>
        <w:t xml:space="preserve">Sarthou, Nerina (2016a) “¿Que veinte años no es nada? Cambios y continuidades en los criterios de evaluación del Programa de Incentivos a Docentes-Investigadores en la universidad argentina (1994- 2014). </w:t>
      </w:r>
      <w:r w:rsidRPr="004257BD">
        <w:rPr>
          <w:rFonts w:ascii="Times New Roman" w:eastAsia="Times New Roman" w:hAnsi="Times New Roman" w:cs="Times New Roman"/>
          <w:i/>
          <w:iCs/>
          <w:color w:val="000000" w:themeColor="text1"/>
        </w:rPr>
        <w:t>Revista Ciencia, Tecnología y Sociedad</w:t>
      </w:r>
      <w:r w:rsidRPr="004257BD">
        <w:rPr>
          <w:rFonts w:ascii="Times New Roman" w:eastAsia="Times New Roman" w:hAnsi="Times New Roman" w:cs="Times New Roman"/>
          <w:color w:val="000000" w:themeColor="text1"/>
        </w:rPr>
        <w:t xml:space="preserve">, </w:t>
      </w:r>
      <w:r w:rsidRPr="004257BD">
        <w:rPr>
          <w:rFonts w:ascii="Times New Roman" w:eastAsia="Times New Roman" w:hAnsi="Times New Roman" w:cs="Times New Roman"/>
          <w:color w:val="000000" w:themeColor="text1"/>
        </w:rPr>
        <w:t>CTS, vol. 11, núm. 32, 85-110</w:t>
      </w:r>
      <w:r>
        <w:rPr>
          <w:rFonts w:ascii="Times New Roman" w:eastAsia="Times New Roman" w:hAnsi="Times New Roman" w:cs="Times New Roman"/>
          <w:color w:val="000000" w:themeColor="text1"/>
        </w:rPr>
        <w:t xml:space="preserve">. </w:t>
      </w:r>
      <w:hyperlink r:id="rId20" w:history="1">
        <w:r w:rsidRPr="001669C2">
          <w:rPr>
            <w:rStyle w:val="Hipervnculo"/>
            <w:rFonts w:ascii="Times New Roman" w:eastAsia="Times New Roman" w:hAnsi="Times New Roman" w:cs="Times New Roman"/>
            <w:lang w:val="en-US"/>
          </w:rPr>
          <w:t>https://doi.org/10.52712/issn.1850-0013-465</w:t>
        </w:r>
      </w:hyperlink>
    </w:p>
    <w:p w14:paraId="71988A11"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3A3A3A"/>
        </w:rPr>
      </w:pPr>
      <w:r w:rsidRPr="004257BD">
        <w:rPr>
          <w:rFonts w:ascii="Times New Roman" w:eastAsia="Times New Roman" w:hAnsi="Times New Roman" w:cs="Times New Roman"/>
          <w:color w:val="000000" w:themeColor="text1"/>
          <w:lang w:val="en-US"/>
        </w:rPr>
        <w:t xml:space="preserve">Sarthou, Nerina (2016b) “Twenty Years of Merit-Pay </w:t>
      </w:r>
      <w:proofErr w:type="spellStart"/>
      <w:r w:rsidRPr="004257BD">
        <w:rPr>
          <w:rFonts w:ascii="Times New Roman" w:eastAsia="Times New Roman" w:hAnsi="Times New Roman" w:cs="Times New Roman"/>
          <w:color w:val="000000" w:themeColor="text1"/>
          <w:lang w:val="en-US"/>
        </w:rPr>
        <w:t>Programme</w:t>
      </w:r>
      <w:proofErr w:type="spellEnd"/>
      <w:r w:rsidRPr="004257BD">
        <w:rPr>
          <w:rFonts w:ascii="Times New Roman" w:eastAsia="Times New Roman" w:hAnsi="Times New Roman" w:cs="Times New Roman"/>
          <w:color w:val="000000" w:themeColor="text1"/>
          <w:lang w:val="en-US"/>
        </w:rPr>
        <w:t xml:space="preserve"> in Argentinean Universities: Tracking Policy Change through Instrument Analysis”, Higher Education Policy, Volume 29, Issue 3, September 2016, 379-397. </w:t>
      </w:r>
      <w:hyperlink r:id="rId21">
        <w:r w:rsidRPr="00A365D4">
          <w:rPr>
            <w:rFonts w:ascii="Times New Roman" w:eastAsia="Times New Roman" w:hAnsi="Times New Roman" w:cs="Times New Roman"/>
            <w:color w:val="0563C1"/>
            <w:u w:val="single"/>
          </w:rPr>
          <w:t>https://doi.org/10.1057/s41307-016-0001-0</w:t>
        </w:r>
      </w:hyperlink>
    </w:p>
    <w:p w14:paraId="03F5AC95" w14:textId="77777777" w:rsidR="001669C2" w:rsidRPr="00A365D4" w:rsidRDefault="001669C2" w:rsidP="004257BD">
      <w:pPr>
        <w:spacing w:line="240" w:lineRule="auto"/>
        <w:jc w:val="both"/>
        <w:rPr>
          <w:rFonts w:ascii="Times New Roman" w:hAnsi="Times New Roman" w:cs="Times New Roman"/>
          <w:lang w:val="en-US"/>
        </w:rPr>
      </w:pPr>
      <w:r w:rsidRPr="00137E3A">
        <w:rPr>
          <w:rFonts w:ascii="Times New Roman" w:hAnsi="Times New Roman" w:cs="Times New Roman"/>
          <w:lang w:val="en-US"/>
        </w:rPr>
        <w:t xml:space="preserve">Schmid, H.-J. (Ed.). </w:t>
      </w:r>
      <w:r w:rsidRPr="00A365D4">
        <w:rPr>
          <w:rFonts w:ascii="Times New Roman" w:hAnsi="Times New Roman" w:cs="Times New Roman"/>
          <w:lang w:val="en-US"/>
        </w:rPr>
        <w:t>(2017). </w:t>
      </w:r>
      <w:r w:rsidRPr="00A365D4">
        <w:rPr>
          <w:rFonts w:ascii="Times New Roman" w:hAnsi="Times New Roman" w:cs="Times New Roman"/>
          <w:i/>
          <w:iCs/>
          <w:lang w:val="en-US"/>
        </w:rPr>
        <w:t>Entrenchment and the psychology of language learning: How we reorganize and adapt linguistic knowledge. </w:t>
      </w:r>
      <w:r w:rsidRPr="00A365D4">
        <w:rPr>
          <w:rFonts w:ascii="Times New Roman" w:hAnsi="Times New Roman" w:cs="Times New Roman"/>
          <w:lang w:val="en-US"/>
        </w:rPr>
        <w:t xml:space="preserve">American Psychological Association; De Gruyter Mouton. </w:t>
      </w:r>
      <w:hyperlink r:id="rId22" w:history="1">
        <w:r w:rsidRPr="00A365D4">
          <w:rPr>
            <w:rStyle w:val="Hipervnculo"/>
            <w:rFonts w:ascii="Times New Roman" w:hAnsi="Times New Roman" w:cs="Times New Roman"/>
            <w:lang w:val="en-US"/>
          </w:rPr>
          <w:t>https://doi.org/10.1037/15969-000</w:t>
        </w:r>
      </w:hyperlink>
    </w:p>
    <w:p w14:paraId="02EA9418" w14:textId="77777777" w:rsidR="001669C2" w:rsidRPr="00A365D4" w:rsidRDefault="001669C2" w:rsidP="004257BD">
      <w:pPr>
        <w:spacing w:line="240" w:lineRule="auto"/>
        <w:jc w:val="both"/>
        <w:rPr>
          <w:rFonts w:ascii="Times New Roman" w:eastAsia="Times New Roman" w:hAnsi="Times New Roman" w:cs="Times New Roman"/>
        </w:rPr>
      </w:pPr>
      <w:r w:rsidRPr="00A365D4">
        <w:rPr>
          <w:rFonts w:ascii="Times New Roman" w:eastAsia="Times New Roman" w:hAnsi="Times New Roman" w:cs="Times New Roman"/>
        </w:rPr>
        <w:t xml:space="preserve">Secretaría de Políticas Universitarias (2024). Anuario Estadísticas Universitarias Argentinas. Ministerio de Capital Humano, Secretaría de Educación. Recuperado de: </w:t>
      </w:r>
      <w:hyperlink r:id="rId23">
        <w:r w:rsidRPr="00A365D4">
          <w:rPr>
            <w:rFonts w:ascii="Times New Roman" w:eastAsia="Times New Roman" w:hAnsi="Times New Roman" w:cs="Times New Roman"/>
            <w:color w:val="1155CC"/>
            <w:u w:val="single"/>
          </w:rPr>
          <w:t>https://www.argentina.gob.ar/educacion/universidades/informacion/publicaciones/anuarios</w:t>
        </w:r>
      </w:hyperlink>
      <w:r w:rsidRPr="00A365D4">
        <w:rPr>
          <w:rFonts w:ascii="Times New Roman" w:eastAsia="Times New Roman" w:hAnsi="Times New Roman" w:cs="Times New Roman"/>
        </w:rPr>
        <w:t xml:space="preserve"> </w:t>
      </w:r>
    </w:p>
    <w:p w14:paraId="7C400687" w14:textId="77777777" w:rsidR="001669C2" w:rsidRPr="00A365D4" w:rsidRDefault="001669C2" w:rsidP="004257BD">
      <w:pPr>
        <w:spacing w:line="240" w:lineRule="auto"/>
        <w:jc w:val="both"/>
        <w:rPr>
          <w:rFonts w:ascii="Times New Roman" w:hAnsi="Times New Roman" w:cs="Times New Roman"/>
          <w:lang w:val="en-US"/>
        </w:rPr>
      </w:pPr>
      <w:r w:rsidRPr="00A365D4">
        <w:rPr>
          <w:rFonts w:ascii="Times New Roman" w:hAnsi="Times New Roman" w:cs="Times New Roman"/>
          <w:lang w:val="en-US"/>
        </w:rPr>
        <w:t xml:space="preserve">Stapley, A. (2018). </w:t>
      </w:r>
      <w:r w:rsidRPr="00A365D4">
        <w:rPr>
          <w:rFonts w:ascii="Times New Roman" w:hAnsi="Times New Roman" w:cs="Times New Roman"/>
        </w:rPr>
        <w:t>Liofilización. En J. A. Evans (Ed.), </w:t>
      </w:r>
      <w:r w:rsidRPr="00A365D4">
        <w:rPr>
          <w:rFonts w:ascii="Times New Roman" w:hAnsi="Times New Roman" w:cs="Times New Roman"/>
          <w:i/>
          <w:iCs/>
        </w:rPr>
        <w:t>Ciencia y tecnología de los alimentos congelados </w:t>
      </w:r>
      <w:r w:rsidRPr="00A365D4">
        <w:rPr>
          <w:rFonts w:ascii="Times New Roman" w:hAnsi="Times New Roman" w:cs="Times New Roman"/>
        </w:rPr>
        <w:t xml:space="preserve">(pp. 305-336). </w:t>
      </w:r>
      <w:proofErr w:type="spellStart"/>
      <w:r w:rsidRPr="00A365D4">
        <w:rPr>
          <w:rFonts w:ascii="Times New Roman" w:hAnsi="Times New Roman" w:cs="Times New Roman"/>
          <w:lang w:val="en-US"/>
        </w:rPr>
        <w:t>Acribia</w:t>
      </w:r>
      <w:proofErr w:type="spellEnd"/>
      <w:r w:rsidRPr="00A365D4">
        <w:rPr>
          <w:rFonts w:ascii="Times New Roman" w:hAnsi="Times New Roman" w:cs="Times New Roman"/>
          <w:lang w:val="en-US"/>
        </w:rPr>
        <w:t>.</w:t>
      </w:r>
    </w:p>
    <w:p w14:paraId="3F475086"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 xml:space="preserve">Vasen, F., Sarthou, N., Salles Filho, S., </w:t>
      </w:r>
      <w:proofErr w:type="spellStart"/>
      <w:r w:rsidRPr="00A365D4">
        <w:rPr>
          <w:rFonts w:ascii="Times New Roman" w:eastAsia="Times New Roman" w:hAnsi="Times New Roman" w:cs="Times New Roman"/>
          <w:color w:val="000000"/>
        </w:rPr>
        <w:t>Bin</w:t>
      </w:r>
      <w:proofErr w:type="spellEnd"/>
      <w:r w:rsidRPr="00A365D4">
        <w:rPr>
          <w:rFonts w:ascii="Times New Roman" w:eastAsia="Times New Roman" w:hAnsi="Times New Roman" w:cs="Times New Roman"/>
          <w:color w:val="000000"/>
        </w:rPr>
        <w:t xml:space="preserve">, A., Maldonado- Soto, J., Arango, A., Gras, N., </w:t>
      </w:r>
      <w:proofErr w:type="spellStart"/>
      <w:r w:rsidRPr="00A365D4">
        <w:rPr>
          <w:rFonts w:ascii="Times New Roman" w:eastAsia="Times New Roman" w:hAnsi="Times New Roman" w:cs="Times New Roman"/>
          <w:color w:val="000000"/>
        </w:rPr>
        <w:t>Vommaro</w:t>
      </w:r>
      <w:proofErr w:type="spellEnd"/>
      <w:r w:rsidRPr="00A365D4">
        <w:rPr>
          <w:rFonts w:ascii="Times New Roman" w:eastAsia="Times New Roman" w:hAnsi="Times New Roman" w:cs="Times New Roman"/>
          <w:color w:val="000000"/>
        </w:rPr>
        <w:t xml:space="preserve">, P. y Rovelli, L. (2025).  Mapeo de los sistemas nacionales de evaluación de la investigación financiada con fondos públicos en América Latina. Foro Latinoamericano de Evaluación Científica (FOLEC), CLACSO. </w:t>
      </w:r>
      <w:hyperlink r:id="rId24">
        <w:r w:rsidRPr="00A365D4">
          <w:rPr>
            <w:rFonts w:ascii="Times New Roman" w:eastAsia="Times New Roman" w:hAnsi="Times New Roman" w:cs="Times New Roman"/>
            <w:color w:val="000000"/>
            <w:u w:val="single"/>
          </w:rPr>
          <w:t>https://biblioteca-repositorio.clacso.edu.ar/bitstream/CLACSO/253347/1/Mapeo-sistemas-nacionales-evaluaci%c3%b3n.pdf</w:t>
        </w:r>
      </w:hyperlink>
    </w:p>
    <w:p w14:paraId="2DE8E93E"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lang w:val="en-US"/>
        </w:rPr>
      </w:pPr>
      <w:r w:rsidRPr="00A365D4">
        <w:rPr>
          <w:rFonts w:ascii="Times New Roman" w:eastAsia="Times New Roman" w:hAnsi="Times New Roman" w:cs="Times New Roman"/>
          <w:color w:val="000000"/>
          <w:lang w:val="en-US"/>
        </w:rPr>
        <w:t>Vasen, Federico (2025) A delicate balance: responsible evaluation, tenure review, and the pursuit of institutional innovation,</w:t>
      </w:r>
      <w:r w:rsidRPr="00A365D4">
        <w:rPr>
          <w:rFonts w:ascii="Times New Roman" w:eastAsia="Times New Roman" w:hAnsi="Times New Roman" w:cs="Times New Roman"/>
          <w:b/>
          <w:bCs/>
          <w:color w:val="000000"/>
          <w:lang w:val="en-US"/>
        </w:rPr>
        <w:t xml:space="preserve"> </w:t>
      </w:r>
      <w:r w:rsidRPr="00A365D4">
        <w:rPr>
          <w:rFonts w:ascii="Times New Roman" w:eastAsia="Times New Roman" w:hAnsi="Times New Roman" w:cs="Times New Roman"/>
          <w:i/>
          <w:iCs/>
          <w:color w:val="000000"/>
          <w:lang w:val="en-US"/>
        </w:rPr>
        <w:t>Science and Public Policy</w:t>
      </w:r>
      <w:r w:rsidRPr="00A365D4">
        <w:rPr>
          <w:rFonts w:ascii="Times New Roman" w:eastAsia="Times New Roman" w:hAnsi="Times New Roman" w:cs="Times New Roman"/>
          <w:color w:val="000000"/>
          <w:lang w:val="en-US"/>
        </w:rPr>
        <w:t>, Volume 52, Issue 4, August 2025, Pages 545–556, </w:t>
      </w:r>
      <w:hyperlink r:id="rId25">
        <w:r w:rsidRPr="00A365D4">
          <w:rPr>
            <w:rFonts w:ascii="Times New Roman" w:eastAsia="Times New Roman" w:hAnsi="Times New Roman" w:cs="Times New Roman"/>
            <w:color w:val="0563C1"/>
            <w:u w:val="single"/>
            <w:lang w:val="en-US"/>
          </w:rPr>
          <w:t>https://doi.org/10.1093/scipol/scaf003</w:t>
        </w:r>
      </w:hyperlink>
    </w:p>
    <w:p w14:paraId="5B48AAB7" w14:textId="77777777" w:rsidR="001669C2" w:rsidRPr="004257BD"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i/>
          <w:iCs/>
          <w:color w:val="0563C1"/>
          <w:u w:val="single"/>
        </w:rPr>
      </w:pPr>
      <w:r w:rsidRPr="00A365D4">
        <w:rPr>
          <w:rFonts w:ascii="Times New Roman" w:eastAsia="Times New Roman" w:hAnsi="Times New Roman" w:cs="Times New Roman"/>
          <w:i/>
          <w:iCs/>
          <w:color w:val="000000"/>
        </w:rPr>
        <w:t xml:space="preserve">Vélez Cuartas, G., &amp; Torres Arroyave, D. (2021). Perfiles latinoamericanos de instrumentos de política pública en investigación e innovación y el papel de los ODS. CLACSO. Disponible en </w:t>
      </w:r>
      <w:hyperlink r:id="rId26" w:history="1">
        <w:r w:rsidRPr="004E2DEB">
          <w:rPr>
            <w:rStyle w:val="Hipervnculo"/>
            <w:rFonts w:ascii="Times New Roman" w:eastAsia="Times New Roman" w:hAnsi="Times New Roman" w:cs="Times New Roman"/>
            <w:i/>
            <w:iCs/>
          </w:rPr>
          <w:t>https://bibliotecarepositorioclacso.edu.ar/ bitstream/</w:t>
        </w:r>
      </w:hyperlink>
      <w:r w:rsidRPr="004257BD">
        <w:rPr>
          <w:rFonts w:ascii="Times New Roman" w:eastAsia="Times New Roman" w:hAnsi="Times New Roman" w:cs="Times New Roman"/>
          <w:i/>
          <w:iCs/>
          <w:color w:val="0563C1"/>
          <w:u w:val="single"/>
        </w:rPr>
        <w:t>123456789/16929/1/Informe-IDRC-FOLEC-ESP.pdf</w:t>
      </w:r>
    </w:p>
    <w:p w14:paraId="0DCA1B5B" w14:textId="77777777" w:rsidR="001669C2" w:rsidRPr="00A365D4" w:rsidRDefault="001669C2" w:rsidP="004257BD">
      <w:pPr>
        <w:widowControl w:val="0"/>
        <w:pBdr>
          <w:top w:val="nil"/>
          <w:left w:val="nil"/>
          <w:bottom w:val="nil"/>
          <w:right w:val="nil"/>
          <w:between w:val="nil"/>
        </w:pBdr>
        <w:spacing w:line="240" w:lineRule="auto"/>
        <w:ind w:right="-144"/>
        <w:jc w:val="both"/>
        <w:rPr>
          <w:rFonts w:ascii="Times New Roman" w:eastAsia="Times New Roman" w:hAnsi="Times New Roman" w:cs="Times New Roman"/>
          <w:color w:val="000000"/>
        </w:rPr>
      </w:pPr>
      <w:r w:rsidRPr="00A365D4">
        <w:rPr>
          <w:rFonts w:ascii="Times New Roman" w:eastAsia="Times New Roman" w:hAnsi="Times New Roman" w:cs="Times New Roman"/>
          <w:color w:val="000000"/>
        </w:rPr>
        <w:t xml:space="preserve">Walker, V y Rodera, J. (2025) “La evaluación de la docencia universitaria en Argentina Estado de situación, contribuciones y recomendaciones para la formulación de políticas institucionales”, en Rovelli, L. y &amp; </w:t>
      </w:r>
      <w:proofErr w:type="spellStart"/>
      <w:r w:rsidRPr="00A365D4">
        <w:rPr>
          <w:rFonts w:ascii="Times New Roman" w:eastAsia="Times New Roman" w:hAnsi="Times New Roman" w:cs="Times New Roman"/>
          <w:color w:val="000000"/>
        </w:rPr>
        <w:t>Vommaro</w:t>
      </w:r>
      <w:proofErr w:type="spellEnd"/>
      <w:r w:rsidRPr="00A365D4">
        <w:rPr>
          <w:rFonts w:ascii="Times New Roman" w:eastAsia="Times New Roman" w:hAnsi="Times New Roman" w:cs="Times New Roman"/>
          <w:color w:val="000000"/>
        </w:rPr>
        <w:t xml:space="preserve">, P. </w:t>
      </w:r>
      <w:r w:rsidRPr="006C6EEF">
        <w:rPr>
          <w:rFonts w:ascii="Times New Roman" w:eastAsia="Times New Roman" w:hAnsi="Times New Roman" w:cs="Times New Roman"/>
          <w:i/>
          <w:iCs/>
          <w:color w:val="000000"/>
        </w:rPr>
        <w:t>Evaluación académica y científica en transición: Configuraciones institucionales, prácticas evaluativas y lineamientos de cambio en Argentina</w:t>
      </w:r>
      <w:r w:rsidRPr="00A365D4">
        <w:rPr>
          <w:rFonts w:ascii="Times New Roman" w:eastAsia="Times New Roman" w:hAnsi="Times New Roman" w:cs="Times New Roman"/>
          <w:color w:val="000000"/>
        </w:rPr>
        <w:t>, CLACSO, CABA, Argentina, 143-192.</w:t>
      </w:r>
    </w:p>
    <w:p w14:paraId="7E83515B" w14:textId="10429D74" w:rsidR="001923DC" w:rsidRPr="00A365D4" w:rsidRDefault="001669C2" w:rsidP="00B91EA6">
      <w:pPr>
        <w:widowControl w:val="0"/>
        <w:pBdr>
          <w:top w:val="nil"/>
          <w:left w:val="nil"/>
          <w:bottom w:val="nil"/>
          <w:right w:val="nil"/>
          <w:between w:val="nil"/>
        </w:pBdr>
        <w:spacing w:line="240" w:lineRule="auto"/>
        <w:ind w:right="-144"/>
        <w:jc w:val="both"/>
        <w:rPr>
          <w:rFonts w:ascii="Times New Roman" w:hAnsi="Times New Roman" w:cs="Times New Roman"/>
          <w:lang w:val="pt-BR"/>
        </w:rPr>
      </w:pPr>
      <w:r w:rsidRPr="00A365D4">
        <w:rPr>
          <w:rFonts w:ascii="Times New Roman" w:eastAsia="Times New Roman" w:hAnsi="Times New Roman" w:cs="Times New Roman"/>
          <w:color w:val="000000"/>
          <w:lang w:val="en-US"/>
        </w:rPr>
        <w:t xml:space="preserve">Wilsdon, J., Rushforth, A., Sivertsen, G., Bin, C., Fraser, C., Sarthou, N., </w:t>
      </w:r>
      <w:proofErr w:type="spellStart"/>
      <w:r w:rsidRPr="00A365D4">
        <w:rPr>
          <w:rFonts w:ascii="Times New Roman" w:eastAsia="Times New Roman" w:hAnsi="Times New Roman" w:cs="Times New Roman"/>
          <w:color w:val="000000"/>
          <w:lang w:val="en-US"/>
        </w:rPr>
        <w:t>Vasen</w:t>
      </w:r>
      <w:proofErr w:type="spellEnd"/>
      <w:r w:rsidRPr="00A365D4">
        <w:rPr>
          <w:rFonts w:ascii="Times New Roman" w:eastAsia="Times New Roman" w:hAnsi="Times New Roman" w:cs="Times New Roman"/>
          <w:color w:val="000000"/>
          <w:lang w:val="en-US"/>
        </w:rPr>
        <w:t xml:space="preserve"> F…, &amp; Zhang, L. (2025). A new typology of national research assessment systems: continuity and change in 13 countries. </w:t>
      </w:r>
      <w:r w:rsidRPr="00A365D4">
        <w:rPr>
          <w:rFonts w:ascii="Times New Roman" w:eastAsia="Times New Roman" w:hAnsi="Times New Roman" w:cs="Times New Roman"/>
          <w:i/>
          <w:iCs/>
          <w:color w:val="000000"/>
          <w:lang w:val="en-US"/>
        </w:rPr>
        <w:t>Working Paper #15. Research on Research Institute</w:t>
      </w:r>
      <w:r w:rsidRPr="00A365D4">
        <w:rPr>
          <w:rFonts w:ascii="Times New Roman" w:eastAsia="Times New Roman" w:hAnsi="Times New Roman" w:cs="Times New Roman"/>
          <w:color w:val="000000"/>
          <w:lang w:val="en-US"/>
        </w:rPr>
        <w:t xml:space="preserve">. </w:t>
      </w:r>
      <w:hyperlink r:id="rId27">
        <w:r w:rsidRPr="00A365D4">
          <w:rPr>
            <w:rFonts w:ascii="Times New Roman" w:eastAsia="Times New Roman" w:hAnsi="Times New Roman" w:cs="Times New Roman"/>
            <w:color w:val="000000"/>
            <w:u w:val="single"/>
            <w:lang w:val="en-US"/>
          </w:rPr>
          <w:t>https://doi.org/10.6084/m9.figshare.29041787.v4</w:t>
        </w:r>
      </w:hyperlink>
    </w:p>
    <w:sectPr w:rsidR="001923DC" w:rsidRPr="00A365D4" w:rsidSect="00701F64">
      <w:headerReference w:type="default" r:id="rId28"/>
      <w:footerReference w:type="default" r:id="rId2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6FA5" w14:textId="77777777" w:rsidR="00C24E81" w:rsidRPr="00BA642E" w:rsidRDefault="00C24E81" w:rsidP="00C802F5">
      <w:pPr>
        <w:spacing w:after="0" w:line="240" w:lineRule="auto"/>
      </w:pPr>
      <w:r w:rsidRPr="00BA642E">
        <w:separator/>
      </w:r>
    </w:p>
  </w:endnote>
  <w:endnote w:type="continuationSeparator" w:id="0">
    <w:p w14:paraId="353CEF8D" w14:textId="77777777" w:rsidR="00C24E81" w:rsidRPr="00BA642E" w:rsidRDefault="00C24E8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C349" w14:textId="77777777" w:rsidR="00C24E81" w:rsidRPr="00BA642E" w:rsidRDefault="00C24E81" w:rsidP="00C802F5">
      <w:pPr>
        <w:spacing w:after="0" w:line="240" w:lineRule="auto"/>
      </w:pPr>
      <w:r w:rsidRPr="00BA642E">
        <w:separator/>
      </w:r>
    </w:p>
  </w:footnote>
  <w:footnote w:type="continuationSeparator" w:id="0">
    <w:p w14:paraId="50327D7C" w14:textId="77777777" w:rsidR="00C24E81" w:rsidRPr="00BA642E" w:rsidRDefault="00C24E81" w:rsidP="00C802F5">
      <w:pPr>
        <w:spacing w:after="0" w:line="240" w:lineRule="auto"/>
      </w:pPr>
      <w:r w:rsidRPr="00BA642E">
        <w:continuationSeparator/>
      </w:r>
    </w:p>
  </w:footnote>
  <w:footnote w:id="1">
    <w:p w14:paraId="37A07ED5" w14:textId="77777777" w:rsidR="00604E70" w:rsidRPr="008664EB" w:rsidRDefault="00604E70" w:rsidP="00604E70">
      <w:pPr>
        <w:pBdr>
          <w:top w:val="nil"/>
          <w:left w:val="nil"/>
          <w:bottom w:val="nil"/>
          <w:right w:val="nil"/>
          <w:between w:val="nil"/>
        </w:pBdr>
        <w:spacing w:after="0" w:line="240" w:lineRule="auto"/>
        <w:jc w:val="both"/>
        <w:rPr>
          <w:rFonts w:ascii="Times New Roman" w:eastAsia="Arial" w:hAnsi="Times New Roman" w:cs="Times New Roman"/>
          <w:color w:val="000000"/>
          <w:sz w:val="20"/>
          <w:szCs w:val="20"/>
        </w:rPr>
      </w:pPr>
      <w:r w:rsidRPr="008664EB">
        <w:rPr>
          <w:rFonts w:ascii="Times New Roman" w:hAnsi="Times New Roman" w:cs="Times New Roman"/>
          <w:sz w:val="20"/>
          <w:szCs w:val="20"/>
          <w:vertAlign w:val="superscript"/>
        </w:rPr>
        <w:footnoteRef/>
      </w:r>
      <w:r w:rsidRPr="008664EB">
        <w:rPr>
          <w:rFonts w:ascii="Times New Roman" w:eastAsia="Arial" w:hAnsi="Times New Roman" w:cs="Times New Roman"/>
          <w:color w:val="000000"/>
          <w:sz w:val="20"/>
          <w:szCs w:val="20"/>
        </w:rPr>
        <w:t xml:space="preserve"> La </w:t>
      </w:r>
      <w:proofErr w:type="spellStart"/>
      <w:r w:rsidRPr="008664EB">
        <w:rPr>
          <w:rFonts w:ascii="Times New Roman" w:eastAsia="Arial" w:hAnsi="Times New Roman" w:cs="Times New Roman"/>
          <w:color w:val="000000"/>
          <w:sz w:val="20"/>
          <w:szCs w:val="20"/>
        </w:rPr>
        <w:t>CICyT</w:t>
      </w:r>
      <w:proofErr w:type="spellEnd"/>
      <w:r w:rsidRPr="008664EB">
        <w:rPr>
          <w:rFonts w:ascii="Times New Roman" w:eastAsia="Arial" w:hAnsi="Times New Roman" w:cs="Times New Roman"/>
          <w:color w:val="000000"/>
          <w:sz w:val="20"/>
          <w:szCs w:val="20"/>
        </w:rPr>
        <w:t xml:space="preserve"> no representa un SNCI porque no cumple con el requisito de complementariedad, es decir, las evaluaciones se enmarcan dentro de un empleo formal, no son un complemento.</w:t>
      </w:r>
    </w:p>
  </w:footnote>
  <w:footnote w:id="2">
    <w:p w14:paraId="6C4442F4" w14:textId="77777777" w:rsidR="00604E70" w:rsidRPr="008664EB" w:rsidRDefault="00604E70" w:rsidP="00604E70">
      <w:pPr>
        <w:widowControl w:val="0"/>
        <w:tabs>
          <w:tab w:val="left" w:pos="357"/>
        </w:tabs>
        <w:spacing w:after="0" w:line="240" w:lineRule="auto"/>
        <w:jc w:val="both"/>
        <w:rPr>
          <w:rFonts w:ascii="Times New Roman" w:eastAsia="Arial" w:hAnsi="Times New Roman" w:cs="Times New Roman"/>
          <w:sz w:val="20"/>
          <w:szCs w:val="20"/>
        </w:rPr>
      </w:pPr>
      <w:r w:rsidRPr="008664EB">
        <w:rPr>
          <w:rFonts w:ascii="Times New Roman" w:hAnsi="Times New Roman" w:cs="Times New Roman"/>
          <w:sz w:val="20"/>
          <w:szCs w:val="20"/>
          <w:vertAlign w:val="superscript"/>
        </w:rPr>
        <w:footnoteRef/>
      </w:r>
      <w:r w:rsidRPr="008664EB">
        <w:rPr>
          <w:rFonts w:ascii="Times New Roman" w:eastAsia="Arial" w:hAnsi="Times New Roman" w:cs="Times New Roman"/>
          <w:sz w:val="20"/>
          <w:szCs w:val="20"/>
        </w:rPr>
        <w:t xml:space="preserve">Las opciones eran ocho de los 11 </w:t>
      </w:r>
      <w:proofErr w:type="spellStart"/>
      <w:r w:rsidRPr="008664EB">
        <w:rPr>
          <w:rFonts w:ascii="Times New Roman" w:eastAsia="Arial" w:hAnsi="Times New Roman" w:cs="Times New Roman"/>
          <w:sz w:val="20"/>
          <w:szCs w:val="20"/>
        </w:rPr>
        <w:t>items</w:t>
      </w:r>
      <w:proofErr w:type="spellEnd"/>
      <w:r w:rsidRPr="008664EB">
        <w:rPr>
          <w:rFonts w:ascii="Times New Roman" w:eastAsia="Arial" w:hAnsi="Times New Roman" w:cs="Times New Roman"/>
          <w:sz w:val="20"/>
          <w:szCs w:val="20"/>
        </w:rPr>
        <w:t xml:space="preserve"> de la grilla. No se incluyeron Formación académica, Docencia e Investigación Científica y/o en Artes y Desarrollo Tecnológico, ya que son ítems que se traducen fácilmente a un puntaje según un cálculo estandarizado, por ejemplo, en Formación académica, poseer un Doctorado equivale a 200 puntos.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880"/>
    <w:multiLevelType w:val="hybridMultilevel"/>
    <w:tmpl w:val="5554E8B8"/>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4576F66"/>
    <w:multiLevelType w:val="multilevel"/>
    <w:tmpl w:val="2C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1A8594C"/>
    <w:multiLevelType w:val="multilevel"/>
    <w:tmpl w:val="0F36F5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AB5365"/>
    <w:multiLevelType w:val="hybridMultilevel"/>
    <w:tmpl w:val="F14CA18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7236D09"/>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78B064E"/>
    <w:multiLevelType w:val="hybridMultilevel"/>
    <w:tmpl w:val="1F16170C"/>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90076BE"/>
    <w:multiLevelType w:val="hybridMultilevel"/>
    <w:tmpl w:val="5CEC32A6"/>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4000891"/>
    <w:multiLevelType w:val="hybridMultilevel"/>
    <w:tmpl w:val="B55E472A"/>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8872D2D"/>
    <w:multiLevelType w:val="multilevel"/>
    <w:tmpl w:val="2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24B5D3E"/>
    <w:multiLevelType w:val="hybridMultilevel"/>
    <w:tmpl w:val="AF4C82AC"/>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A374424"/>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D294143"/>
    <w:multiLevelType w:val="multilevel"/>
    <w:tmpl w:val="DD802992"/>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0CD5803"/>
    <w:multiLevelType w:val="multilevel"/>
    <w:tmpl w:val="2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AE3DFE"/>
    <w:multiLevelType w:val="hybridMultilevel"/>
    <w:tmpl w:val="A454CA4A"/>
    <w:lvl w:ilvl="0" w:tplc="2C0A0013">
      <w:start w:val="1"/>
      <w:numFmt w:val="upperRoman"/>
      <w:lvlText w:val="%1."/>
      <w:lvlJc w:val="right"/>
      <w:pPr>
        <w:ind w:left="720" w:hanging="360"/>
      </w:pPr>
    </w:lvl>
    <w:lvl w:ilvl="1" w:tplc="9FB2082C">
      <w:start w:val="1"/>
      <w:numFmt w:val="lowerLetter"/>
      <w:lvlText w:val="%2."/>
      <w:lvlJc w:val="left"/>
      <w:pPr>
        <w:ind w:left="1440" w:hanging="360"/>
      </w:pPr>
      <w:rPr>
        <w:b/>
        <w:bCs/>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332640442">
    <w:abstractNumId w:val="2"/>
  </w:num>
  <w:num w:numId="2" w16cid:durableId="642004898">
    <w:abstractNumId w:val="3"/>
  </w:num>
  <w:num w:numId="3" w16cid:durableId="454376444">
    <w:abstractNumId w:val="13"/>
  </w:num>
  <w:num w:numId="4" w16cid:durableId="1970355035">
    <w:abstractNumId w:val="10"/>
  </w:num>
  <w:num w:numId="5" w16cid:durableId="1911844015">
    <w:abstractNumId w:val="4"/>
  </w:num>
  <w:num w:numId="6" w16cid:durableId="1058170138">
    <w:abstractNumId w:val="11"/>
  </w:num>
  <w:num w:numId="7" w16cid:durableId="480074826">
    <w:abstractNumId w:val="8"/>
  </w:num>
  <w:num w:numId="8" w16cid:durableId="2104983325">
    <w:abstractNumId w:val="12"/>
  </w:num>
  <w:num w:numId="9" w16cid:durableId="1108046031">
    <w:abstractNumId w:val="1"/>
  </w:num>
  <w:num w:numId="10" w16cid:durableId="1562980182">
    <w:abstractNumId w:val="7"/>
  </w:num>
  <w:num w:numId="11" w16cid:durableId="778993650">
    <w:abstractNumId w:val="6"/>
  </w:num>
  <w:num w:numId="12" w16cid:durableId="1844707340">
    <w:abstractNumId w:val="0"/>
  </w:num>
  <w:num w:numId="13" w16cid:durableId="1275284125">
    <w:abstractNumId w:val="5"/>
  </w:num>
  <w:num w:numId="14" w16cid:durableId="1905793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571F4"/>
    <w:rsid w:val="000959AB"/>
    <w:rsid w:val="000B3AB9"/>
    <w:rsid w:val="000E6654"/>
    <w:rsid w:val="00137E3A"/>
    <w:rsid w:val="00157BD9"/>
    <w:rsid w:val="001669C2"/>
    <w:rsid w:val="001816D6"/>
    <w:rsid w:val="00185F5E"/>
    <w:rsid w:val="001923DC"/>
    <w:rsid w:val="001F19CD"/>
    <w:rsid w:val="001F7CF5"/>
    <w:rsid w:val="002327C3"/>
    <w:rsid w:val="0026713A"/>
    <w:rsid w:val="00272374"/>
    <w:rsid w:val="00312392"/>
    <w:rsid w:val="00313878"/>
    <w:rsid w:val="0035709B"/>
    <w:rsid w:val="00364098"/>
    <w:rsid w:val="003D6EDB"/>
    <w:rsid w:val="004040C0"/>
    <w:rsid w:val="004257BD"/>
    <w:rsid w:val="00437E9C"/>
    <w:rsid w:val="004710CF"/>
    <w:rsid w:val="004C3209"/>
    <w:rsid w:val="00550766"/>
    <w:rsid w:val="00580ABA"/>
    <w:rsid w:val="00585E1E"/>
    <w:rsid w:val="005A657E"/>
    <w:rsid w:val="005D45D5"/>
    <w:rsid w:val="005F3B2E"/>
    <w:rsid w:val="005F736A"/>
    <w:rsid w:val="00604E70"/>
    <w:rsid w:val="00613774"/>
    <w:rsid w:val="0067512F"/>
    <w:rsid w:val="006C3A59"/>
    <w:rsid w:val="006C6EEF"/>
    <w:rsid w:val="00701F64"/>
    <w:rsid w:val="0070470B"/>
    <w:rsid w:val="0073125D"/>
    <w:rsid w:val="007B5B5F"/>
    <w:rsid w:val="007D233B"/>
    <w:rsid w:val="0085070B"/>
    <w:rsid w:val="00884585"/>
    <w:rsid w:val="009175CC"/>
    <w:rsid w:val="00987E19"/>
    <w:rsid w:val="009A7FC6"/>
    <w:rsid w:val="009C0AEE"/>
    <w:rsid w:val="009D4B69"/>
    <w:rsid w:val="00A17247"/>
    <w:rsid w:val="00A365D4"/>
    <w:rsid w:val="00AA0AB2"/>
    <w:rsid w:val="00B56493"/>
    <w:rsid w:val="00B91EA6"/>
    <w:rsid w:val="00BA642E"/>
    <w:rsid w:val="00BC236F"/>
    <w:rsid w:val="00BD1CB1"/>
    <w:rsid w:val="00C24E81"/>
    <w:rsid w:val="00C3275B"/>
    <w:rsid w:val="00C62CAD"/>
    <w:rsid w:val="00C73151"/>
    <w:rsid w:val="00C802F5"/>
    <w:rsid w:val="00C96B2C"/>
    <w:rsid w:val="00CC04C1"/>
    <w:rsid w:val="00CC57F3"/>
    <w:rsid w:val="00D27459"/>
    <w:rsid w:val="00D80321"/>
    <w:rsid w:val="00D843EC"/>
    <w:rsid w:val="00D857B6"/>
    <w:rsid w:val="00DA4DA2"/>
    <w:rsid w:val="00DA5099"/>
    <w:rsid w:val="00DD2917"/>
    <w:rsid w:val="00E859A0"/>
    <w:rsid w:val="00F4773E"/>
    <w:rsid w:val="00FC6D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yperlink" Target="https://doi.org/10.3389/feduc.2022.1036108" TargetMode="External"/><Relationship Id="rId26" Type="http://schemas.openxmlformats.org/officeDocument/2006/relationships/hyperlink" Target="https://bibliotecarepositorioclacso.edu.ar/%20bitstream/" TargetMode="External"/><Relationship Id="rId3" Type="http://schemas.openxmlformats.org/officeDocument/2006/relationships/styles" Target="styles.xml"/><Relationship Id="rId21" Type="http://schemas.openxmlformats.org/officeDocument/2006/relationships/hyperlink" Target="https://doi.org/10.1057/s41307-016-0001-0"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biblioteca-repositorio.clacso.edu.ar/bitstream/CLACSO/168954/1/%20Formas-evalucion-propuestas.pdf" TargetMode="External"/><Relationship Id="rId25" Type="http://schemas.openxmlformats.org/officeDocument/2006/relationships/hyperlink" Target="https://doi.org/10.1093/scipol/scaf003" TargetMode="External"/><Relationship Id="rId2" Type="http://schemas.openxmlformats.org/officeDocument/2006/relationships/numbering" Target="numbering.xml"/><Relationship Id="rId16" Type="http://schemas.openxmlformats.org/officeDocument/2006/relationships/hyperlink" Target="https://doi.org/10.48160/18517072re61.906" TargetMode="External"/><Relationship Id="rId20" Type="http://schemas.openxmlformats.org/officeDocument/2006/relationships/hyperlink" Target="https://doi.org/10.52712/issn.1850-0013-46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biblioteca-repositorio.clacso.edu.ar/bitstream/CLACSO/253347/1/Mapeo-sistemas-nacionales-evaluaci%c3%b3n.pdf"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www.argentina.gob.ar/educacion/universidades/informacion/publicaciones/anuarios"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doi.org/10.24215/978-950-34-2459-9"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14/relationships/chartEx" Target="charts/chartEx1.xml"/><Relationship Id="rId14" Type="http://schemas.openxmlformats.org/officeDocument/2006/relationships/chart" Target="charts/chart5.xml"/><Relationship Id="rId22" Type="http://schemas.openxmlformats.org/officeDocument/2006/relationships/hyperlink" Target="https://doi.org/10.1037/15969-000" TargetMode="External"/><Relationship Id="rId27" Type="http://schemas.openxmlformats.org/officeDocument/2006/relationships/hyperlink" Target="https://doi.org/10.6084/m9.figshare.29041787.v4"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erina\Documents\2026\RESULTADOS%20GENERALES(Recuperado%20autom&#225;ticamen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erina\Documents\2025\Base%20de%20datos%20PROCADI%20d&#237;a%20de%20evaluaci&#243;n.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erina\Documents\2025\Base%20de%20datos%20PROCADI%20d&#237;a%20de%20evaluaci&#243;n.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erina\Documents\2025\Base%20de%20datos%20PROCADI%20d&#237;a%20de%20evaluaci&#243;n.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erina\Documents\2025\Base%20de%20datos%20PROCADI%20d&#237;a%20de%20evaluaci&#243;n.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erina\Documents\2025\Base%20de%20datos%20PROCADI%20d&#237;a%20de%20evaluaci&#243;n.xlsx" TargetMode="External"/><Relationship Id="rId2" Type="http://schemas.microsoft.com/office/2011/relationships/chartColorStyle" Target="colors7.xml"/><Relationship Id="rId1" Type="http://schemas.microsoft.com/office/2011/relationships/chartStyle" Target="style7.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Nerina\Documents\2026\RESULTADOS%20GENERALES(Recuperado%20autom&#225;ticamen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Gráfico 1: Distibución de categorías PROCADI por área del conocimiento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AR"/>
        </a:p>
      </c:txPr>
    </c:title>
    <c:autoTitleDeleted val="0"/>
    <c:plotArea>
      <c:layout/>
      <c:barChart>
        <c:barDir val="bar"/>
        <c:grouping val="clustered"/>
        <c:varyColors val="0"/>
        <c:ser>
          <c:idx val="0"/>
          <c:order val="0"/>
          <c:tx>
            <c:strRef>
              <c:f>Hoja1!$F$28</c:f>
              <c:strCache>
                <c:ptCount val="1"/>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mn-cs"/>
                  </a:defRPr>
                </a:pPr>
                <a:endParaRPr lang="es-A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Hoja1!$E$29:$E$35</c:f>
              <c:strCache>
                <c:ptCount val="7"/>
                <c:pt idx="0">
                  <c:v>Artes</c:v>
                </c:pt>
                <c:pt idx="1">
                  <c:v>Ciencias Naturales y Exactas</c:v>
                </c:pt>
                <c:pt idx="2">
                  <c:v>Ciencias Médicas y de la Salud</c:v>
                </c:pt>
                <c:pt idx="3">
                  <c:v>Ingenierías y Tecnologías</c:v>
                </c:pt>
                <c:pt idx="4">
                  <c:v>Ciencias Agrícolas y del Ambiente</c:v>
                </c:pt>
                <c:pt idx="5">
                  <c:v>Ciencias Sociales y Comunicación</c:v>
                </c:pt>
                <c:pt idx="6">
                  <c:v>Humanidades y Educación</c:v>
                </c:pt>
              </c:strCache>
            </c:strRef>
          </c:cat>
          <c:val>
            <c:numRef>
              <c:f>Hoja1!$F$29:$F$35</c:f>
              <c:numCache>
                <c:formatCode>General</c:formatCode>
                <c:ptCount val="7"/>
                <c:pt idx="0">
                  <c:v>6.88</c:v>
                </c:pt>
                <c:pt idx="1">
                  <c:v>13.77</c:v>
                </c:pt>
                <c:pt idx="2">
                  <c:v>12.86</c:v>
                </c:pt>
                <c:pt idx="3">
                  <c:v>12.6</c:v>
                </c:pt>
                <c:pt idx="4">
                  <c:v>15.32</c:v>
                </c:pt>
                <c:pt idx="5">
                  <c:v>18.7</c:v>
                </c:pt>
                <c:pt idx="6">
                  <c:v>19.87</c:v>
                </c:pt>
              </c:numCache>
            </c:numRef>
          </c:val>
          <c:extLst>
            <c:ext xmlns:c16="http://schemas.microsoft.com/office/drawing/2014/chart" uri="{C3380CC4-5D6E-409C-BE32-E72D297353CC}">
              <c16:uniqueId val="{00000000-6557-49E5-9D44-A90B3030D0A2}"/>
            </c:ext>
          </c:extLst>
        </c:ser>
        <c:dLbls>
          <c:dLblPos val="inEnd"/>
          <c:showLegendKey val="0"/>
          <c:showVal val="1"/>
          <c:showCatName val="0"/>
          <c:showSerName val="0"/>
          <c:showPercent val="0"/>
          <c:showBubbleSize val="0"/>
        </c:dLbls>
        <c:gapWidth val="65"/>
        <c:axId val="548762272"/>
        <c:axId val="548764072"/>
      </c:barChart>
      <c:catAx>
        <c:axId val="5487622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Times New Roman" panose="02020603050405020304" pitchFamily="18" charset="0"/>
                <a:ea typeface="+mn-ea"/>
                <a:cs typeface="+mn-cs"/>
              </a:defRPr>
            </a:pPr>
            <a:endParaRPr lang="es-AR"/>
          </a:p>
        </c:txPr>
        <c:crossAx val="548764072"/>
        <c:crosses val="autoZero"/>
        <c:auto val="1"/>
        <c:lblAlgn val="ctr"/>
        <c:lblOffset val="100"/>
        <c:noMultiLvlLbl val="0"/>
      </c:catAx>
      <c:valAx>
        <c:axId val="54876407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mn-cs"/>
              </a:defRPr>
            </a:pPr>
            <a:endParaRPr lang="es-AR"/>
          </a:p>
        </c:txPr>
        <c:crossAx val="548762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AR"/>
              <a:t>Gráfico 3 ¿Cuáles son las actividades que le resultaron más difíciles de ponderar objetivamente? %</a:t>
            </a:r>
          </a:p>
        </c:rich>
      </c:tx>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AR"/>
        </a:p>
      </c:txPr>
    </c:title>
    <c:autoTitleDeleted val="0"/>
    <c:plotArea>
      <c:layout/>
      <c:barChart>
        <c:barDir val="bar"/>
        <c:grouping val="clustered"/>
        <c:varyColors val="0"/>
        <c:ser>
          <c:idx val="0"/>
          <c:order val="0"/>
          <c:spPr>
            <a:solidFill>
              <a:srgbClr val="92D050"/>
            </a:solidFill>
            <a:ln>
              <a:noFill/>
            </a:ln>
            <a:effectLst>
              <a:outerShdw blurRad="50800" dist="12700" dir="5400000" sx="10000" sy="10000" algn="ctr" rotWithShape="0">
                <a:srgbClr val="000000">
                  <a:alpha val="43137"/>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'actividad más dificil de ponder'!$A$3:$A$8</c:f>
              <c:strCache>
                <c:ptCount val="6"/>
                <c:pt idx="0">
                  <c:v>Actividades y Producción Científica</c:v>
                </c:pt>
                <c:pt idx="1">
                  <c:v>Evaluación de trayectorias y actividades</c:v>
                </c:pt>
                <c:pt idx="2">
                  <c:v>Actividades y Producción en Docencia</c:v>
                </c:pt>
                <c:pt idx="3">
                  <c:v>Transferencias de conocimiento y demás</c:v>
                </c:pt>
                <c:pt idx="4">
                  <c:v>Extensión universitaria</c:v>
                </c:pt>
                <c:pt idx="5">
                  <c:v>Comunicación Pública de la Ciencia</c:v>
                </c:pt>
              </c:strCache>
            </c:strRef>
          </c:cat>
          <c:val>
            <c:numRef>
              <c:f>'actividad más dificil de ponder'!$C$3:$C$8</c:f>
              <c:numCache>
                <c:formatCode>0%</c:formatCode>
                <c:ptCount val="6"/>
                <c:pt idx="0">
                  <c:v>8.3333333333333329E-2</c:v>
                </c:pt>
                <c:pt idx="1">
                  <c:v>8.3333333333333329E-2</c:v>
                </c:pt>
                <c:pt idx="2">
                  <c:v>0.33333333333333331</c:v>
                </c:pt>
                <c:pt idx="3">
                  <c:v>0.41666666666666669</c:v>
                </c:pt>
                <c:pt idx="4">
                  <c:v>0.75</c:v>
                </c:pt>
                <c:pt idx="5">
                  <c:v>0.79166666666666663</c:v>
                </c:pt>
              </c:numCache>
            </c:numRef>
          </c:val>
          <c:extLst>
            <c:ext xmlns:c16="http://schemas.microsoft.com/office/drawing/2014/chart" uri="{C3380CC4-5D6E-409C-BE32-E72D297353CC}">
              <c16:uniqueId val="{00000000-FE86-4EB8-B1B3-7F4BD6B7B3F4}"/>
            </c:ext>
          </c:extLst>
        </c:ser>
        <c:dLbls>
          <c:dLblPos val="outEnd"/>
          <c:showLegendKey val="0"/>
          <c:showVal val="1"/>
          <c:showCatName val="0"/>
          <c:showSerName val="0"/>
          <c:showPercent val="0"/>
          <c:showBubbleSize val="0"/>
        </c:dLbls>
        <c:gapWidth val="182"/>
        <c:axId val="653948288"/>
        <c:axId val="653942528"/>
      </c:barChart>
      <c:catAx>
        <c:axId val="65394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AR"/>
          </a:p>
        </c:txPr>
        <c:crossAx val="653942528"/>
        <c:crosses val="autoZero"/>
        <c:auto val="1"/>
        <c:lblAlgn val="ctr"/>
        <c:lblOffset val="100"/>
        <c:noMultiLvlLbl val="0"/>
      </c:catAx>
      <c:valAx>
        <c:axId val="65394252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3948288"/>
        <c:crosses val="autoZero"/>
        <c:crossBetween val="between"/>
      </c:valAx>
      <c:spPr>
        <a:noFill/>
        <a:ln>
          <a:noFill/>
        </a:ln>
        <a:effectLst/>
      </c:spPr>
    </c:plotArea>
    <c:plotVisOnly val="1"/>
    <c:dispBlanksAs val="gap"/>
    <c:showDLblsOverMax val="0"/>
  </c:chart>
  <c:spPr>
    <a:solidFill>
      <a:schemeClr val="bg1"/>
    </a:solidFill>
    <a:ln w="0" cap="flat" cmpd="sng" algn="ctr">
      <a:solidFill>
        <a:schemeClr val="tx1">
          <a:lumMod val="50000"/>
          <a:lumOff val="50000"/>
        </a:schemeClr>
      </a:solidFill>
      <a:round/>
    </a:ln>
    <a:effectLst/>
  </c:spPr>
  <c:txPr>
    <a:bodyPr/>
    <a:lstStyle/>
    <a:p>
      <a:pPr>
        <a:defRPr sz="900" b="1">
          <a:solidFill>
            <a:sysClr val="windowText" lastClr="000000"/>
          </a:solidFill>
          <a:latin typeface="Times New Roman" panose="02020603050405020304" pitchFamily="18" charset="0"/>
          <a:cs typeface="Times New Roman" panose="02020603050405020304" pitchFamily="18" charset="0"/>
        </a:defRPr>
      </a:pPr>
      <a:endParaRPr lang="es-A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AR" sz="1000" b="1">
                <a:solidFill>
                  <a:schemeClr val="tx1"/>
                </a:solidFill>
              </a:rPr>
              <a:t>Gráfico 4 ¿A que le atribuye la dificultad en la evaluación de ciertas actividades u productos? % </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title>
    <c:autoTitleDeleted val="0"/>
    <c:plotArea>
      <c:layout>
        <c:manualLayout>
          <c:layoutTarget val="inner"/>
          <c:xMode val="edge"/>
          <c:yMode val="edge"/>
          <c:x val="0.50302799650043739"/>
          <c:y val="0.25083333333333335"/>
          <c:w val="0.40252755905511811"/>
          <c:h val="0.63485045138588458"/>
        </c:manualLayout>
      </c:layout>
      <c:barChart>
        <c:barDir val="bar"/>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 que le atribuye la dificultad'!$A$4:$A$7</c:f>
              <c:strCache>
                <c:ptCount val="4"/>
                <c:pt idx="0">
                  <c:v>A los criterios de evaluación establecidos en la grilla</c:v>
                </c:pt>
                <c:pt idx="1">
                  <c:v>A la diversidad de trayectorias</c:v>
                </c:pt>
                <c:pt idx="2">
                  <c:v>Otro</c:v>
                </c:pt>
                <c:pt idx="3">
                  <c:v>A la información disponible en la postulación</c:v>
                </c:pt>
              </c:strCache>
            </c:strRef>
          </c:cat>
          <c:val>
            <c:numRef>
              <c:f>'a que le atribuye la dificultad'!$C$4:$C$7</c:f>
              <c:numCache>
                <c:formatCode>0%</c:formatCode>
                <c:ptCount val="4"/>
                <c:pt idx="0">
                  <c:v>0.16666666666666666</c:v>
                </c:pt>
                <c:pt idx="1">
                  <c:v>0.16666666666666666</c:v>
                </c:pt>
                <c:pt idx="2">
                  <c:v>0.33333333333333331</c:v>
                </c:pt>
                <c:pt idx="3">
                  <c:v>0.75</c:v>
                </c:pt>
              </c:numCache>
            </c:numRef>
          </c:val>
          <c:extLst>
            <c:ext xmlns:c16="http://schemas.microsoft.com/office/drawing/2014/chart" uri="{C3380CC4-5D6E-409C-BE32-E72D297353CC}">
              <c16:uniqueId val="{00000000-5ED1-48B9-9CAB-127CD4CCBE84}"/>
            </c:ext>
          </c:extLst>
        </c:ser>
        <c:dLbls>
          <c:showLegendKey val="0"/>
          <c:showVal val="0"/>
          <c:showCatName val="0"/>
          <c:showSerName val="0"/>
          <c:showPercent val="0"/>
          <c:showBubbleSize val="0"/>
        </c:dLbls>
        <c:gapWidth val="182"/>
        <c:axId val="671491664"/>
        <c:axId val="671494544"/>
      </c:barChart>
      <c:catAx>
        <c:axId val="671491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crossAx val="671494544"/>
        <c:crosses val="autoZero"/>
        <c:auto val="1"/>
        <c:lblAlgn val="ctr"/>
        <c:lblOffset val="100"/>
        <c:noMultiLvlLbl val="0"/>
      </c:catAx>
      <c:valAx>
        <c:axId val="67149454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71491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latin typeface="Times New Roman" panose="02020603050405020304" pitchFamily="18" charset="0"/>
          <a:cs typeface="Times New Roman" panose="02020603050405020304" pitchFamily="18" charset="0"/>
        </a:defRPr>
      </a:pPr>
      <a:endParaRPr lang="es-A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AR"/>
              <a:t>Gráfico 5 ¿Con qué frecuencia se sintió obligado/a por la grilla a otorgar puntaje a antecedentes que, a su criterio, tienen poco valor? %</a:t>
            </a:r>
          </a:p>
        </c:rich>
      </c:tx>
      <c:overlay val="0"/>
      <c:spPr>
        <a:noFill/>
        <a:ln>
          <a:noFill/>
        </a:ln>
        <a:effectLst/>
      </c:spPr>
      <c:txPr>
        <a:bodyPr rot="0" spcFirstLastPara="1" vertOverflow="ellipsis" vert="horz" wrap="square" anchor="ctr" anchorCtr="1"/>
        <a:lstStyle/>
        <a:p>
          <a:pPr>
            <a:defRPr sz="108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AR"/>
        </a:p>
      </c:txPr>
    </c:title>
    <c:autoTitleDeleted val="0"/>
    <c:plotArea>
      <c:layout/>
      <c:barChart>
        <c:barDir val="bar"/>
        <c:grouping val="clustered"/>
        <c:varyColors val="0"/>
        <c:ser>
          <c:idx val="0"/>
          <c:order val="0"/>
          <c:spPr>
            <a:solidFill>
              <a:schemeClr val="bg2">
                <a:lumMod val="75000"/>
              </a:schemeClr>
            </a:solidFill>
            <a:ln w="0">
              <a:solidFill>
                <a:schemeClr val="tx1">
                  <a:lumMod val="15000"/>
                  <a:lumOff val="85000"/>
                </a:schemeClr>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 que frecuencia se sintió ob'!$A$10:$A$14</c:f>
              <c:strCache>
                <c:ptCount val="5"/>
                <c:pt idx="0">
                  <c:v>Muy frecuentemente</c:v>
                </c:pt>
                <c:pt idx="1">
                  <c:v>Nunca</c:v>
                </c:pt>
                <c:pt idx="2">
                  <c:v>Frecuentemente</c:v>
                </c:pt>
                <c:pt idx="3">
                  <c:v>Rara vez</c:v>
                </c:pt>
                <c:pt idx="4">
                  <c:v>Ocasionalmente</c:v>
                </c:pt>
              </c:strCache>
            </c:strRef>
          </c:cat>
          <c:val>
            <c:numRef>
              <c:f>'con que frecuencia se sintió ob'!$B$10:$B$14</c:f>
              <c:numCache>
                <c:formatCode>0%</c:formatCode>
                <c:ptCount val="5"/>
                <c:pt idx="0">
                  <c:v>4.1666666666666664E-2</c:v>
                </c:pt>
                <c:pt idx="1">
                  <c:v>0.125</c:v>
                </c:pt>
                <c:pt idx="2">
                  <c:v>0.58333333333333337</c:v>
                </c:pt>
                <c:pt idx="3">
                  <c:v>0.20833333333333334</c:v>
                </c:pt>
                <c:pt idx="4">
                  <c:v>4.1666666666666664E-2</c:v>
                </c:pt>
              </c:numCache>
            </c:numRef>
          </c:val>
          <c:extLst>
            <c:ext xmlns:c16="http://schemas.microsoft.com/office/drawing/2014/chart" uri="{C3380CC4-5D6E-409C-BE32-E72D297353CC}">
              <c16:uniqueId val="{00000000-48FD-4BD6-81FF-304D7673A5A9}"/>
            </c:ext>
          </c:extLst>
        </c:ser>
        <c:dLbls>
          <c:dLblPos val="outEnd"/>
          <c:showLegendKey val="0"/>
          <c:showVal val="1"/>
          <c:showCatName val="0"/>
          <c:showSerName val="0"/>
          <c:showPercent val="0"/>
          <c:showBubbleSize val="0"/>
        </c:dLbls>
        <c:gapWidth val="182"/>
        <c:axId val="645102216"/>
        <c:axId val="645097896"/>
      </c:barChart>
      <c:catAx>
        <c:axId val="645102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crossAx val="645097896"/>
        <c:crosses val="autoZero"/>
        <c:auto val="1"/>
        <c:lblAlgn val="ctr"/>
        <c:lblOffset val="100"/>
        <c:noMultiLvlLbl val="0"/>
      </c:catAx>
      <c:valAx>
        <c:axId val="64509789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45102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Times New Roman" panose="02020603050405020304" pitchFamily="18" charset="0"/>
          <a:cs typeface="Times New Roman" panose="02020603050405020304" pitchFamily="18" charset="0"/>
        </a:defRPr>
      </a:pPr>
      <a:endParaRPr lang="es-A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AR"/>
              <a:t>Gráfico 6 En caso de existir tensiones entre la Grila y su criterio ¿cómo las resolvió?%</a:t>
            </a:r>
          </a:p>
        </c:rich>
      </c:tx>
      <c:overlay val="0"/>
      <c:spPr>
        <a:noFill/>
        <a:ln>
          <a:noFill/>
        </a:ln>
        <a:effectLst/>
      </c:spPr>
      <c:txPr>
        <a:bodyPr rot="0" spcFirstLastPara="1" vertOverflow="ellipsis" vert="horz" wrap="square" anchor="ctr" anchorCtr="1"/>
        <a:lstStyle/>
        <a:p>
          <a:pPr algn="ctr" rtl="0">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AR"/>
        </a:p>
      </c:txPr>
    </c:title>
    <c:autoTitleDeleted val="0"/>
    <c:plotArea>
      <c:layout>
        <c:manualLayout>
          <c:layoutTarget val="inner"/>
          <c:xMode val="edge"/>
          <c:yMode val="edge"/>
          <c:x val="0.45404163189278751"/>
          <c:y val="0.27764319011567873"/>
          <c:w val="0.50294761541904032"/>
          <c:h val="0.65133180776170574"/>
        </c:manualLayout>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'Cómo las resolvió'!$A$3:$A$6</c:f>
              <c:strCache>
                <c:ptCount val="4"/>
                <c:pt idx="0">
                  <c:v>Otro</c:v>
                </c:pt>
                <c:pt idx="1">
                  <c:v>Me ajusté estrictamente a la normativa.</c:v>
                </c:pt>
                <c:pt idx="2">
                  <c:v>Prioricé mi criterio como experto.</c:v>
                </c:pt>
                <c:pt idx="3">
                  <c:v>Discutí con el resto de la comisión para consensuar.</c:v>
                </c:pt>
              </c:strCache>
            </c:strRef>
          </c:cat>
          <c:val>
            <c:numRef>
              <c:f>'Cómo las resolvió'!$C$3:$C$6</c:f>
              <c:numCache>
                <c:formatCode>0%</c:formatCode>
                <c:ptCount val="4"/>
                <c:pt idx="0">
                  <c:v>4.3478260869565216E-2</c:v>
                </c:pt>
                <c:pt idx="1">
                  <c:v>0.17391304347826086</c:v>
                </c:pt>
                <c:pt idx="2">
                  <c:v>0.34782608695652173</c:v>
                </c:pt>
                <c:pt idx="3">
                  <c:v>0.78260869565217395</c:v>
                </c:pt>
              </c:numCache>
            </c:numRef>
          </c:val>
          <c:extLst>
            <c:ext xmlns:c16="http://schemas.microsoft.com/office/drawing/2014/chart" uri="{C3380CC4-5D6E-409C-BE32-E72D297353CC}">
              <c16:uniqueId val="{00000000-81F3-449A-BED1-F46116ED47B5}"/>
            </c:ext>
          </c:extLst>
        </c:ser>
        <c:dLbls>
          <c:showLegendKey val="0"/>
          <c:showVal val="0"/>
          <c:showCatName val="0"/>
          <c:showSerName val="0"/>
          <c:showPercent val="0"/>
          <c:showBubbleSize val="0"/>
        </c:dLbls>
        <c:gapWidth val="182"/>
        <c:axId val="474738344"/>
        <c:axId val="474735824"/>
      </c:barChart>
      <c:catAx>
        <c:axId val="474738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crossAx val="474735824"/>
        <c:crosses val="autoZero"/>
        <c:auto val="1"/>
        <c:lblAlgn val="ctr"/>
        <c:lblOffset val="100"/>
        <c:noMultiLvlLbl val="0"/>
      </c:catAx>
      <c:valAx>
        <c:axId val="47473582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74738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sz="1000" b="1">
          <a:solidFill>
            <a:schemeClr val="tx1"/>
          </a:solidFill>
          <a:latin typeface="Times New Roman" panose="02020603050405020304" pitchFamily="18" charset="0"/>
          <a:cs typeface="Times New Roman" panose="02020603050405020304" pitchFamily="18" charset="0"/>
        </a:defRPr>
      </a:pPr>
      <a:endParaRPr lang="es-A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AR" b="1"/>
              <a:t>Gráfico 7 Valoración de las condiciones y del funcionamiento de las comisiones evaluadoras del PROCADI</a:t>
            </a:r>
            <a:br>
              <a:rPr lang="es-AR" b="1"/>
            </a:br>
            <a:r>
              <a:rPr lang="es-AR" b="1"/>
              <a:t>(Distribución porcentual de respuestas, escala Likert 1–5)</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AR"/>
        </a:p>
      </c:txPr>
    </c:title>
    <c:autoTitleDeleted val="0"/>
    <c:plotArea>
      <c:layout/>
      <c:barChart>
        <c:barDir val="bar"/>
        <c:grouping val="stacked"/>
        <c:varyColors val="0"/>
        <c:ser>
          <c:idx val="0"/>
          <c:order val="0"/>
          <c:tx>
            <c:strRef>
              <c:f>' puntos y escala LIkert'!$B$18</c:f>
              <c:strCache>
                <c:ptCount val="1"/>
                <c:pt idx="0">
                  <c:v>Totalmente en desacuerdo</c:v>
                </c:pt>
              </c:strCache>
            </c:strRef>
          </c:tx>
          <c:spPr>
            <a:solidFill>
              <a:schemeClr val="accent6"/>
            </a:solidFill>
            <a:ln>
              <a:noFill/>
            </a:ln>
            <a:effectLst/>
          </c:spPr>
          <c:invertIfNegative val="0"/>
          <c:cat>
            <c:strRef>
              <c:f>' puntos y escala LIkert'!$A$19:$A$25</c:f>
              <c:strCache>
                <c:ptCount val="7"/>
                <c:pt idx="0">
                  <c:v>El funcionamiento colectivo de mi comisión evaluadora fue muy positivo.</c:v>
                </c:pt>
                <c:pt idx="1">
                  <c:v>Me sentí escuchado/a y valorado/a durante las discusiones de la comisión.</c:v>
                </c:pt>
                <c:pt idx="2">
                  <c:v>Sirvió mucho que la modalidad de evaluación sea presencial. </c:v>
                </c:pt>
                <c:pt idx="3">
                  <c:v>La carga de trabajo asignada fue razonable y manejable.</c:v>
                </c:pt>
                <c:pt idx="4">
                  <c:v>Las herramientas y materiales disponibles fueron adecuados para realizar las evaluaciones.</c:v>
                </c:pt>
                <c:pt idx="5">
                  <c:v>El tiempo disponible para evaluar cada caso fue suficiente</c:v>
                </c:pt>
                <c:pt idx="6">
                  <c:v>La pre-evaluación desde la Secretaría agilizó el proceso.</c:v>
                </c:pt>
              </c:strCache>
            </c:strRef>
          </c:cat>
          <c:val>
            <c:numRef>
              <c:f>' puntos y escala LIkert'!$B$19:$B$25</c:f>
              <c:numCache>
                <c:formatCode>0%</c:formatCode>
                <c:ptCount val="7"/>
                <c:pt idx="0">
                  <c:v>4.1666666666666699E-2</c:v>
                </c:pt>
                <c:pt idx="1">
                  <c:v>8.3333333333333329E-2</c:v>
                </c:pt>
                <c:pt idx="2">
                  <c:v>4.1666666666666664E-2</c:v>
                </c:pt>
                <c:pt idx="3">
                  <c:v>4.1666666666666664E-2</c:v>
                </c:pt>
                <c:pt idx="4">
                  <c:v>4.1666666666666664E-2</c:v>
                </c:pt>
                <c:pt idx="5">
                  <c:v>0</c:v>
                </c:pt>
                <c:pt idx="6">
                  <c:v>4.1666666666666664E-2</c:v>
                </c:pt>
              </c:numCache>
            </c:numRef>
          </c:val>
          <c:extLst>
            <c:ext xmlns:c16="http://schemas.microsoft.com/office/drawing/2014/chart" uri="{C3380CC4-5D6E-409C-BE32-E72D297353CC}">
              <c16:uniqueId val="{00000000-DEC9-4B5A-BB9B-66A689511039}"/>
            </c:ext>
          </c:extLst>
        </c:ser>
        <c:ser>
          <c:idx val="1"/>
          <c:order val="1"/>
          <c:tx>
            <c:strRef>
              <c:f>' puntos y escala LIkert'!$C$18</c:f>
              <c:strCache>
                <c:ptCount val="1"/>
                <c:pt idx="0">
                  <c:v>En desacuerdo</c:v>
                </c:pt>
              </c:strCache>
            </c:strRef>
          </c:tx>
          <c:spPr>
            <a:solidFill>
              <a:schemeClr val="accent5"/>
            </a:solidFill>
            <a:ln>
              <a:noFill/>
            </a:ln>
            <a:effectLst/>
          </c:spPr>
          <c:invertIfNegative val="0"/>
          <c:cat>
            <c:strRef>
              <c:f>' puntos y escala LIkert'!$A$19:$A$25</c:f>
              <c:strCache>
                <c:ptCount val="7"/>
                <c:pt idx="0">
                  <c:v>El funcionamiento colectivo de mi comisión evaluadora fue muy positivo.</c:v>
                </c:pt>
                <c:pt idx="1">
                  <c:v>Me sentí escuchado/a y valorado/a durante las discusiones de la comisión.</c:v>
                </c:pt>
                <c:pt idx="2">
                  <c:v>Sirvió mucho que la modalidad de evaluación sea presencial. </c:v>
                </c:pt>
                <c:pt idx="3">
                  <c:v>La carga de trabajo asignada fue razonable y manejable.</c:v>
                </c:pt>
                <c:pt idx="4">
                  <c:v>Las herramientas y materiales disponibles fueron adecuados para realizar las evaluaciones.</c:v>
                </c:pt>
                <c:pt idx="5">
                  <c:v>El tiempo disponible para evaluar cada caso fue suficiente</c:v>
                </c:pt>
                <c:pt idx="6">
                  <c:v>La pre-evaluación desde la Secretaría agilizó el proceso.</c:v>
                </c:pt>
              </c:strCache>
            </c:strRef>
          </c:cat>
          <c:val>
            <c:numRef>
              <c:f>' puntos y escala LIkert'!$C$19:$C$25</c:f>
              <c:numCache>
                <c:formatCode>0%</c:formatCode>
                <c:ptCount val="7"/>
                <c:pt idx="0">
                  <c:v>4.1666666666666664E-2</c:v>
                </c:pt>
                <c:pt idx="1">
                  <c:v>0</c:v>
                </c:pt>
                <c:pt idx="2">
                  <c:v>0</c:v>
                </c:pt>
                <c:pt idx="3">
                  <c:v>0</c:v>
                </c:pt>
                <c:pt idx="4">
                  <c:v>4.1666666666666664E-2</c:v>
                </c:pt>
                <c:pt idx="5">
                  <c:v>4.1666666666666664E-2</c:v>
                </c:pt>
                <c:pt idx="6">
                  <c:v>0</c:v>
                </c:pt>
              </c:numCache>
            </c:numRef>
          </c:val>
          <c:extLst>
            <c:ext xmlns:c16="http://schemas.microsoft.com/office/drawing/2014/chart" uri="{C3380CC4-5D6E-409C-BE32-E72D297353CC}">
              <c16:uniqueId val="{00000001-DEC9-4B5A-BB9B-66A689511039}"/>
            </c:ext>
          </c:extLst>
        </c:ser>
        <c:ser>
          <c:idx val="2"/>
          <c:order val="2"/>
          <c:tx>
            <c:strRef>
              <c:f>' puntos y escala LIkert'!$D$18</c:f>
              <c:strCache>
                <c:ptCount val="1"/>
                <c:pt idx="0">
                  <c:v>Ni de acuerdo ni en desacuerdo</c:v>
                </c:pt>
              </c:strCache>
            </c:strRef>
          </c:tx>
          <c:spPr>
            <a:solidFill>
              <a:schemeClr val="accent4"/>
            </a:solidFill>
            <a:ln>
              <a:noFill/>
            </a:ln>
            <a:effectLst/>
          </c:spPr>
          <c:invertIfNegative val="0"/>
          <c:cat>
            <c:strRef>
              <c:f>' puntos y escala LIkert'!$A$19:$A$25</c:f>
              <c:strCache>
                <c:ptCount val="7"/>
                <c:pt idx="0">
                  <c:v>El funcionamiento colectivo de mi comisión evaluadora fue muy positivo.</c:v>
                </c:pt>
                <c:pt idx="1">
                  <c:v>Me sentí escuchado/a y valorado/a durante las discusiones de la comisión.</c:v>
                </c:pt>
                <c:pt idx="2">
                  <c:v>Sirvió mucho que la modalidad de evaluación sea presencial. </c:v>
                </c:pt>
                <c:pt idx="3">
                  <c:v>La carga de trabajo asignada fue razonable y manejable.</c:v>
                </c:pt>
                <c:pt idx="4">
                  <c:v>Las herramientas y materiales disponibles fueron adecuados para realizar las evaluaciones.</c:v>
                </c:pt>
                <c:pt idx="5">
                  <c:v>El tiempo disponible para evaluar cada caso fue suficiente</c:v>
                </c:pt>
                <c:pt idx="6">
                  <c:v>La pre-evaluación desde la Secretaría agilizó el proceso.</c:v>
                </c:pt>
              </c:strCache>
            </c:strRef>
          </c:cat>
          <c:val>
            <c:numRef>
              <c:f>' puntos y escala LIkert'!$D$19:$D$25</c:f>
              <c:numCache>
                <c:formatCode>0%</c:formatCode>
                <c:ptCount val="7"/>
                <c:pt idx="0">
                  <c:v>0</c:v>
                </c:pt>
                <c:pt idx="1">
                  <c:v>0</c:v>
                </c:pt>
                <c:pt idx="2">
                  <c:v>4.1666666666666664E-2</c:v>
                </c:pt>
                <c:pt idx="3">
                  <c:v>4.1666666666666664E-2</c:v>
                </c:pt>
                <c:pt idx="4">
                  <c:v>0.125</c:v>
                </c:pt>
                <c:pt idx="5">
                  <c:v>8.3333333333333329E-2</c:v>
                </c:pt>
                <c:pt idx="6">
                  <c:v>0</c:v>
                </c:pt>
              </c:numCache>
            </c:numRef>
          </c:val>
          <c:extLst>
            <c:ext xmlns:c16="http://schemas.microsoft.com/office/drawing/2014/chart" uri="{C3380CC4-5D6E-409C-BE32-E72D297353CC}">
              <c16:uniqueId val="{00000002-DEC9-4B5A-BB9B-66A689511039}"/>
            </c:ext>
          </c:extLst>
        </c:ser>
        <c:ser>
          <c:idx val="3"/>
          <c:order val="3"/>
          <c:tx>
            <c:strRef>
              <c:f>' puntos y escala LIkert'!$E$18</c:f>
              <c:strCache>
                <c:ptCount val="1"/>
                <c:pt idx="0">
                  <c:v>De acuerdo</c:v>
                </c:pt>
              </c:strCache>
            </c:strRef>
          </c:tx>
          <c:spPr>
            <a:solidFill>
              <a:schemeClr val="accent6">
                <a:lumMod val="60000"/>
              </a:schemeClr>
            </a:solidFill>
            <a:ln>
              <a:noFill/>
            </a:ln>
            <a:effectLst/>
          </c:spPr>
          <c:invertIfNegative val="0"/>
          <c:cat>
            <c:strRef>
              <c:f>' puntos y escala LIkert'!$A$19:$A$25</c:f>
              <c:strCache>
                <c:ptCount val="7"/>
                <c:pt idx="0">
                  <c:v>El funcionamiento colectivo de mi comisión evaluadora fue muy positivo.</c:v>
                </c:pt>
                <c:pt idx="1">
                  <c:v>Me sentí escuchado/a y valorado/a durante las discusiones de la comisión.</c:v>
                </c:pt>
                <c:pt idx="2">
                  <c:v>Sirvió mucho que la modalidad de evaluación sea presencial. </c:v>
                </c:pt>
                <c:pt idx="3">
                  <c:v>La carga de trabajo asignada fue razonable y manejable.</c:v>
                </c:pt>
                <c:pt idx="4">
                  <c:v>Las herramientas y materiales disponibles fueron adecuados para realizar las evaluaciones.</c:v>
                </c:pt>
                <c:pt idx="5">
                  <c:v>El tiempo disponible para evaluar cada caso fue suficiente</c:v>
                </c:pt>
                <c:pt idx="6">
                  <c:v>La pre-evaluación desde la Secretaría agilizó el proceso.</c:v>
                </c:pt>
              </c:strCache>
            </c:strRef>
          </c:cat>
          <c:val>
            <c:numRef>
              <c:f>' puntos y escala LIkert'!$E$19:$E$25</c:f>
              <c:numCache>
                <c:formatCode>0%</c:formatCode>
                <c:ptCount val="7"/>
                <c:pt idx="0">
                  <c:v>4.1666666666666664E-2</c:v>
                </c:pt>
                <c:pt idx="1">
                  <c:v>4.1666666666666664E-2</c:v>
                </c:pt>
                <c:pt idx="2">
                  <c:v>4.1666666666666664E-2</c:v>
                </c:pt>
                <c:pt idx="3">
                  <c:v>0.125</c:v>
                </c:pt>
                <c:pt idx="4">
                  <c:v>0.125</c:v>
                </c:pt>
                <c:pt idx="5">
                  <c:v>0.125</c:v>
                </c:pt>
                <c:pt idx="6">
                  <c:v>8.3333333333333329E-2</c:v>
                </c:pt>
              </c:numCache>
            </c:numRef>
          </c:val>
          <c:extLst>
            <c:ext xmlns:c16="http://schemas.microsoft.com/office/drawing/2014/chart" uri="{C3380CC4-5D6E-409C-BE32-E72D297353CC}">
              <c16:uniqueId val="{00000003-DEC9-4B5A-BB9B-66A689511039}"/>
            </c:ext>
          </c:extLst>
        </c:ser>
        <c:ser>
          <c:idx val="4"/>
          <c:order val="4"/>
          <c:tx>
            <c:strRef>
              <c:f>' puntos y escala LIkert'!$F$18</c:f>
              <c:strCache>
                <c:ptCount val="1"/>
                <c:pt idx="0">
                  <c:v>Totalmente de acuerdo</c:v>
                </c:pt>
              </c:strCache>
            </c:strRef>
          </c:tx>
          <c:spPr>
            <a:solidFill>
              <a:schemeClr val="accent5">
                <a:lumMod val="60000"/>
              </a:schemeClr>
            </a:solidFill>
            <a:ln>
              <a:noFill/>
            </a:ln>
            <a:effectLst/>
          </c:spPr>
          <c:invertIfNegative val="0"/>
          <c:cat>
            <c:strRef>
              <c:f>' puntos y escala LIkert'!$A$19:$A$25</c:f>
              <c:strCache>
                <c:ptCount val="7"/>
                <c:pt idx="0">
                  <c:v>El funcionamiento colectivo de mi comisión evaluadora fue muy positivo.</c:v>
                </c:pt>
                <c:pt idx="1">
                  <c:v>Me sentí escuchado/a y valorado/a durante las discusiones de la comisión.</c:v>
                </c:pt>
                <c:pt idx="2">
                  <c:v>Sirvió mucho que la modalidad de evaluación sea presencial. </c:v>
                </c:pt>
                <c:pt idx="3">
                  <c:v>La carga de trabajo asignada fue razonable y manejable.</c:v>
                </c:pt>
                <c:pt idx="4">
                  <c:v>Las herramientas y materiales disponibles fueron adecuados para realizar las evaluaciones.</c:v>
                </c:pt>
                <c:pt idx="5">
                  <c:v>El tiempo disponible para evaluar cada caso fue suficiente</c:v>
                </c:pt>
                <c:pt idx="6">
                  <c:v>La pre-evaluación desde la Secretaría agilizó el proceso.</c:v>
                </c:pt>
              </c:strCache>
            </c:strRef>
          </c:cat>
          <c:val>
            <c:numRef>
              <c:f>' puntos y escala LIkert'!$F$19:$F$25</c:f>
              <c:numCache>
                <c:formatCode>0%</c:formatCode>
                <c:ptCount val="7"/>
                <c:pt idx="0">
                  <c:v>0.875</c:v>
                </c:pt>
                <c:pt idx="1">
                  <c:v>0.875</c:v>
                </c:pt>
                <c:pt idx="2">
                  <c:v>0.875</c:v>
                </c:pt>
                <c:pt idx="3">
                  <c:v>0.79166666666666663</c:v>
                </c:pt>
                <c:pt idx="4">
                  <c:v>0.66666666666666663</c:v>
                </c:pt>
                <c:pt idx="5">
                  <c:v>0.75</c:v>
                </c:pt>
                <c:pt idx="6">
                  <c:v>0.875</c:v>
                </c:pt>
              </c:numCache>
            </c:numRef>
          </c:val>
          <c:extLst>
            <c:ext xmlns:c16="http://schemas.microsoft.com/office/drawing/2014/chart" uri="{C3380CC4-5D6E-409C-BE32-E72D297353CC}">
              <c16:uniqueId val="{00000004-DEC9-4B5A-BB9B-66A689511039}"/>
            </c:ext>
          </c:extLst>
        </c:ser>
        <c:dLbls>
          <c:showLegendKey val="0"/>
          <c:showVal val="0"/>
          <c:showCatName val="0"/>
          <c:showSerName val="0"/>
          <c:showPercent val="0"/>
          <c:showBubbleSize val="0"/>
        </c:dLbls>
        <c:gapWidth val="150"/>
        <c:overlap val="100"/>
        <c:axId val="645097176"/>
        <c:axId val="645097536"/>
      </c:barChart>
      <c:catAx>
        <c:axId val="645097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crossAx val="645097536"/>
        <c:crosses val="autoZero"/>
        <c:auto val="1"/>
        <c:lblAlgn val="ctr"/>
        <c:lblOffset val="100"/>
        <c:noMultiLvlLbl val="0"/>
      </c:catAx>
      <c:valAx>
        <c:axId val="6450975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crossAx val="645097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s-AR"/>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'para MARIA TOTAL PRESENTACIONES'!$I$10:$I$14</cx:f>
        <cx:lvl ptCount="5">
          <cx:pt idx="0">I</cx:pt>
          <cx:pt idx="1">II</cx:pt>
          <cx:pt idx="2">III</cx:pt>
          <cx:pt idx="3">IV</cx:pt>
          <cx:pt idx="4">V</cx:pt>
        </cx:lvl>
      </cx:strDim>
      <cx:numDim type="val">
        <cx:f>'para MARIA TOTAL PRESENTACIONES'!$J$10:$J$14</cx:f>
        <cx:lvl ptCount="5" formatCode="General">
          <cx:pt idx="0">42</cx:pt>
          <cx:pt idx="1">102</cx:pt>
          <cx:pt idx="2">255</cx:pt>
          <cx:pt idx="3">228</cx:pt>
          <cx:pt idx="4">132</cx:pt>
        </cx:lvl>
      </cx:numDim>
    </cx:data>
  </cx:chartData>
  <cx:chart>
    <cx:title pos="t" align="ctr" overlay="0">
      <cx:tx>
        <cx:rich>
          <a:bodyPr spcFirstLastPara="1" vertOverflow="ellipsis" horzOverflow="overflow" wrap="square" lIns="0" tIns="0" rIns="0" bIns="0"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r>
              <a:rPr lang="es-AR" sz="1100" b="1" i="0" u="none" strike="noStrike" baseline="0">
                <a:solidFill>
                  <a:schemeClr val="tx1"/>
                </a:solidFill>
                <a:effectLst/>
                <a:latin typeface="Times New Roman" panose="02020603050405020304" pitchFamily="18" charset="0"/>
                <a:ea typeface="Arial"/>
                <a:cs typeface="Times New Roman" panose="02020603050405020304" pitchFamily="18" charset="0"/>
              </a:rPr>
              <a:t>Gráfico 2: Cantidad de categorías otorgadas al PROCADI 2025 </a:t>
            </a:r>
            <a:endParaRPr lang="es-ES" sz="1100" b="0" i="0" u="none" strike="noStrike" baseline="0">
              <a:solidFill>
                <a:schemeClr val="tx1"/>
              </a:solidFill>
              <a:latin typeface="Times New Roman" panose="02020603050405020304" pitchFamily="18" charset="0"/>
              <a:cs typeface="Times New Roman" panose="02020603050405020304" pitchFamily="18" charset="0"/>
            </a:endParaRPr>
          </a:p>
        </cx:rich>
      </cx:tx>
    </cx:title>
    <cx:plotArea>
      <cx:plotAreaRegion>
        <cx:series layoutId="funnel" uniqueId="{A7314824-06EE-45FF-BDD6-5E8E8C2084AD}">
          <cx:dataLabels>
            <cx:txPr>
              <a:bodyPr vertOverflow="overflow" horzOverflow="overflow" wrap="square" lIns="0" tIns="0" rIns="0" bIns="0"/>
              <a:lstStyle/>
              <a:p>
                <a:pPr algn="ctr" rtl="0">
                  <a:defRPr sz="11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AR" sz="1100">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txPr>
          <a:bodyPr vertOverflow="overflow" horzOverflow="overflow" wrap="square" lIns="0" tIns="0" rIns="0" bIns="0"/>
          <a:lstStyle/>
          <a:p>
            <a:pPr algn="ctr" rtl="0">
              <a:defRPr sz="1100" b="1" i="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AR" sz="1100" b="1">
              <a:solidFill>
                <a:schemeClr val="tx1"/>
              </a:solidFill>
              <a:latin typeface="Times New Roman" panose="02020603050405020304" pitchFamily="18" charset="0"/>
              <a:cs typeface="Times New Roman" panose="02020603050405020304" pitchFamily="18" charset="0"/>
            </a:endParaRPr>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E1087-962F-4F7F-B620-0BC02F2F9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20</Pages>
  <Words>8525</Words>
  <Characters>46891</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Nerina Sarthou</cp:lastModifiedBy>
  <cp:revision>17</cp:revision>
  <dcterms:created xsi:type="dcterms:W3CDTF">2026-07-09T22:13:00Z</dcterms:created>
  <dcterms:modified xsi:type="dcterms:W3CDTF">2026-07-10T11:20:00Z</dcterms:modified>
</cp:coreProperties>
</file>