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9479" w14:textId="3043BAB7" w:rsidR="005F3B2E" w:rsidRDefault="00E37FE3" w:rsidP="001923DC">
      <w:pPr>
        <w:jc w:val="center"/>
        <w:rPr>
          <w:rFonts w:ascii="Times New Roman" w:hAnsi="Times New Roman" w:cs="Times New Roman"/>
          <w:b/>
          <w:bCs/>
        </w:rPr>
      </w:pPr>
      <w:r w:rsidRPr="00E37FE3">
        <w:rPr>
          <w:rFonts w:ascii="Times New Roman" w:hAnsi="Times New Roman" w:cs="Times New Roman"/>
          <w:b/>
          <w:bCs/>
        </w:rPr>
        <w:t>Estrategias de profesionalización y calidad en investigación: hacia un sistema de indicadores en el CIRCOT</w:t>
      </w:r>
    </w:p>
    <w:p w14:paraId="477C2570" w14:textId="77777777" w:rsidR="00E84CAC" w:rsidRPr="00BA642E" w:rsidRDefault="00E84CAC" w:rsidP="001923DC">
      <w:pPr>
        <w:jc w:val="center"/>
        <w:rPr>
          <w:rFonts w:ascii="Times New Roman" w:hAnsi="Times New Roman" w:cs="Times New Roman"/>
        </w:rPr>
      </w:pPr>
    </w:p>
    <w:p w14:paraId="4E738780" w14:textId="49B17C0F" w:rsidR="005F3B2E" w:rsidRPr="00BA642E" w:rsidRDefault="006508B7" w:rsidP="005F3B2E">
      <w:pPr>
        <w:spacing w:after="0" w:line="240" w:lineRule="auto"/>
        <w:jc w:val="right"/>
        <w:rPr>
          <w:rFonts w:ascii="Times New Roman" w:hAnsi="Times New Roman" w:cs="Times New Roman"/>
        </w:rPr>
      </w:pPr>
      <w:r w:rsidRPr="006508B7">
        <w:rPr>
          <w:rFonts w:ascii="Times New Roman" w:hAnsi="Times New Roman" w:cs="Times New Roman"/>
        </w:rPr>
        <w:t>Diaz</w:t>
      </w:r>
      <w:r>
        <w:rPr>
          <w:rFonts w:ascii="Times New Roman" w:hAnsi="Times New Roman" w:cs="Times New Roman"/>
        </w:rPr>
        <w:t>,</w:t>
      </w:r>
      <w:r w:rsidRPr="006508B7">
        <w:rPr>
          <w:rFonts w:ascii="Times New Roman" w:hAnsi="Times New Roman" w:cs="Times New Roman"/>
        </w:rPr>
        <w:t xml:space="preserve"> Andrea </w:t>
      </w:r>
    </w:p>
    <w:p w14:paraId="6C2AECCA" w14:textId="72325ADB" w:rsidR="005F3B2E" w:rsidRPr="00BA642E" w:rsidRDefault="006508B7" w:rsidP="005F3B2E">
      <w:pPr>
        <w:spacing w:after="0" w:line="240" w:lineRule="auto"/>
        <w:jc w:val="right"/>
        <w:rPr>
          <w:rFonts w:ascii="Times New Roman" w:hAnsi="Times New Roman" w:cs="Times New Roman"/>
        </w:rPr>
      </w:pPr>
      <w:bookmarkStart w:id="0" w:name="_Hlk229476266"/>
      <w:r>
        <w:rPr>
          <w:rFonts w:ascii="Times New Roman" w:hAnsi="Times New Roman" w:cs="Times New Roman"/>
        </w:rPr>
        <w:t>FACULTAD DE INGENIERÍA- UNSJ</w:t>
      </w:r>
      <w:bookmarkEnd w:id="0"/>
    </w:p>
    <w:p w14:paraId="7D0026CD" w14:textId="4FBA18E7" w:rsidR="005F3B2E" w:rsidRPr="00BA642E" w:rsidRDefault="006508B7" w:rsidP="005F3B2E">
      <w:pPr>
        <w:spacing w:after="0" w:line="240" w:lineRule="auto"/>
        <w:jc w:val="right"/>
        <w:rPr>
          <w:rFonts w:ascii="Times New Roman" w:hAnsi="Times New Roman" w:cs="Times New Roman"/>
        </w:rPr>
      </w:pPr>
      <w:hyperlink r:id="rId7" w:history="1">
        <w:r w:rsidRPr="00AB1A35">
          <w:rPr>
            <w:rStyle w:val="Hipervnculo"/>
            <w:rFonts w:ascii="Times New Roman" w:hAnsi="Times New Roman" w:cs="Times New Roman"/>
          </w:rPr>
          <w:t>aanavadiaz87@gmail.com</w:t>
        </w:r>
      </w:hyperlink>
      <w:r>
        <w:rPr>
          <w:rFonts w:ascii="Times New Roman" w:hAnsi="Times New Roman" w:cs="Times New Roman"/>
        </w:rPr>
        <w:t xml:space="preserve"> </w:t>
      </w:r>
    </w:p>
    <w:p w14:paraId="1FA0F857" w14:textId="77777777" w:rsidR="005F3B2E" w:rsidRPr="00BA642E" w:rsidRDefault="005F3B2E" w:rsidP="005F3B2E">
      <w:pPr>
        <w:rPr>
          <w:rFonts w:ascii="Times New Roman" w:hAnsi="Times New Roman" w:cs="Times New Roman"/>
        </w:rPr>
      </w:pPr>
    </w:p>
    <w:p w14:paraId="1275A9C7" w14:textId="230DB9AC" w:rsidR="005F3B2E" w:rsidRPr="00BA642E" w:rsidRDefault="006508B7" w:rsidP="005F3B2E">
      <w:pPr>
        <w:spacing w:after="0" w:line="240" w:lineRule="auto"/>
        <w:jc w:val="right"/>
        <w:rPr>
          <w:rFonts w:ascii="Times New Roman" w:hAnsi="Times New Roman" w:cs="Times New Roman"/>
        </w:rPr>
      </w:pPr>
      <w:r w:rsidRPr="006508B7">
        <w:rPr>
          <w:rFonts w:ascii="Times New Roman" w:hAnsi="Times New Roman" w:cs="Times New Roman"/>
        </w:rPr>
        <w:t>Ridl</w:t>
      </w:r>
      <w:r>
        <w:rPr>
          <w:rFonts w:ascii="Times New Roman" w:hAnsi="Times New Roman" w:cs="Times New Roman"/>
        </w:rPr>
        <w:t>,</w:t>
      </w:r>
      <w:r w:rsidRPr="006508B7">
        <w:rPr>
          <w:rFonts w:ascii="Times New Roman" w:hAnsi="Times New Roman" w:cs="Times New Roman"/>
        </w:rPr>
        <w:t xml:space="preserve"> María Rosa </w:t>
      </w:r>
    </w:p>
    <w:p w14:paraId="498CB8DF" w14:textId="2F8A2C88" w:rsidR="006508B7" w:rsidRDefault="000352E1" w:rsidP="005F3B2E">
      <w:pPr>
        <w:spacing w:after="0" w:line="240" w:lineRule="auto"/>
        <w:jc w:val="right"/>
        <w:rPr>
          <w:rFonts w:ascii="Times New Roman" w:hAnsi="Times New Roman" w:cs="Times New Roman"/>
        </w:rPr>
      </w:pPr>
      <w:r>
        <w:rPr>
          <w:rFonts w:ascii="Times New Roman" w:hAnsi="Times New Roman" w:cs="Times New Roman"/>
        </w:rPr>
        <w:t xml:space="preserve">CIRCOT- </w:t>
      </w:r>
      <w:r w:rsidR="006508B7" w:rsidRPr="006508B7">
        <w:rPr>
          <w:rFonts w:ascii="Times New Roman" w:hAnsi="Times New Roman" w:cs="Times New Roman"/>
        </w:rPr>
        <w:t>FACULTAD DE INGENIERÍA- UNSJ</w:t>
      </w:r>
      <w:r w:rsidR="006508B7">
        <w:rPr>
          <w:rFonts w:ascii="Times New Roman" w:hAnsi="Times New Roman" w:cs="Times New Roman"/>
        </w:rPr>
        <w:t>, FADU- UBA</w:t>
      </w:r>
    </w:p>
    <w:p w14:paraId="640847CC" w14:textId="6B174639" w:rsidR="005F3B2E" w:rsidRDefault="006508B7" w:rsidP="005F3B2E">
      <w:pPr>
        <w:spacing w:after="0" w:line="240" w:lineRule="auto"/>
        <w:jc w:val="right"/>
        <w:rPr>
          <w:rFonts w:ascii="Times New Roman" w:hAnsi="Times New Roman" w:cs="Times New Roman"/>
        </w:rPr>
      </w:pPr>
      <w:hyperlink r:id="rId8" w:history="1">
        <w:r w:rsidRPr="00AB1A35">
          <w:rPr>
            <w:rStyle w:val="Hipervnculo"/>
            <w:rFonts w:ascii="Times New Roman" w:hAnsi="Times New Roman" w:cs="Times New Roman"/>
          </w:rPr>
          <w:t>maroridl@gmail.com</w:t>
        </w:r>
      </w:hyperlink>
    </w:p>
    <w:p w14:paraId="669B3E08" w14:textId="77777777" w:rsidR="006508B7" w:rsidRPr="00BA642E" w:rsidRDefault="006508B7" w:rsidP="005F3B2E">
      <w:pPr>
        <w:spacing w:after="0" w:line="240" w:lineRule="auto"/>
        <w:jc w:val="right"/>
        <w:rPr>
          <w:rFonts w:ascii="Times New Roman" w:hAnsi="Times New Roman" w:cs="Times New Roman"/>
        </w:rPr>
      </w:pPr>
    </w:p>
    <w:p w14:paraId="3F6986E9" w14:textId="2A7C8345"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6508B7">
        <w:rPr>
          <w:rFonts w:ascii="Times New Roman" w:hAnsi="Times New Roman" w:cs="Times New Roman"/>
        </w:rPr>
        <w:t>NAVAS, RAUL FRANCISCO</w:t>
      </w:r>
    </w:p>
    <w:p w14:paraId="0FD1CFD2" w14:textId="6CDB2942" w:rsidR="006508B7" w:rsidRDefault="000352E1" w:rsidP="005F3B2E">
      <w:pPr>
        <w:spacing w:after="0" w:line="240" w:lineRule="auto"/>
        <w:jc w:val="right"/>
        <w:rPr>
          <w:rFonts w:ascii="Times New Roman" w:hAnsi="Times New Roman" w:cs="Times New Roman"/>
        </w:rPr>
      </w:pPr>
      <w:r>
        <w:rPr>
          <w:rFonts w:ascii="Times New Roman" w:hAnsi="Times New Roman" w:cs="Times New Roman"/>
        </w:rPr>
        <w:t xml:space="preserve">CIRCOT- </w:t>
      </w:r>
      <w:r w:rsidR="006508B7" w:rsidRPr="006508B7">
        <w:rPr>
          <w:rFonts w:ascii="Times New Roman" w:hAnsi="Times New Roman" w:cs="Times New Roman"/>
        </w:rPr>
        <w:t>FACULTAD DE INGENIERÍA- UNSJ</w:t>
      </w:r>
    </w:p>
    <w:p w14:paraId="3D73DB11" w14:textId="2E353322" w:rsidR="005F3B2E" w:rsidRPr="00BA642E" w:rsidRDefault="006508B7" w:rsidP="005F3B2E">
      <w:pPr>
        <w:spacing w:after="0" w:line="240" w:lineRule="auto"/>
        <w:jc w:val="right"/>
        <w:rPr>
          <w:rFonts w:ascii="Times New Roman" w:hAnsi="Times New Roman" w:cs="Times New Roman"/>
        </w:rPr>
      </w:pPr>
      <w:hyperlink r:id="rId9" w:history="1">
        <w:r w:rsidRPr="00AB1A35">
          <w:rPr>
            <w:rStyle w:val="Hipervnculo"/>
            <w:rFonts w:ascii="Times New Roman" w:hAnsi="Times New Roman" w:cs="Times New Roman"/>
          </w:rPr>
          <w:t>raunavas@gmail.com</w:t>
        </w:r>
      </w:hyperlink>
      <w:r>
        <w:rPr>
          <w:rFonts w:ascii="Times New Roman" w:hAnsi="Times New Roman" w:cs="Times New Roman"/>
        </w:rPr>
        <w:t xml:space="preserve"> </w:t>
      </w:r>
    </w:p>
    <w:p w14:paraId="57B70F56" w14:textId="77777777" w:rsidR="003E7117" w:rsidRDefault="003E7117" w:rsidP="007B5B5F">
      <w:pPr>
        <w:spacing w:line="240" w:lineRule="auto"/>
        <w:jc w:val="both"/>
        <w:rPr>
          <w:rFonts w:ascii="Times New Roman" w:hAnsi="Times New Roman" w:cs="Times New Roman"/>
          <w:b/>
          <w:bCs/>
          <w:lang w:val="es-AR"/>
        </w:rPr>
      </w:pPr>
    </w:p>
    <w:p w14:paraId="35A6682C" w14:textId="0EB5F8DE" w:rsidR="00BA642E" w:rsidRPr="006508B7" w:rsidRDefault="00BA642E" w:rsidP="007B5B5F">
      <w:pPr>
        <w:spacing w:line="240" w:lineRule="auto"/>
        <w:jc w:val="both"/>
        <w:rPr>
          <w:rFonts w:ascii="Times New Roman" w:hAnsi="Times New Roman" w:cs="Times New Roman"/>
          <w:b/>
          <w:bCs/>
          <w:lang w:val="es-AR"/>
        </w:rPr>
      </w:pPr>
      <w:r w:rsidRPr="000352E1">
        <w:rPr>
          <w:rFonts w:ascii="Times New Roman" w:hAnsi="Times New Roman" w:cs="Times New Roman"/>
          <w:b/>
          <w:bCs/>
          <w:lang w:val="es-AR"/>
        </w:rPr>
        <w:t>Resumen:</w:t>
      </w:r>
      <w:r w:rsidR="007B5B5F" w:rsidRPr="000352E1">
        <w:rPr>
          <w:rFonts w:ascii="Times New Roman" w:hAnsi="Times New Roman" w:cs="Times New Roman"/>
          <w:b/>
          <w:bCs/>
          <w:lang w:val="es-AR"/>
        </w:rPr>
        <w:t xml:space="preserve"> </w:t>
      </w:r>
      <w:r w:rsidR="006508B7" w:rsidRPr="000352E1">
        <w:rPr>
          <w:rFonts w:ascii="Times New Roman" w:hAnsi="Times New Roman" w:cs="Times New Roman"/>
          <w:lang w:val="es-AR"/>
        </w:rPr>
        <w:t>El escenario contemporáneo de la educación</w:t>
      </w:r>
      <w:r w:rsidR="006508B7" w:rsidRPr="006508B7">
        <w:rPr>
          <w:rFonts w:ascii="Times New Roman" w:hAnsi="Times New Roman" w:cs="Times New Roman"/>
          <w:lang w:val="en-US"/>
        </w:rPr>
        <w:t xml:space="preserve"> superior </w:t>
      </w:r>
      <w:r w:rsidR="006508B7" w:rsidRPr="000352E1">
        <w:rPr>
          <w:rFonts w:ascii="Times New Roman" w:hAnsi="Times New Roman" w:cs="Times New Roman"/>
          <w:lang w:val="es-AR"/>
        </w:rPr>
        <w:t>en</w:t>
      </w:r>
      <w:r w:rsidR="006508B7" w:rsidRPr="006508B7">
        <w:rPr>
          <w:rFonts w:ascii="Times New Roman" w:hAnsi="Times New Roman" w:cs="Times New Roman"/>
          <w:lang w:val="en-US"/>
        </w:rPr>
        <w:t xml:space="preserve"> América Latina se </w:t>
      </w:r>
      <w:r w:rsidR="006508B7" w:rsidRPr="006508B7">
        <w:rPr>
          <w:rFonts w:ascii="Times New Roman" w:hAnsi="Times New Roman" w:cs="Times New Roman"/>
          <w:lang w:val="es-AR"/>
        </w:rPr>
        <w:t>encuentra atravesado por una complejidad sistémica que exige a las instituciones universitarias redefinir su eficacia operativa frente a crisis globales y restricciones presupuestarias. En este contexto, el Centro de Investigación para la Racionalización de la Construcción Tradicional (CIRCOT), dependiente de la Facultad de Ingeniería de la Universidad Nacional de San Juan, se presenta como un caso de estudio</w:t>
      </w:r>
      <w:r w:rsidR="00AC51DC">
        <w:rPr>
          <w:rFonts w:ascii="Times New Roman" w:hAnsi="Times New Roman" w:cs="Times New Roman"/>
          <w:lang w:val="es-AR"/>
        </w:rPr>
        <w:t xml:space="preserve"> </w:t>
      </w:r>
      <w:r w:rsidR="006508B7" w:rsidRPr="006508B7">
        <w:rPr>
          <w:rFonts w:ascii="Times New Roman" w:hAnsi="Times New Roman" w:cs="Times New Roman"/>
          <w:lang w:val="es-AR"/>
        </w:rPr>
        <w:t xml:space="preserve">para la profesionalización de la gestión mediante la investigación-acción. El presente trabajo propone abordar la gestión institucional no como un marco estático, sino como el objeto mismo de un proceso de investigación orientado a la mejora continua y la sostenibilidad. La problemática central que motiva esta propuesta radica en la necesidad de superar desafíos críticos como el recambio generacional de cuadros técnicos fundacionales y la demanda de una mayor vinculación con el medio socio-productivo regional. Para ello, el proyecto se propone como meta fundamental el diseño y construcción de dos instrumentos técnicos que constituyen los resultados esperados de la investigación: el Plan Estratégico Institucional (PEI) 2026-2030 y el Manual de Aseguramiento de la Calidad (MAC). Estos documentos representarán la formalización de un sistema de gestión por procesos basado en evidencias, permitiendo transitar desde un modelo de organización tradicional hacia un esquema profesionalizado que garantice la trazabilidad de la producción científica y tecnológica. La metodología se sustenta en el ciclo de mejora continua (Planificar-Hacer-Verificar-Actuar), alineándose con </w:t>
      </w:r>
      <w:r w:rsidR="00CD096A">
        <w:rPr>
          <w:rFonts w:ascii="Times New Roman" w:hAnsi="Times New Roman" w:cs="Times New Roman"/>
          <w:lang w:val="es-AR"/>
        </w:rPr>
        <w:t>un</w:t>
      </w:r>
      <w:r w:rsidR="006508B7" w:rsidRPr="006508B7">
        <w:rPr>
          <w:rFonts w:ascii="Times New Roman" w:hAnsi="Times New Roman" w:cs="Times New Roman"/>
          <w:lang w:val="es-AR"/>
        </w:rPr>
        <w:t xml:space="preserve"> Sistema Institucional de Aseguramiento de la Calidad (SIAC-UNSJ</w:t>
      </w:r>
      <w:r w:rsidR="001C48AE">
        <w:rPr>
          <w:rFonts w:ascii="Times New Roman" w:hAnsi="Times New Roman" w:cs="Times New Roman"/>
          <w:lang w:val="es-AR"/>
        </w:rPr>
        <w:t>, en proceso de elaboración</w:t>
      </w:r>
      <w:r w:rsidR="006508B7" w:rsidRPr="006508B7">
        <w:rPr>
          <w:rFonts w:ascii="Times New Roman" w:hAnsi="Times New Roman" w:cs="Times New Roman"/>
          <w:lang w:val="es-AR"/>
        </w:rPr>
        <w:t xml:space="preserve">) y las directrices nacionales de la CONEAU. La investigación contempla el desarrollo de una matriz de indicadores que combine variables de causa y efecto para medir la sostenibilidad financiera, el desarrollo de recursos humanos, la innovación tecnológica y el impacto territorial. Se destaca especialmente la incorporación del recambio generacional como una variable de calidad, diseñando mecanismos de mentoría intergeneracional para preservar el capital intelectual del centro. De este modo, la construcción participativa del </w:t>
      </w:r>
      <w:r w:rsidR="006508B7" w:rsidRPr="006508B7">
        <w:rPr>
          <w:rFonts w:ascii="Times New Roman" w:hAnsi="Times New Roman" w:cs="Times New Roman"/>
          <w:lang w:val="es-AR"/>
        </w:rPr>
        <w:lastRenderedPageBreak/>
        <w:t>PEI y el MAC permitirá al CIRCOT consolidar su rol como referente técnico en el sector de la construcción, asegurando que la toma de decisiones estratégicas se fundamente en datos confiables y actualizados. En conclusión, este proyecto de investigación sobre la propia gestión institucional busca fortalecer la autonomía responsable y la pertinencia social de la unidad, demostrando que el aseguramiento de la calidad es un instrumento vital para la defensa de lo público y la excelencia académica en el sistema universitario actual.</w:t>
      </w:r>
    </w:p>
    <w:p w14:paraId="2994BAB3" w14:textId="7EC7EF12" w:rsidR="00BA642E" w:rsidRPr="006508B7" w:rsidRDefault="00BA642E" w:rsidP="007B5B5F">
      <w:pPr>
        <w:spacing w:line="240" w:lineRule="auto"/>
        <w:jc w:val="both"/>
        <w:rPr>
          <w:rFonts w:ascii="Times New Roman" w:hAnsi="Times New Roman" w:cs="Times New Roman"/>
          <w:b/>
          <w:bCs/>
          <w:lang w:val="es-AR"/>
        </w:rPr>
      </w:pPr>
      <w:r w:rsidRPr="006508B7">
        <w:rPr>
          <w:rFonts w:ascii="Times New Roman" w:hAnsi="Times New Roman" w:cs="Times New Roman"/>
          <w:b/>
          <w:bCs/>
          <w:lang w:val="es-AR"/>
        </w:rPr>
        <w:t xml:space="preserve">Palabras clave: </w:t>
      </w:r>
      <w:r w:rsidR="00C21D8E" w:rsidRPr="00C21D8E">
        <w:rPr>
          <w:rFonts w:ascii="Times New Roman" w:hAnsi="Times New Roman" w:cs="Times New Roman"/>
          <w:lang w:val="es-AR"/>
        </w:rPr>
        <w:t>aseguramiento de la calidad, gestión universitaria, indicadores de desempeño, planificación estratégica, unidades de investigación</w:t>
      </w:r>
      <w:r w:rsidRPr="006508B7">
        <w:rPr>
          <w:rFonts w:ascii="Times New Roman" w:hAnsi="Times New Roman" w:cs="Times New Roman"/>
          <w:lang w:val="es-AR"/>
        </w:rPr>
        <w:t xml:space="preserve">. </w:t>
      </w:r>
    </w:p>
    <w:p w14:paraId="6A5547A1" w14:textId="6970560D" w:rsidR="00BA642E" w:rsidRPr="006508B7" w:rsidRDefault="00256A52" w:rsidP="007B5B5F">
      <w:pPr>
        <w:spacing w:line="240" w:lineRule="auto"/>
        <w:rPr>
          <w:rFonts w:ascii="Times New Roman" w:hAnsi="Times New Roman" w:cs="Times New Roman"/>
          <w:b/>
          <w:bCs/>
          <w:lang w:val="es-AR"/>
        </w:rPr>
      </w:pPr>
      <w:r>
        <w:rPr>
          <w:rFonts w:ascii="Times New Roman" w:hAnsi="Times New Roman" w:cs="Times New Roman"/>
          <w:b/>
          <w:bCs/>
          <w:lang w:val="es-AR"/>
        </w:rPr>
        <w:t>1.</w:t>
      </w:r>
      <w:r w:rsidR="00BA642E" w:rsidRPr="006508B7">
        <w:rPr>
          <w:rFonts w:ascii="Times New Roman" w:hAnsi="Times New Roman" w:cs="Times New Roman"/>
          <w:b/>
          <w:bCs/>
          <w:lang w:val="es-AR"/>
        </w:rPr>
        <w:t>Introducción</w:t>
      </w:r>
    </w:p>
    <w:p w14:paraId="5D3D8CDF" w14:textId="6B2F45D3" w:rsidR="00EF7696" w:rsidRDefault="00555275" w:rsidP="00555275">
      <w:pPr>
        <w:spacing w:line="240" w:lineRule="auto"/>
        <w:jc w:val="both"/>
        <w:rPr>
          <w:rFonts w:ascii="Times New Roman" w:hAnsi="Times New Roman" w:cs="Times New Roman"/>
          <w:b/>
          <w:bCs/>
          <w:lang w:val="es-AR"/>
        </w:rPr>
      </w:pPr>
      <w:r w:rsidRPr="00555275">
        <w:rPr>
          <w:rFonts w:ascii="Times New Roman" w:hAnsi="Times New Roman" w:cs="Times New Roman"/>
          <w:lang w:val="es-AR"/>
        </w:rPr>
        <w:t>La educación superior atraviesa profundas transformaciones derivadas de la expansión del conocimiento, la aceleración tecnológica y las crecientes demandas de la sociedad hacia las instituciones universitarias</w:t>
      </w:r>
      <w:r w:rsidR="00AD1ABD">
        <w:rPr>
          <w:rFonts w:ascii="Times New Roman" w:hAnsi="Times New Roman" w:cs="Times New Roman"/>
          <w:lang w:val="es-AR"/>
        </w:rPr>
        <w:t xml:space="preserve"> </w:t>
      </w:r>
      <w:r w:rsidR="00AD1ABD" w:rsidRPr="00AD1ABD">
        <w:rPr>
          <w:rFonts w:ascii="Times New Roman" w:hAnsi="Times New Roman" w:cs="Times New Roman"/>
          <w:lang w:val="es-AR"/>
        </w:rPr>
        <w:t>(</w:t>
      </w:r>
      <w:proofErr w:type="spellStart"/>
      <w:r w:rsidR="00AD1ABD" w:rsidRPr="00AD1ABD">
        <w:rPr>
          <w:rFonts w:ascii="Times New Roman" w:hAnsi="Times New Roman" w:cs="Times New Roman"/>
          <w:lang w:val="es-AR"/>
        </w:rPr>
        <w:t>Perez</w:t>
      </w:r>
      <w:proofErr w:type="spellEnd"/>
      <w:r w:rsidR="00AD1ABD" w:rsidRPr="00AD1ABD">
        <w:rPr>
          <w:rFonts w:ascii="Times New Roman" w:hAnsi="Times New Roman" w:cs="Times New Roman"/>
          <w:lang w:val="es-AR"/>
        </w:rPr>
        <w:t xml:space="preserve"> Centeno y Leal, 2011)</w:t>
      </w:r>
      <w:r w:rsidRPr="00555275">
        <w:rPr>
          <w:rFonts w:ascii="Times New Roman" w:hAnsi="Times New Roman" w:cs="Times New Roman"/>
          <w:lang w:val="es-AR"/>
        </w:rPr>
        <w:t>. En la universidad pública argentina, este panorama se entrelaza con un escenario de incertidumbre estructural que trasciende las crisis presupuestarias para instalarse en una complejidad sistémica profunda</w:t>
      </w:r>
      <w:r w:rsidR="00117267">
        <w:rPr>
          <w:rFonts w:ascii="Times New Roman" w:hAnsi="Times New Roman" w:cs="Times New Roman"/>
          <w:lang w:val="es-AR"/>
        </w:rPr>
        <w:t xml:space="preserve"> </w:t>
      </w:r>
      <w:r w:rsidR="00117267" w:rsidRPr="00117267">
        <w:rPr>
          <w:rFonts w:ascii="Times New Roman" w:hAnsi="Times New Roman" w:cs="Times New Roman"/>
          <w:lang w:val="es-AR"/>
        </w:rPr>
        <w:t xml:space="preserve">(Aiello y </w:t>
      </w:r>
      <w:proofErr w:type="spellStart"/>
      <w:r w:rsidR="00117267" w:rsidRPr="00117267">
        <w:rPr>
          <w:rFonts w:ascii="Times New Roman" w:hAnsi="Times New Roman" w:cs="Times New Roman"/>
          <w:lang w:val="es-AR"/>
        </w:rPr>
        <w:t>Krotsch</w:t>
      </w:r>
      <w:proofErr w:type="spellEnd"/>
      <w:r w:rsidR="00117267" w:rsidRPr="00117267">
        <w:rPr>
          <w:rFonts w:ascii="Times New Roman" w:hAnsi="Times New Roman" w:cs="Times New Roman"/>
          <w:lang w:val="es-AR"/>
        </w:rPr>
        <w:t>, 2022)</w:t>
      </w:r>
      <w:r w:rsidRPr="00555275">
        <w:rPr>
          <w:rFonts w:ascii="Times New Roman" w:hAnsi="Times New Roman" w:cs="Times New Roman"/>
          <w:lang w:val="es-AR"/>
        </w:rPr>
        <w:t>. Ante este desafío, las unidades de investigación enfrentan la necesidad de sostener su capacidad científica y tecnológica mediante modelos de gestión que garanticen eficiencia, transparencia y mejora continua. En este siglo XXI, la transición desde una administración basada en la tradición y el conocimiento tácito hacia una gestión profesionalizada, fundamentada en evidencias y procesos auditables, no es meramente una opción administrativa, sino una estrategia de supervivencia institucional y de defensa de lo público.  El Centro de Investigación para la Racionalización de la Construcción Tradicional (CIRCOT), dependiente de la Facultad de Ingeniería (FI) de la Universidad Nacional de San Juan (UNSJ), cuenta con más de cuatro décadas de trayectoria en investigación aplicada y transferencia tecnológica. Por sus características, constituye un caso de estudio relevante para la implementación de la investigación-acción aplicada a la propia gestión institucional</w:t>
      </w:r>
      <w:r w:rsidR="00FE4C5B">
        <w:rPr>
          <w:rFonts w:ascii="Times New Roman" w:hAnsi="Times New Roman" w:cs="Times New Roman"/>
          <w:lang w:val="es-AR"/>
        </w:rPr>
        <w:t xml:space="preserve"> </w:t>
      </w:r>
      <w:r w:rsidR="00FE4C5B" w:rsidRPr="00FE4C5B">
        <w:rPr>
          <w:rFonts w:ascii="Times New Roman" w:hAnsi="Times New Roman" w:cs="Times New Roman"/>
          <w:lang w:val="es-AR"/>
        </w:rPr>
        <w:t>(Kemmis y McTaggart, 2014)</w:t>
      </w:r>
      <w:r w:rsidRPr="00555275">
        <w:rPr>
          <w:rFonts w:ascii="Times New Roman" w:hAnsi="Times New Roman" w:cs="Times New Roman"/>
          <w:lang w:val="es-AR"/>
        </w:rPr>
        <w:t>. Actualmente, la problemática central de la unidad radica en asegurar su sostenibilidad frente al inminente recambio generacional de sus cuadros fundacionales. El desafío crítico consiste en documentar y estandarizar su know-how técnico antes de que este proceso diluya el capital intelectual acumulado, al tiempo que se fortalece la formación y consolidación de los nuevos recursos humanos.  En este marco, el presente trabajo tiene como objetivo diseñar una propuesta de profesionalización institucional basada en un sistema de indicadores de gestión, articulando la producción de la unidad con las políticas estratégicas de la UNSJ y de la Facultad de Ingeniería. Esta propuesta se materializa a través del diseño de dos instrumentos técnicos fundamentales: el Plan Estratégico Institucional (PEI) 2026-2030 y el Manual de Aseguramiento de la Calidad (MAC).  Para que estas herramientas posean validez y efectividad operativa, se estructuran como un engranaje clave dentro del Sistema Institucional de Aseguramiento de la Calidad (SIAC-UNSJ</w:t>
      </w:r>
      <w:r w:rsidR="004F4163" w:rsidRPr="00555275">
        <w:rPr>
          <w:rFonts w:ascii="Times New Roman" w:hAnsi="Times New Roman" w:cs="Times New Roman"/>
          <w:lang w:val="es-AR"/>
        </w:rPr>
        <w:t>),</w:t>
      </w:r>
      <w:r>
        <w:rPr>
          <w:rFonts w:ascii="Times New Roman" w:hAnsi="Times New Roman" w:cs="Times New Roman"/>
          <w:lang w:val="es-AR"/>
        </w:rPr>
        <w:t xml:space="preserve"> en proceso de elaboración,</w:t>
      </w:r>
      <w:r w:rsidRPr="00555275">
        <w:rPr>
          <w:rFonts w:ascii="Times New Roman" w:hAnsi="Times New Roman" w:cs="Times New Roman"/>
          <w:lang w:val="es-AR"/>
        </w:rPr>
        <w:t xml:space="preserve"> y bajo las directrices de la nueva Secretaría de Planificación, Evaluación y Coordinación Institucional (</w:t>
      </w:r>
      <w:proofErr w:type="spellStart"/>
      <w:r w:rsidRPr="00555275">
        <w:rPr>
          <w:rFonts w:ascii="Times New Roman" w:hAnsi="Times New Roman" w:cs="Times New Roman"/>
          <w:lang w:val="es-AR"/>
        </w:rPr>
        <w:t>SePECI</w:t>
      </w:r>
      <w:proofErr w:type="spellEnd"/>
      <w:r w:rsidRPr="00555275">
        <w:rPr>
          <w:rFonts w:ascii="Times New Roman" w:hAnsi="Times New Roman" w:cs="Times New Roman"/>
          <w:lang w:val="es-AR"/>
        </w:rPr>
        <w:t xml:space="preserve">). Sustentada en el ciclo de mejora continua (Planificar-Hacer-Verificar-Actuar), esta estrategia busca transitar hacia un esquema por procesos que garantice la trazabilidad y </w:t>
      </w:r>
      <w:r w:rsidRPr="00555275">
        <w:rPr>
          <w:rFonts w:ascii="Times New Roman" w:hAnsi="Times New Roman" w:cs="Times New Roman"/>
          <w:lang w:val="es-AR"/>
        </w:rPr>
        <w:lastRenderedPageBreak/>
        <w:t>la excelencia de la producción científica del centro, respondiendo tanto a los estándares nacionales de la Comisión Nacional de Evaluación y Acreditación Universitaria (CONEAU) como a las normativas internacionales de calidad del marco ISO 9001:2015</w:t>
      </w:r>
      <w:r w:rsidR="00A93DE9">
        <w:rPr>
          <w:rFonts w:ascii="Times New Roman" w:hAnsi="Times New Roman" w:cs="Times New Roman"/>
          <w:lang w:val="es-AR"/>
        </w:rPr>
        <w:t xml:space="preserve"> </w:t>
      </w:r>
      <w:r w:rsidR="00A93DE9" w:rsidRPr="00A93DE9">
        <w:rPr>
          <w:rFonts w:ascii="Times New Roman" w:hAnsi="Times New Roman" w:cs="Times New Roman"/>
          <w:lang w:val="es-AR"/>
        </w:rPr>
        <w:t>(Organización Internacional de Normalización, 2015)</w:t>
      </w:r>
      <w:r w:rsidRPr="00555275">
        <w:rPr>
          <w:rFonts w:ascii="Times New Roman" w:hAnsi="Times New Roman" w:cs="Times New Roman"/>
          <w:lang w:val="es-AR"/>
        </w:rPr>
        <w:t>.</w:t>
      </w:r>
    </w:p>
    <w:p w14:paraId="4D01562E" w14:textId="32F58FE7" w:rsidR="00CB2237" w:rsidRPr="00CB2237" w:rsidRDefault="00CB2237" w:rsidP="00B867FA">
      <w:pPr>
        <w:spacing w:before="120" w:line="240" w:lineRule="auto"/>
        <w:jc w:val="both"/>
        <w:rPr>
          <w:rFonts w:ascii="Times New Roman" w:hAnsi="Times New Roman" w:cs="Times New Roman"/>
          <w:b/>
          <w:bCs/>
          <w:lang w:val="es-AR"/>
        </w:rPr>
      </w:pPr>
      <w:r w:rsidRPr="00CB2237">
        <w:rPr>
          <w:rFonts w:ascii="Times New Roman" w:hAnsi="Times New Roman" w:cs="Times New Roman"/>
          <w:b/>
          <w:bCs/>
          <w:lang w:val="es-AR"/>
        </w:rPr>
        <w:t xml:space="preserve">2. </w:t>
      </w:r>
      <w:r w:rsidR="00803EB1" w:rsidRPr="00015CEC">
        <w:rPr>
          <w:rFonts w:ascii="Times New Roman" w:hAnsi="Times New Roman" w:cs="Times New Roman"/>
          <w:b/>
          <w:bCs/>
          <w:lang w:val="es-AR"/>
        </w:rPr>
        <w:t>M</w:t>
      </w:r>
      <w:r w:rsidR="00803EB1">
        <w:rPr>
          <w:rFonts w:ascii="Times New Roman" w:hAnsi="Times New Roman" w:cs="Times New Roman"/>
          <w:b/>
          <w:bCs/>
          <w:lang w:val="es-AR"/>
        </w:rPr>
        <w:t>arco institucional y conceptual</w:t>
      </w:r>
    </w:p>
    <w:p w14:paraId="7B26893D" w14:textId="59C12E75" w:rsidR="00CB2237" w:rsidRPr="00CB2237" w:rsidRDefault="00CB2237" w:rsidP="00B867FA">
      <w:pPr>
        <w:spacing w:before="120" w:line="240" w:lineRule="auto"/>
        <w:jc w:val="both"/>
        <w:rPr>
          <w:rFonts w:ascii="Times New Roman" w:hAnsi="Times New Roman" w:cs="Times New Roman"/>
          <w:b/>
          <w:bCs/>
          <w:lang w:val="es-AR"/>
        </w:rPr>
      </w:pPr>
      <w:r w:rsidRPr="00CB2237">
        <w:rPr>
          <w:rFonts w:ascii="Times New Roman" w:hAnsi="Times New Roman" w:cs="Times New Roman"/>
          <w:b/>
          <w:bCs/>
          <w:lang w:val="es-AR"/>
        </w:rPr>
        <w:t>2.1. Calidad y profesionalización en la gestión universitaria</w:t>
      </w:r>
    </w:p>
    <w:p w14:paraId="11A989A6" w14:textId="45159686" w:rsidR="001652A6" w:rsidRPr="00872A85" w:rsidRDefault="00CB2237" w:rsidP="001652A6">
      <w:pPr>
        <w:spacing w:before="120" w:line="240" w:lineRule="auto"/>
        <w:jc w:val="both"/>
        <w:rPr>
          <w:rFonts w:ascii="Times New Roman" w:hAnsi="Times New Roman" w:cs="Times New Roman"/>
          <w:lang w:val="es-AR"/>
        </w:rPr>
      </w:pPr>
      <w:r w:rsidRPr="00872A85">
        <w:rPr>
          <w:rFonts w:ascii="Times New Roman" w:hAnsi="Times New Roman" w:cs="Times New Roman"/>
          <w:lang w:val="es-AR"/>
        </w:rPr>
        <w:t>La calidad universitaria ha evolucionado desde enfoques tradicionales, centrados exclusivamente en la evaluación académica aislada, hacia modelos integrales de gestión orientados a la mejora continua, la transparencia institucional y la rendición de cuentas</w:t>
      </w:r>
      <w:r w:rsidR="007434CB">
        <w:rPr>
          <w:rFonts w:ascii="Times New Roman" w:hAnsi="Times New Roman" w:cs="Times New Roman"/>
          <w:lang w:val="es-AR"/>
        </w:rPr>
        <w:t xml:space="preserve"> </w:t>
      </w:r>
      <w:r w:rsidR="007434CB" w:rsidRPr="007434CB">
        <w:rPr>
          <w:rFonts w:ascii="Times New Roman" w:hAnsi="Times New Roman" w:cs="Times New Roman"/>
          <w:lang w:val="es-AR"/>
        </w:rPr>
        <w:t>(Guaglianone, 201</w:t>
      </w:r>
      <w:r w:rsidR="00CC1E0B">
        <w:rPr>
          <w:rFonts w:ascii="Times New Roman" w:hAnsi="Times New Roman" w:cs="Times New Roman"/>
          <w:lang w:val="es-AR"/>
        </w:rPr>
        <w:t>7</w:t>
      </w:r>
      <w:r w:rsidR="007434CB" w:rsidRPr="007434CB">
        <w:rPr>
          <w:rFonts w:ascii="Times New Roman" w:hAnsi="Times New Roman" w:cs="Times New Roman"/>
          <w:lang w:val="es-AR"/>
        </w:rPr>
        <w:t>; Marquina et al., 2022)</w:t>
      </w:r>
      <w:r w:rsidRPr="00872A85">
        <w:rPr>
          <w:rFonts w:ascii="Times New Roman" w:hAnsi="Times New Roman" w:cs="Times New Roman"/>
          <w:lang w:val="es-AR"/>
        </w:rPr>
        <w:t>. En este nuevo paradigma, los Sistemas Institucionales de Aseguramiento de la Calidad (SIAC)</w:t>
      </w:r>
      <w:r w:rsidR="00B36E8A" w:rsidRPr="00B36E8A">
        <w:t xml:space="preserve"> </w:t>
      </w:r>
      <w:r w:rsidR="00117267" w:rsidRPr="00117267">
        <w:rPr>
          <w:rFonts w:ascii="Times New Roman" w:hAnsi="Times New Roman" w:cs="Times New Roman"/>
          <w:lang w:val="es-AR"/>
        </w:rPr>
        <w:t>(Ministerio de Educación, 2023)</w:t>
      </w:r>
      <w:r w:rsidR="00B36E8A" w:rsidRPr="00B36E8A">
        <w:rPr>
          <w:rFonts w:ascii="Times New Roman" w:hAnsi="Times New Roman" w:cs="Times New Roman"/>
          <w:lang w:val="es-AR"/>
        </w:rPr>
        <w:t>, en proceso de elaboración, y bajo las directrices de la nueva Secretaría de Planificación, Evaluación y Coordinación Institucional (</w:t>
      </w:r>
      <w:proofErr w:type="spellStart"/>
      <w:r w:rsidR="00B36E8A" w:rsidRPr="00B36E8A">
        <w:rPr>
          <w:rFonts w:ascii="Times New Roman" w:hAnsi="Times New Roman" w:cs="Times New Roman"/>
          <w:lang w:val="es-AR"/>
        </w:rPr>
        <w:t>SePECI</w:t>
      </w:r>
      <w:proofErr w:type="spellEnd"/>
      <w:r w:rsidR="00B36E8A" w:rsidRPr="00B36E8A">
        <w:rPr>
          <w:rFonts w:ascii="Times New Roman" w:hAnsi="Times New Roman" w:cs="Times New Roman"/>
          <w:lang w:val="es-AR"/>
        </w:rPr>
        <w:t>)</w:t>
      </w:r>
      <w:r w:rsidR="00117267" w:rsidRPr="00117267">
        <w:t xml:space="preserve"> </w:t>
      </w:r>
      <w:r w:rsidR="00117267" w:rsidRPr="00117267">
        <w:rPr>
          <w:rFonts w:ascii="Times New Roman" w:hAnsi="Times New Roman" w:cs="Times New Roman"/>
          <w:lang w:val="es-AR"/>
        </w:rPr>
        <w:t>(Universidad Nacional de San Juan, 2025)</w:t>
      </w:r>
      <w:r w:rsidR="00B36E8A">
        <w:rPr>
          <w:rFonts w:ascii="Times New Roman" w:hAnsi="Times New Roman" w:cs="Times New Roman"/>
          <w:lang w:val="es-AR"/>
        </w:rPr>
        <w:t>,</w:t>
      </w:r>
      <w:r w:rsidRPr="00872A85">
        <w:rPr>
          <w:rFonts w:ascii="Times New Roman" w:hAnsi="Times New Roman" w:cs="Times New Roman"/>
          <w:lang w:val="es-AR"/>
        </w:rPr>
        <w:t xml:space="preserve"> constituyen herramientas fundamentales para promover procesos sistemáticos de evaluación</w:t>
      </w:r>
      <w:r w:rsidR="001652A6" w:rsidRPr="001652A6">
        <w:rPr>
          <w:rFonts w:ascii="Times New Roman" w:hAnsi="Times New Roman" w:cs="Times New Roman"/>
          <w:lang w:val="es-AR"/>
        </w:rPr>
        <w:t xml:space="preserve"> y mejora</w:t>
      </w:r>
      <w:r w:rsidRPr="00872A85">
        <w:rPr>
          <w:rFonts w:ascii="Times New Roman" w:hAnsi="Times New Roman" w:cs="Times New Roman"/>
          <w:lang w:val="es-AR"/>
        </w:rPr>
        <w:t>.</w:t>
      </w:r>
      <w:r w:rsidR="00B36E8A">
        <w:rPr>
          <w:rFonts w:ascii="Times New Roman" w:hAnsi="Times New Roman" w:cs="Times New Roman"/>
          <w:lang w:val="es-AR"/>
        </w:rPr>
        <w:t xml:space="preserve"> </w:t>
      </w:r>
      <w:r w:rsidR="001652A6" w:rsidRPr="001652A6">
        <w:rPr>
          <w:rFonts w:ascii="Times New Roman" w:hAnsi="Times New Roman" w:cs="Times New Roman"/>
          <w:lang w:val="es-AR"/>
        </w:rPr>
        <w:t xml:space="preserve">Las experiencias desarrolladas en universidades argentinas muestran que los procesos de aseguramiento de la calidad generan transformaciones organizacionales que exceden los procesos de acreditación, impactando sobre la gestión institucional, la planificación estratégica y la profesionalización de las estructuras universitarias </w:t>
      </w:r>
      <w:r w:rsidR="00E91C9F" w:rsidRPr="00E91C9F">
        <w:rPr>
          <w:rFonts w:ascii="Times New Roman" w:hAnsi="Times New Roman" w:cs="Times New Roman"/>
          <w:lang w:val="es-AR"/>
        </w:rPr>
        <w:t>(</w:t>
      </w:r>
      <w:r w:rsidR="007E464F" w:rsidRPr="007E464F">
        <w:rPr>
          <w:rFonts w:ascii="Times New Roman" w:hAnsi="Times New Roman" w:cs="Times New Roman"/>
          <w:lang w:val="es-AR"/>
        </w:rPr>
        <w:t>Nonaka y Takeuchi</w:t>
      </w:r>
      <w:r w:rsidR="007E464F">
        <w:rPr>
          <w:rFonts w:ascii="Times New Roman" w:hAnsi="Times New Roman" w:cs="Times New Roman"/>
          <w:lang w:val="es-AR"/>
        </w:rPr>
        <w:t>,</w:t>
      </w:r>
      <w:r w:rsidR="007E464F" w:rsidRPr="007E464F">
        <w:rPr>
          <w:rFonts w:ascii="Times New Roman" w:hAnsi="Times New Roman" w:cs="Times New Roman"/>
          <w:lang w:val="es-AR"/>
        </w:rPr>
        <w:t xml:space="preserve"> 199</w:t>
      </w:r>
      <w:r w:rsidR="007E464F">
        <w:rPr>
          <w:rFonts w:ascii="Times New Roman" w:hAnsi="Times New Roman" w:cs="Times New Roman"/>
          <w:lang w:val="es-AR"/>
        </w:rPr>
        <w:t>9</w:t>
      </w:r>
      <w:r w:rsidR="00E91C9F" w:rsidRPr="00E91C9F">
        <w:rPr>
          <w:rFonts w:ascii="Times New Roman" w:hAnsi="Times New Roman" w:cs="Times New Roman"/>
          <w:lang w:val="es-AR"/>
        </w:rPr>
        <w:t>)</w:t>
      </w:r>
      <w:r w:rsidR="00E91C9F">
        <w:rPr>
          <w:rFonts w:ascii="Times New Roman" w:hAnsi="Times New Roman" w:cs="Times New Roman"/>
          <w:lang w:val="es-AR"/>
        </w:rPr>
        <w:t>.</w:t>
      </w:r>
    </w:p>
    <w:p w14:paraId="56BBD0EA" w14:textId="1D0D3644" w:rsidR="00CB2237" w:rsidRDefault="00CB2237" w:rsidP="00B867FA">
      <w:pPr>
        <w:spacing w:before="120" w:line="240" w:lineRule="auto"/>
        <w:jc w:val="both"/>
        <w:rPr>
          <w:rFonts w:ascii="Times New Roman" w:hAnsi="Times New Roman" w:cs="Times New Roman"/>
          <w:lang w:val="es-AR"/>
        </w:rPr>
      </w:pPr>
      <w:r w:rsidRPr="00872A85">
        <w:rPr>
          <w:rFonts w:ascii="Times New Roman" w:hAnsi="Times New Roman" w:cs="Times New Roman"/>
          <w:lang w:val="es-AR"/>
        </w:rPr>
        <w:t>Para las unidades de investigación, esta profesionalización no es un mero trámite administrativo, sino una estrategia de supervivencia institucional y de defensa de lo público. Permite transitar de una gestión basada en la tradición y el conocimiento tácito hacia un modelo de procesos auditables, indispensable para registrar y estandarizar el know-how técnico frente a desafíos críticos como el recambio generacional</w:t>
      </w:r>
      <w:r w:rsidR="001D66FE">
        <w:rPr>
          <w:rFonts w:ascii="Times New Roman" w:hAnsi="Times New Roman" w:cs="Times New Roman"/>
          <w:lang w:val="es-AR"/>
        </w:rPr>
        <w:t xml:space="preserve"> </w:t>
      </w:r>
      <w:r w:rsidR="001D66FE" w:rsidRPr="001D66FE">
        <w:rPr>
          <w:rFonts w:ascii="Times New Roman" w:hAnsi="Times New Roman" w:cs="Times New Roman"/>
          <w:lang w:val="es-AR"/>
        </w:rPr>
        <w:t>(Rojas Dávila y Torres Briones, 2017)</w:t>
      </w:r>
      <w:r w:rsidRPr="00872A85">
        <w:rPr>
          <w:rFonts w:ascii="Times New Roman" w:hAnsi="Times New Roman" w:cs="Times New Roman"/>
          <w:lang w:val="es-AR"/>
        </w:rPr>
        <w:t>.</w:t>
      </w:r>
    </w:p>
    <w:p w14:paraId="0BFE357F" w14:textId="61F3F3F9" w:rsidR="00CB2237" w:rsidRPr="00CB2237" w:rsidRDefault="00CB2237" w:rsidP="00B867FA">
      <w:pPr>
        <w:spacing w:before="120" w:line="240" w:lineRule="auto"/>
        <w:jc w:val="both"/>
        <w:rPr>
          <w:rFonts w:ascii="Times New Roman" w:hAnsi="Times New Roman" w:cs="Times New Roman"/>
          <w:b/>
          <w:bCs/>
          <w:lang w:val="es-AR"/>
        </w:rPr>
      </w:pPr>
      <w:r w:rsidRPr="00CB2237">
        <w:rPr>
          <w:rFonts w:ascii="Times New Roman" w:hAnsi="Times New Roman" w:cs="Times New Roman"/>
          <w:b/>
          <w:bCs/>
          <w:lang w:val="es-AR"/>
        </w:rPr>
        <w:t>2.2. El marco estratégico de la Universidad Nacional de San Juan</w:t>
      </w:r>
    </w:p>
    <w:p w14:paraId="469675F6" w14:textId="26F4F299" w:rsidR="00206E3E" w:rsidRDefault="00206E3E" w:rsidP="00206E3E">
      <w:pPr>
        <w:spacing w:before="120" w:line="240" w:lineRule="auto"/>
        <w:jc w:val="both"/>
        <w:rPr>
          <w:rFonts w:ascii="Times New Roman" w:hAnsi="Times New Roman" w:cs="Times New Roman"/>
          <w:lang w:val="es-AR"/>
        </w:rPr>
      </w:pPr>
      <w:r w:rsidRPr="00206E3E">
        <w:rPr>
          <w:rFonts w:ascii="Times New Roman" w:hAnsi="Times New Roman" w:cs="Times New Roman"/>
          <w:lang w:val="es-AR"/>
        </w:rPr>
        <w:t>La Universidad Nacional de San Juan ha impulsado diversas iniciativas orientadas al fortalecimiento institucional en consonancia con las tendencias nacionales orientadas a consolidar sistemas institucionales de aseguramiento de la calidad y mecanismos permanentes de mejora continua (</w:t>
      </w:r>
      <w:r w:rsidR="002462CD" w:rsidRPr="002462CD">
        <w:rPr>
          <w:rFonts w:ascii="Times New Roman" w:hAnsi="Times New Roman" w:cs="Times New Roman"/>
          <w:lang w:val="es-AR"/>
        </w:rPr>
        <w:t>Ministerio de Educación</w:t>
      </w:r>
      <w:r w:rsidRPr="00206E3E">
        <w:rPr>
          <w:rFonts w:ascii="Times New Roman" w:hAnsi="Times New Roman" w:cs="Times New Roman"/>
          <w:lang w:val="es-AR"/>
        </w:rPr>
        <w:t>, 2023).</w:t>
      </w:r>
      <w:r w:rsidR="005F6B04">
        <w:rPr>
          <w:rFonts w:ascii="Times New Roman" w:hAnsi="Times New Roman" w:cs="Times New Roman"/>
          <w:lang w:val="es-AR"/>
        </w:rPr>
        <w:t xml:space="preserve"> </w:t>
      </w:r>
      <w:r w:rsidRPr="00206E3E">
        <w:rPr>
          <w:rFonts w:ascii="Times New Roman" w:hAnsi="Times New Roman" w:cs="Times New Roman"/>
          <w:lang w:val="es-AR"/>
        </w:rPr>
        <w:t xml:space="preserve">Este despliegue se sustenta bajo el marco </w:t>
      </w:r>
      <w:proofErr w:type="spellStart"/>
      <w:r w:rsidRPr="00206E3E">
        <w:rPr>
          <w:rFonts w:ascii="Times New Roman" w:hAnsi="Times New Roman" w:cs="Times New Roman"/>
          <w:lang w:val="es-AR"/>
        </w:rPr>
        <w:t>macroestratégico</w:t>
      </w:r>
      <w:proofErr w:type="spellEnd"/>
      <w:r w:rsidRPr="00206E3E">
        <w:rPr>
          <w:rFonts w:ascii="Times New Roman" w:hAnsi="Times New Roman" w:cs="Times New Roman"/>
          <w:lang w:val="es-AR"/>
        </w:rPr>
        <w:t xml:space="preserve"> del Plan de Gestión Institucional (PGI) 2021-2025</w:t>
      </w:r>
      <w:r w:rsidR="00693895">
        <w:rPr>
          <w:rFonts w:ascii="Times New Roman" w:hAnsi="Times New Roman" w:cs="Times New Roman"/>
          <w:lang w:val="es-AR"/>
        </w:rPr>
        <w:t xml:space="preserve"> </w:t>
      </w:r>
      <w:r w:rsidR="00693895" w:rsidRPr="00693895">
        <w:rPr>
          <w:rFonts w:ascii="Times New Roman" w:hAnsi="Times New Roman" w:cs="Times New Roman"/>
          <w:lang w:val="es-AR"/>
        </w:rPr>
        <w:t>(Universidad Nacional de San Juan, 2024)</w:t>
      </w:r>
      <w:r w:rsidRPr="00206E3E">
        <w:rPr>
          <w:rFonts w:ascii="Times New Roman" w:hAnsi="Times New Roman" w:cs="Times New Roman"/>
          <w:lang w:val="es-AR"/>
        </w:rPr>
        <w:t xml:space="preserve">, una matriz orientadora que capitaliza rigurosamente los diagnósticos de las evaluaciones externas para proyectar una visión </w:t>
      </w:r>
      <w:proofErr w:type="spellStart"/>
      <w:r w:rsidRPr="00206E3E">
        <w:rPr>
          <w:rFonts w:ascii="Times New Roman" w:hAnsi="Times New Roman" w:cs="Times New Roman"/>
          <w:lang w:val="es-AR"/>
        </w:rPr>
        <w:t>multirreferencial</w:t>
      </w:r>
      <w:proofErr w:type="spellEnd"/>
      <w:r w:rsidRPr="00206E3E">
        <w:rPr>
          <w:rFonts w:ascii="Times New Roman" w:hAnsi="Times New Roman" w:cs="Times New Roman"/>
          <w:lang w:val="es-AR"/>
        </w:rPr>
        <w:t xml:space="preserve"> y prospectiva. La dimensión operativa de esta estrategia se viabiliza formalmente a través de dos hitos clave: la creación de la Secretaría de Planificación, Evaluación y Coordinación Institucional (</w:t>
      </w:r>
      <w:proofErr w:type="spellStart"/>
      <w:r w:rsidRPr="00206E3E">
        <w:rPr>
          <w:rFonts w:ascii="Times New Roman" w:hAnsi="Times New Roman" w:cs="Times New Roman"/>
          <w:lang w:val="es-AR"/>
        </w:rPr>
        <w:t>SePECI</w:t>
      </w:r>
      <w:proofErr w:type="spellEnd"/>
      <w:r w:rsidRPr="00206E3E">
        <w:rPr>
          <w:rFonts w:ascii="Times New Roman" w:hAnsi="Times New Roman" w:cs="Times New Roman"/>
          <w:lang w:val="es-AR"/>
        </w:rPr>
        <w:t>) y el desarrollo del SIAC-UNSJ. De manera sinérgica, estas acciones institucionalizan una cultura organizacional sólidamente cimentada en la evaluación permanente y la mejora continua de sus procesos.</w:t>
      </w:r>
    </w:p>
    <w:p w14:paraId="2909C75A" w14:textId="07D30C95" w:rsidR="00CB2237" w:rsidRPr="00872A85" w:rsidRDefault="00CB2237" w:rsidP="00206E3E">
      <w:pPr>
        <w:spacing w:before="120" w:line="240" w:lineRule="auto"/>
        <w:jc w:val="both"/>
        <w:rPr>
          <w:rFonts w:ascii="Times New Roman" w:hAnsi="Times New Roman" w:cs="Times New Roman"/>
          <w:lang w:val="es-AR"/>
        </w:rPr>
      </w:pPr>
      <w:r w:rsidRPr="00872A85">
        <w:rPr>
          <w:rFonts w:ascii="Times New Roman" w:hAnsi="Times New Roman" w:cs="Times New Roman"/>
          <w:lang w:val="es-AR"/>
        </w:rPr>
        <w:t xml:space="preserve">Para el CIRCOT, la alineación con el PGI implica adoptar una identidad institucional fuertemente vinculada con el medio socio-productivo. El Artículo 3 del Estatuto Universitario, base del PGI, establece que la universidad debe esclarecer los problemas </w:t>
      </w:r>
      <w:r w:rsidRPr="00872A85">
        <w:rPr>
          <w:rFonts w:ascii="Times New Roman" w:hAnsi="Times New Roman" w:cs="Times New Roman"/>
          <w:lang w:val="es-AR"/>
        </w:rPr>
        <w:lastRenderedPageBreak/>
        <w:t>humanos de la realidad nacional y regional para proponer soluciones. El CIRCOT cumple directamente con esta misión al especializarse en la racionalización de la construcción y en sistemas no tradicionales que responden al entorno árido y sísmico de San Juan.</w:t>
      </w:r>
    </w:p>
    <w:p w14:paraId="41DBC6CF" w14:textId="77777777" w:rsidR="00CB2237" w:rsidRPr="00872A85" w:rsidRDefault="00CB2237" w:rsidP="00B867FA">
      <w:pPr>
        <w:spacing w:before="120" w:line="240" w:lineRule="auto"/>
        <w:jc w:val="both"/>
        <w:rPr>
          <w:rFonts w:ascii="Times New Roman" w:hAnsi="Times New Roman" w:cs="Times New Roman"/>
          <w:lang w:val="es-AR"/>
        </w:rPr>
      </w:pPr>
      <w:r w:rsidRPr="00872A85">
        <w:rPr>
          <w:rFonts w:ascii="Times New Roman" w:hAnsi="Times New Roman" w:cs="Times New Roman"/>
          <w:lang w:val="es-AR"/>
        </w:rPr>
        <w:t>Asimismo, en el ámbito de la investigación, la alineación con el PGI exige potenciar la función social de la ciencia y la democratización del conocimiento. Esto obliga al centro a desarrollar estrategias de divulgación y comunicación científica orientadas a la sociedad civil y al sector productivo, optimizando los recursos humanos y financieros bajo la dimensión de "Gobierno y Gestión" del plan macro.</w:t>
      </w:r>
    </w:p>
    <w:p w14:paraId="2EC63F71" w14:textId="128BF679" w:rsidR="00CB2237" w:rsidRPr="00CB2237" w:rsidRDefault="00CB2237" w:rsidP="00B867FA">
      <w:pPr>
        <w:spacing w:before="120" w:line="240" w:lineRule="auto"/>
        <w:jc w:val="both"/>
        <w:rPr>
          <w:rFonts w:ascii="Times New Roman" w:hAnsi="Times New Roman" w:cs="Times New Roman"/>
          <w:b/>
          <w:bCs/>
          <w:lang w:val="es-AR"/>
        </w:rPr>
      </w:pPr>
      <w:r w:rsidRPr="00CB2237">
        <w:rPr>
          <w:rFonts w:ascii="Times New Roman" w:hAnsi="Times New Roman" w:cs="Times New Roman"/>
          <w:b/>
          <w:bCs/>
          <w:lang w:val="es-AR"/>
        </w:rPr>
        <w:t>2.3. El Plan Estratégico de la Facultad de Ingeniería</w:t>
      </w:r>
    </w:p>
    <w:p w14:paraId="77A75DD3" w14:textId="0FCD375E" w:rsidR="00CB2237" w:rsidRPr="00872A85" w:rsidRDefault="00CB2237" w:rsidP="00B867FA">
      <w:pPr>
        <w:spacing w:before="120" w:line="240" w:lineRule="auto"/>
        <w:jc w:val="both"/>
        <w:rPr>
          <w:rFonts w:ascii="Times New Roman" w:hAnsi="Times New Roman" w:cs="Times New Roman"/>
          <w:lang w:val="es-AR"/>
        </w:rPr>
      </w:pPr>
      <w:r w:rsidRPr="00872A85">
        <w:rPr>
          <w:rFonts w:ascii="Times New Roman" w:hAnsi="Times New Roman" w:cs="Times New Roman"/>
          <w:lang w:val="es-AR"/>
        </w:rPr>
        <w:t xml:space="preserve">La Facultad de Ingeniería ha formalizado su camino hacia la excelencia a través del Plan Estratégico Institucional 2024-2028 (PEI-FI), aprobado por la Ordenanza </w:t>
      </w:r>
      <w:proofErr w:type="spellStart"/>
      <w:r w:rsidRPr="00872A85">
        <w:rPr>
          <w:rFonts w:ascii="Times New Roman" w:hAnsi="Times New Roman" w:cs="Times New Roman"/>
          <w:lang w:val="es-AR"/>
        </w:rPr>
        <w:t>Nº</w:t>
      </w:r>
      <w:proofErr w:type="spellEnd"/>
      <w:r w:rsidRPr="00872A85">
        <w:rPr>
          <w:rFonts w:ascii="Times New Roman" w:hAnsi="Times New Roman" w:cs="Times New Roman"/>
          <w:lang w:val="es-AR"/>
        </w:rPr>
        <w:t xml:space="preserve"> 14/2024-CD</w:t>
      </w:r>
      <w:r w:rsidR="00693895">
        <w:rPr>
          <w:rFonts w:ascii="Times New Roman" w:hAnsi="Times New Roman" w:cs="Times New Roman"/>
          <w:lang w:val="es-AR"/>
        </w:rPr>
        <w:t xml:space="preserve"> </w:t>
      </w:r>
      <w:r w:rsidR="00693895" w:rsidRPr="00693895">
        <w:rPr>
          <w:rFonts w:ascii="Times New Roman" w:hAnsi="Times New Roman" w:cs="Times New Roman"/>
          <w:lang w:val="es-AR"/>
        </w:rPr>
        <w:t>(Facultad de Ingeniería, 2024a)</w:t>
      </w:r>
      <w:r w:rsidRPr="00872A85">
        <w:rPr>
          <w:rFonts w:ascii="Times New Roman" w:hAnsi="Times New Roman" w:cs="Times New Roman"/>
          <w:lang w:val="es-AR"/>
        </w:rPr>
        <w:t>. Este documento funciona como un esquema orientador a largo plazo articulado con los programas de la UNSJ, obligando al CIRCOT a integrar sus metas dentro de un diagnóstico institucional profundo.</w:t>
      </w:r>
    </w:p>
    <w:p w14:paraId="7E75137A" w14:textId="6816909A" w:rsidR="00CB2237" w:rsidRPr="00CB2237" w:rsidRDefault="00CB2237" w:rsidP="005F6B04">
      <w:pPr>
        <w:spacing w:before="120" w:line="240" w:lineRule="auto"/>
        <w:ind w:left="142"/>
        <w:jc w:val="both"/>
        <w:rPr>
          <w:rFonts w:ascii="Times New Roman" w:hAnsi="Times New Roman" w:cs="Times New Roman"/>
          <w:b/>
          <w:bCs/>
          <w:lang w:val="es-AR"/>
        </w:rPr>
      </w:pPr>
      <w:r w:rsidRPr="00CB2237">
        <w:rPr>
          <w:rFonts w:ascii="Times New Roman" w:hAnsi="Times New Roman" w:cs="Times New Roman"/>
          <w:b/>
          <w:bCs/>
          <w:lang w:val="es-AR"/>
        </w:rPr>
        <w:t>2.3.1. Análisis de la Matriz FODA de la Facultad de Ingeniería y la Respuesta del Centro</w:t>
      </w:r>
    </w:p>
    <w:p w14:paraId="7D131C9A" w14:textId="77777777" w:rsidR="00CB2237" w:rsidRPr="00872A85" w:rsidRDefault="00CB2237" w:rsidP="005F6B04">
      <w:pPr>
        <w:spacing w:before="120" w:line="240" w:lineRule="auto"/>
        <w:ind w:left="142"/>
        <w:jc w:val="both"/>
        <w:rPr>
          <w:rFonts w:ascii="Times New Roman" w:hAnsi="Times New Roman" w:cs="Times New Roman"/>
          <w:lang w:val="es-AR"/>
        </w:rPr>
      </w:pPr>
      <w:r w:rsidRPr="00872A85">
        <w:rPr>
          <w:rFonts w:ascii="Times New Roman" w:hAnsi="Times New Roman" w:cs="Times New Roman"/>
          <w:lang w:val="es-AR"/>
        </w:rPr>
        <w:t>El PEI-FI se fundamenta en una matriz que identifica fortalezas clave y debilidades institucionales que las unidades dependientes deben ayudar a mitigar:</w:t>
      </w:r>
    </w:p>
    <w:tbl>
      <w:tblPr>
        <w:tblW w:w="8371" w:type="dxa"/>
        <w:tblInd w:w="276" w:type="dxa"/>
        <w:tblLayout w:type="fixed"/>
        <w:tblLook w:val="0600" w:firstRow="0" w:lastRow="0" w:firstColumn="0" w:lastColumn="0" w:noHBand="1" w:noVBand="1"/>
      </w:tblPr>
      <w:tblGrid>
        <w:gridCol w:w="2268"/>
        <w:gridCol w:w="2843"/>
        <w:gridCol w:w="3260"/>
      </w:tblGrid>
      <w:tr w:rsidR="00872A85" w:rsidRPr="005F6B04" w14:paraId="79B1BA61" w14:textId="77777777" w:rsidTr="005F6B04">
        <w:tc>
          <w:tcPr>
            <w:tcW w:w="2268" w:type="dxa"/>
            <w:tcBorders>
              <w:top w:val="single" w:sz="4" w:space="0" w:color="auto"/>
              <w:bottom w:val="single" w:sz="4" w:space="0" w:color="auto"/>
            </w:tcBorders>
            <w:tcMar>
              <w:top w:w="120" w:type="dxa"/>
              <w:left w:w="180" w:type="dxa"/>
              <w:bottom w:w="120" w:type="dxa"/>
              <w:right w:w="180" w:type="dxa"/>
            </w:tcMar>
          </w:tcPr>
          <w:p w14:paraId="25614B60" w14:textId="77777777" w:rsidR="00872A85" w:rsidRPr="005F6B04" w:rsidRDefault="00872A85" w:rsidP="005F6B04">
            <w:pPr>
              <w:pBdr>
                <w:top w:val="nil"/>
                <w:left w:val="nil"/>
                <w:bottom w:val="nil"/>
                <w:right w:val="nil"/>
                <w:between w:val="nil"/>
              </w:pBdr>
              <w:spacing w:after="0" w:line="240" w:lineRule="auto"/>
              <w:ind w:left="142"/>
              <w:jc w:val="center"/>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Dimensión</w:t>
            </w:r>
          </w:p>
        </w:tc>
        <w:tc>
          <w:tcPr>
            <w:tcW w:w="2843" w:type="dxa"/>
            <w:tcBorders>
              <w:top w:val="single" w:sz="4" w:space="0" w:color="auto"/>
              <w:bottom w:val="single" w:sz="4" w:space="0" w:color="auto"/>
            </w:tcBorders>
            <w:tcMar>
              <w:top w:w="120" w:type="dxa"/>
              <w:left w:w="180" w:type="dxa"/>
              <w:bottom w:w="120" w:type="dxa"/>
              <w:right w:w="180" w:type="dxa"/>
            </w:tcMar>
          </w:tcPr>
          <w:p w14:paraId="20955833" w14:textId="77777777" w:rsidR="00872A85" w:rsidRPr="005F6B04" w:rsidRDefault="00872A85" w:rsidP="005F6B04">
            <w:pPr>
              <w:pBdr>
                <w:top w:val="nil"/>
                <w:left w:val="nil"/>
                <w:bottom w:val="nil"/>
                <w:right w:val="nil"/>
                <w:between w:val="nil"/>
              </w:pBdr>
              <w:spacing w:after="0" w:line="240" w:lineRule="auto"/>
              <w:ind w:left="142"/>
              <w:jc w:val="center"/>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Fortalezas</w:t>
            </w:r>
          </w:p>
        </w:tc>
        <w:tc>
          <w:tcPr>
            <w:tcW w:w="3260" w:type="dxa"/>
            <w:tcBorders>
              <w:top w:val="single" w:sz="4" w:space="0" w:color="auto"/>
              <w:bottom w:val="single" w:sz="4" w:space="0" w:color="auto"/>
            </w:tcBorders>
            <w:tcMar>
              <w:top w:w="120" w:type="dxa"/>
              <w:left w:w="180" w:type="dxa"/>
              <w:bottom w:w="120" w:type="dxa"/>
              <w:right w:w="180" w:type="dxa"/>
            </w:tcMar>
          </w:tcPr>
          <w:p w14:paraId="1C656A75" w14:textId="77777777" w:rsidR="00872A85" w:rsidRPr="005F6B04" w:rsidRDefault="00872A85" w:rsidP="005F6B04">
            <w:pPr>
              <w:pBdr>
                <w:top w:val="nil"/>
                <w:left w:val="nil"/>
                <w:bottom w:val="nil"/>
                <w:right w:val="nil"/>
                <w:between w:val="nil"/>
              </w:pBdr>
              <w:spacing w:after="0" w:line="240" w:lineRule="auto"/>
              <w:ind w:left="142"/>
              <w:jc w:val="center"/>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Debilidades / Amenazas</w:t>
            </w:r>
          </w:p>
        </w:tc>
      </w:tr>
      <w:tr w:rsidR="00872A85" w:rsidRPr="003B1B53" w14:paraId="6124D7AF" w14:textId="77777777" w:rsidTr="005F6B04">
        <w:tc>
          <w:tcPr>
            <w:tcW w:w="2268" w:type="dxa"/>
            <w:tcBorders>
              <w:top w:val="single" w:sz="4" w:space="0" w:color="auto"/>
              <w:bottom w:val="single" w:sz="4" w:space="0" w:color="auto"/>
            </w:tcBorders>
            <w:tcMar>
              <w:top w:w="120" w:type="dxa"/>
              <w:left w:w="180" w:type="dxa"/>
              <w:bottom w:w="120" w:type="dxa"/>
              <w:right w:w="180" w:type="dxa"/>
            </w:tcMar>
          </w:tcPr>
          <w:p w14:paraId="32481E10" w14:textId="77777777" w:rsidR="00872A85" w:rsidRPr="005F6B04"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Contexto Institucional</w:t>
            </w:r>
          </w:p>
        </w:tc>
        <w:tc>
          <w:tcPr>
            <w:tcW w:w="2843" w:type="dxa"/>
            <w:tcBorders>
              <w:top w:val="single" w:sz="4" w:space="0" w:color="auto"/>
              <w:bottom w:val="single" w:sz="4" w:space="0" w:color="auto"/>
            </w:tcBorders>
            <w:tcMar>
              <w:top w:w="120" w:type="dxa"/>
              <w:left w:w="180" w:type="dxa"/>
              <w:bottom w:w="120" w:type="dxa"/>
              <w:right w:w="180" w:type="dxa"/>
            </w:tcMar>
          </w:tcPr>
          <w:p w14:paraId="13B62B59"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Alta inserción en el medio socio-productivo y prestigio extensionista.</w:t>
            </w:r>
          </w:p>
        </w:tc>
        <w:tc>
          <w:tcPr>
            <w:tcW w:w="3260" w:type="dxa"/>
            <w:tcBorders>
              <w:top w:val="single" w:sz="4" w:space="0" w:color="auto"/>
              <w:bottom w:val="single" w:sz="4" w:space="0" w:color="auto"/>
            </w:tcBorders>
            <w:tcMar>
              <w:top w:w="120" w:type="dxa"/>
              <w:left w:w="180" w:type="dxa"/>
              <w:bottom w:w="120" w:type="dxa"/>
              <w:right w:w="180" w:type="dxa"/>
            </w:tcMar>
          </w:tcPr>
          <w:p w14:paraId="4EA9BF83"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Escasa difusión de acciones de extensión y personal insuficiente para la demanda.</w:t>
            </w:r>
          </w:p>
        </w:tc>
      </w:tr>
      <w:tr w:rsidR="00872A85" w:rsidRPr="003B1B53" w14:paraId="4520714B" w14:textId="77777777" w:rsidTr="005F6B04">
        <w:tc>
          <w:tcPr>
            <w:tcW w:w="2268" w:type="dxa"/>
            <w:tcBorders>
              <w:top w:val="single" w:sz="4" w:space="0" w:color="auto"/>
              <w:bottom w:val="single" w:sz="4" w:space="0" w:color="auto"/>
            </w:tcBorders>
            <w:tcMar>
              <w:top w:w="120" w:type="dxa"/>
              <w:left w:w="180" w:type="dxa"/>
              <w:bottom w:w="120" w:type="dxa"/>
              <w:right w:w="180" w:type="dxa"/>
            </w:tcMar>
          </w:tcPr>
          <w:p w14:paraId="5D733F45" w14:textId="77777777" w:rsidR="00872A85" w:rsidRPr="005F6B04"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Planes de Estudio</w:t>
            </w:r>
          </w:p>
        </w:tc>
        <w:tc>
          <w:tcPr>
            <w:tcW w:w="2843" w:type="dxa"/>
            <w:tcBorders>
              <w:top w:val="single" w:sz="4" w:space="0" w:color="auto"/>
              <w:bottom w:val="single" w:sz="4" w:space="0" w:color="auto"/>
            </w:tcBorders>
            <w:tcMar>
              <w:top w:w="120" w:type="dxa"/>
              <w:left w:w="180" w:type="dxa"/>
              <w:bottom w:w="120" w:type="dxa"/>
              <w:right w:w="180" w:type="dxa"/>
            </w:tcMar>
          </w:tcPr>
          <w:p w14:paraId="294F2D15"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Actualización periódica y adaptación a demandas regionales.</w:t>
            </w:r>
          </w:p>
        </w:tc>
        <w:tc>
          <w:tcPr>
            <w:tcW w:w="3260" w:type="dxa"/>
            <w:tcBorders>
              <w:top w:val="single" w:sz="4" w:space="0" w:color="auto"/>
              <w:bottom w:val="single" w:sz="4" w:space="0" w:color="auto"/>
            </w:tcBorders>
            <w:tcMar>
              <w:top w:w="120" w:type="dxa"/>
              <w:left w:w="180" w:type="dxa"/>
              <w:bottom w:w="120" w:type="dxa"/>
              <w:right w:w="180" w:type="dxa"/>
            </w:tcMar>
          </w:tcPr>
          <w:p w14:paraId="5D815180"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Tiempo elevado para la gestión de cambio de planes frente a la evolución tecnológica.</w:t>
            </w:r>
          </w:p>
        </w:tc>
      </w:tr>
      <w:tr w:rsidR="00872A85" w:rsidRPr="003B1B53" w14:paraId="377CADCD" w14:textId="77777777" w:rsidTr="005F6B04">
        <w:tc>
          <w:tcPr>
            <w:tcW w:w="2268" w:type="dxa"/>
            <w:tcBorders>
              <w:top w:val="single" w:sz="4" w:space="0" w:color="auto"/>
              <w:bottom w:val="single" w:sz="4" w:space="0" w:color="auto"/>
            </w:tcBorders>
            <w:tcMar>
              <w:top w:w="120" w:type="dxa"/>
              <w:left w:w="180" w:type="dxa"/>
              <w:bottom w:w="120" w:type="dxa"/>
              <w:right w:w="180" w:type="dxa"/>
            </w:tcMar>
          </w:tcPr>
          <w:p w14:paraId="08A72344" w14:textId="77777777" w:rsidR="00872A85" w:rsidRPr="005F6B04"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Cuerpo Académico</w:t>
            </w:r>
          </w:p>
        </w:tc>
        <w:tc>
          <w:tcPr>
            <w:tcW w:w="2843" w:type="dxa"/>
            <w:tcBorders>
              <w:top w:val="single" w:sz="4" w:space="0" w:color="auto"/>
              <w:bottom w:val="single" w:sz="4" w:space="0" w:color="auto"/>
            </w:tcBorders>
            <w:tcMar>
              <w:top w:w="120" w:type="dxa"/>
              <w:left w:w="180" w:type="dxa"/>
              <w:bottom w:w="120" w:type="dxa"/>
              <w:right w:w="180" w:type="dxa"/>
            </w:tcMar>
          </w:tcPr>
          <w:p w14:paraId="0F009317"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Docentes con formación de posgrado en aumento y redes de vinculación.</w:t>
            </w:r>
          </w:p>
        </w:tc>
        <w:tc>
          <w:tcPr>
            <w:tcW w:w="3260" w:type="dxa"/>
            <w:tcBorders>
              <w:top w:val="single" w:sz="4" w:space="0" w:color="auto"/>
              <w:bottom w:val="single" w:sz="4" w:space="0" w:color="auto"/>
            </w:tcBorders>
            <w:tcMar>
              <w:top w:w="120" w:type="dxa"/>
              <w:left w:w="180" w:type="dxa"/>
              <w:bottom w:w="120" w:type="dxa"/>
              <w:right w:w="180" w:type="dxa"/>
            </w:tcMar>
          </w:tcPr>
          <w:p w14:paraId="2417935A"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Baja cantidad de docentes ordinarios y necesidad de jerarquizar la extensión.</w:t>
            </w:r>
          </w:p>
        </w:tc>
      </w:tr>
      <w:tr w:rsidR="00872A85" w:rsidRPr="003B1B53" w14:paraId="7B1C7F0E" w14:textId="77777777" w:rsidTr="005F6B04">
        <w:tc>
          <w:tcPr>
            <w:tcW w:w="2268" w:type="dxa"/>
            <w:tcBorders>
              <w:top w:val="single" w:sz="4" w:space="0" w:color="auto"/>
              <w:bottom w:val="single" w:sz="4" w:space="0" w:color="auto"/>
            </w:tcBorders>
            <w:tcMar>
              <w:top w:w="120" w:type="dxa"/>
              <w:left w:w="180" w:type="dxa"/>
              <w:bottom w:w="120" w:type="dxa"/>
              <w:right w:w="180" w:type="dxa"/>
            </w:tcMar>
          </w:tcPr>
          <w:p w14:paraId="45245D9A" w14:textId="77777777" w:rsidR="00872A85" w:rsidRPr="005F6B04"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t>Investigación e Innovación</w:t>
            </w:r>
          </w:p>
        </w:tc>
        <w:tc>
          <w:tcPr>
            <w:tcW w:w="2843" w:type="dxa"/>
            <w:tcBorders>
              <w:top w:val="single" w:sz="4" w:space="0" w:color="auto"/>
              <w:bottom w:val="single" w:sz="4" w:space="0" w:color="auto"/>
            </w:tcBorders>
            <w:tcMar>
              <w:top w:w="120" w:type="dxa"/>
              <w:left w:w="180" w:type="dxa"/>
              <w:bottom w:w="120" w:type="dxa"/>
              <w:right w:w="180" w:type="dxa"/>
            </w:tcMar>
          </w:tcPr>
          <w:p w14:paraId="1F27A567"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Laboratorios con buen grado de conservación y capacidad de generar recursos propios.</w:t>
            </w:r>
          </w:p>
        </w:tc>
        <w:tc>
          <w:tcPr>
            <w:tcW w:w="3260" w:type="dxa"/>
            <w:tcBorders>
              <w:top w:val="single" w:sz="4" w:space="0" w:color="auto"/>
              <w:bottom w:val="single" w:sz="4" w:space="0" w:color="auto"/>
            </w:tcBorders>
            <w:tcMar>
              <w:top w:w="120" w:type="dxa"/>
              <w:left w:w="180" w:type="dxa"/>
              <w:bottom w:w="120" w:type="dxa"/>
              <w:right w:w="180" w:type="dxa"/>
            </w:tcMar>
          </w:tcPr>
          <w:p w14:paraId="4F012CB2"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Bajo nivel de financiamiento externo y procesos de categorización lentos.</w:t>
            </w:r>
          </w:p>
        </w:tc>
      </w:tr>
      <w:tr w:rsidR="00872A85" w:rsidRPr="003B1B53" w14:paraId="12D60E0B" w14:textId="77777777" w:rsidTr="005F6B04">
        <w:tc>
          <w:tcPr>
            <w:tcW w:w="2268" w:type="dxa"/>
            <w:tcBorders>
              <w:top w:val="single" w:sz="4" w:space="0" w:color="auto"/>
              <w:bottom w:val="single" w:sz="4" w:space="0" w:color="auto"/>
            </w:tcBorders>
            <w:tcMar>
              <w:top w:w="120" w:type="dxa"/>
              <w:left w:w="180" w:type="dxa"/>
              <w:bottom w:w="120" w:type="dxa"/>
              <w:right w:w="180" w:type="dxa"/>
            </w:tcMar>
          </w:tcPr>
          <w:p w14:paraId="0F43267D" w14:textId="77777777" w:rsidR="00872A85" w:rsidRPr="005F6B04"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b/>
                <w:bCs/>
                <w:color w:val="1F1F1F"/>
              </w:rPr>
            </w:pPr>
            <w:r w:rsidRPr="005F6B04">
              <w:rPr>
                <w:rFonts w:ascii="Times New Roman" w:eastAsia="Google Sans" w:hAnsi="Times New Roman" w:cs="Times New Roman"/>
                <w:b/>
                <w:bCs/>
                <w:color w:val="1F1F1F"/>
              </w:rPr>
              <w:lastRenderedPageBreak/>
              <w:t>Infraestructura</w:t>
            </w:r>
          </w:p>
        </w:tc>
        <w:tc>
          <w:tcPr>
            <w:tcW w:w="2843" w:type="dxa"/>
            <w:tcBorders>
              <w:top w:val="single" w:sz="4" w:space="0" w:color="auto"/>
              <w:bottom w:val="single" w:sz="4" w:space="0" w:color="auto"/>
            </w:tcBorders>
            <w:tcMar>
              <w:top w:w="120" w:type="dxa"/>
              <w:left w:w="180" w:type="dxa"/>
              <w:bottom w:w="120" w:type="dxa"/>
              <w:right w:w="180" w:type="dxa"/>
            </w:tcMar>
          </w:tcPr>
          <w:p w14:paraId="1E283A31"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RRHH capacitados para planificar ampliaciones y mantenimiento de planta edilicia.</w:t>
            </w:r>
          </w:p>
        </w:tc>
        <w:tc>
          <w:tcPr>
            <w:tcW w:w="3260" w:type="dxa"/>
            <w:tcBorders>
              <w:top w:val="single" w:sz="4" w:space="0" w:color="auto"/>
              <w:bottom w:val="single" w:sz="4" w:space="0" w:color="auto"/>
            </w:tcBorders>
            <w:tcMar>
              <w:top w:w="120" w:type="dxa"/>
              <w:left w:w="180" w:type="dxa"/>
              <w:bottom w:w="120" w:type="dxa"/>
              <w:right w:w="180" w:type="dxa"/>
            </w:tcMar>
          </w:tcPr>
          <w:p w14:paraId="084D26CC" w14:textId="77777777" w:rsidR="00872A85" w:rsidRPr="003B1B53" w:rsidRDefault="00872A85" w:rsidP="005F6B04">
            <w:pPr>
              <w:pBdr>
                <w:top w:val="nil"/>
                <w:left w:val="nil"/>
                <w:bottom w:val="nil"/>
                <w:right w:val="nil"/>
                <w:between w:val="nil"/>
              </w:pBdr>
              <w:spacing w:after="0" w:line="240" w:lineRule="auto"/>
              <w:ind w:left="142"/>
              <w:rPr>
                <w:rFonts w:ascii="Times New Roman" w:eastAsia="Google Sans" w:hAnsi="Times New Roman" w:cs="Times New Roman"/>
                <w:color w:val="444746"/>
                <w:vertAlign w:val="superscript"/>
              </w:rPr>
            </w:pPr>
            <w:r w:rsidRPr="003B1B53">
              <w:rPr>
                <w:rFonts w:ascii="Times New Roman" w:eastAsia="Google Sans" w:hAnsi="Times New Roman" w:cs="Times New Roman"/>
                <w:color w:val="1F1F1F"/>
              </w:rPr>
              <w:t>Coyuntura macroeconómica inestable que afecta la incorporación de equipamiento.</w:t>
            </w:r>
          </w:p>
        </w:tc>
      </w:tr>
    </w:tbl>
    <w:p w14:paraId="6C7020EE" w14:textId="77777777" w:rsidR="00CB2237" w:rsidRPr="00872A85" w:rsidRDefault="00CB2237" w:rsidP="005F6B04">
      <w:pPr>
        <w:spacing w:before="120" w:line="240" w:lineRule="auto"/>
        <w:ind w:left="142"/>
        <w:jc w:val="both"/>
        <w:rPr>
          <w:rFonts w:ascii="Times New Roman" w:hAnsi="Times New Roman" w:cs="Times New Roman"/>
          <w:lang w:val="es-AR"/>
        </w:rPr>
      </w:pPr>
      <w:r w:rsidRPr="00872A85">
        <w:rPr>
          <w:rFonts w:ascii="Times New Roman" w:hAnsi="Times New Roman" w:cs="Times New Roman"/>
          <w:lang w:val="es-AR"/>
        </w:rPr>
        <w:t>La alineación del CIRCOT con esta matriz implica fortalecer su rol como unidad generadora de recursos propios a través de servicios a terceros y convenios específicos, compensando la debilidad del financiamiento externo. Asimismo, contribuye a mitigar la brecha de actualización tecnológica mediante la transferencia directa de los conocimientos generados en sus investigaciones hacia las cátedras de las carreras de ingeniería, aportando a la innovación pedagógica de la Facultad.</w:t>
      </w:r>
    </w:p>
    <w:p w14:paraId="7D7D52BF" w14:textId="7C52E7CB" w:rsidR="00CB2237" w:rsidRPr="00CB2237" w:rsidRDefault="00CB2237" w:rsidP="005F6B04">
      <w:pPr>
        <w:spacing w:before="120" w:line="240" w:lineRule="auto"/>
        <w:ind w:left="142"/>
        <w:jc w:val="both"/>
        <w:rPr>
          <w:rFonts w:ascii="Times New Roman" w:hAnsi="Times New Roman" w:cs="Times New Roman"/>
          <w:b/>
          <w:bCs/>
          <w:lang w:val="es-AR"/>
        </w:rPr>
      </w:pPr>
      <w:r w:rsidRPr="00CB2237">
        <w:rPr>
          <w:rFonts w:ascii="Times New Roman" w:hAnsi="Times New Roman" w:cs="Times New Roman"/>
          <w:b/>
          <w:bCs/>
          <w:lang w:val="es-AR"/>
        </w:rPr>
        <w:t>2.3.2. Integración en los Cinco Lineamientos Estratégicos de la FI</w:t>
      </w:r>
    </w:p>
    <w:p w14:paraId="6269B090" w14:textId="77777777" w:rsidR="00CB2237" w:rsidRPr="00872A85" w:rsidRDefault="00CB2237" w:rsidP="005F6B04">
      <w:pPr>
        <w:spacing w:before="120" w:line="240" w:lineRule="auto"/>
        <w:ind w:left="142"/>
        <w:jc w:val="both"/>
        <w:rPr>
          <w:rFonts w:ascii="Times New Roman" w:hAnsi="Times New Roman" w:cs="Times New Roman"/>
          <w:lang w:val="es-AR"/>
        </w:rPr>
      </w:pPr>
      <w:r w:rsidRPr="00872A85">
        <w:rPr>
          <w:rFonts w:ascii="Times New Roman" w:hAnsi="Times New Roman" w:cs="Times New Roman"/>
          <w:lang w:val="es-AR"/>
        </w:rPr>
        <w:t>La propuesta de profesionalización del CIRCOT se inserta y adopta de forma explícita los cinco lineamientos definidos por la Facultad de Ingeniería para estructurar su propia planificación estratégica 2026-2030:</w:t>
      </w:r>
    </w:p>
    <w:p w14:paraId="3160527C" w14:textId="535FACA1" w:rsidR="00CB2237" w:rsidRPr="00B867FA" w:rsidRDefault="00CB2237" w:rsidP="000B6D19">
      <w:pPr>
        <w:pStyle w:val="Prrafodelista"/>
        <w:numPr>
          <w:ilvl w:val="0"/>
          <w:numId w:val="5"/>
        </w:numPr>
        <w:spacing w:before="120" w:line="240" w:lineRule="auto"/>
        <w:ind w:left="426" w:hanging="283"/>
        <w:jc w:val="both"/>
        <w:rPr>
          <w:rFonts w:ascii="Times New Roman" w:hAnsi="Times New Roman" w:cs="Times New Roman"/>
          <w:lang w:val="es-AR"/>
        </w:rPr>
      </w:pPr>
      <w:r w:rsidRPr="00B867FA">
        <w:rPr>
          <w:rFonts w:ascii="Times New Roman" w:hAnsi="Times New Roman" w:cs="Times New Roman"/>
          <w:lang w:val="es-AR"/>
        </w:rPr>
        <w:t xml:space="preserve">Formación Académica: El CIRCOT contribuye activamente mediante la formación de recursos humanos en carreras de </w:t>
      </w:r>
      <w:r w:rsidR="000B6D19">
        <w:rPr>
          <w:rFonts w:ascii="Times New Roman" w:hAnsi="Times New Roman" w:cs="Times New Roman"/>
          <w:lang w:val="es-AR"/>
        </w:rPr>
        <w:t xml:space="preserve">grado y </w:t>
      </w:r>
      <w:r w:rsidRPr="00B867FA">
        <w:rPr>
          <w:rFonts w:ascii="Times New Roman" w:hAnsi="Times New Roman" w:cs="Times New Roman"/>
          <w:lang w:val="es-AR"/>
        </w:rPr>
        <w:t>posgrado (Maestrías y Doctorados) y la incorporación temprana de estudiantes de grado en proyectos de investigación científica.</w:t>
      </w:r>
    </w:p>
    <w:p w14:paraId="5BD8D64C" w14:textId="14D38A48" w:rsidR="00CB2237" w:rsidRPr="00B867FA" w:rsidRDefault="00CB2237" w:rsidP="000B6D19">
      <w:pPr>
        <w:pStyle w:val="Prrafodelista"/>
        <w:numPr>
          <w:ilvl w:val="0"/>
          <w:numId w:val="5"/>
        </w:numPr>
        <w:spacing w:before="120" w:line="240" w:lineRule="auto"/>
        <w:ind w:left="426" w:hanging="283"/>
        <w:jc w:val="both"/>
        <w:rPr>
          <w:rFonts w:ascii="Times New Roman" w:hAnsi="Times New Roman" w:cs="Times New Roman"/>
          <w:lang w:val="es-AR"/>
        </w:rPr>
      </w:pPr>
      <w:r w:rsidRPr="00B867FA">
        <w:rPr>
          <w:rFonts w:ascii="Times New Roman" w:hAnsi="Times New Roman" w:cs="Times New Roman"/>
          <w:lang w:val="es-AR"/>
        </w:rPr>
        <w:t xml:space="preserve">Innovación, Investigación y Vinculación Tecnológica: Constituye el núcleo operativo del centro. Se enfoca en incrementar la producción </w:t>
      </w:r>
      <w:r w:rsidR="000B6D19">
        <w:rPr>
          <w:rFonts w:ascii="Times New Roman" w:hAnsi="Times New Roman" w:cs="Times New Roman"/>
          <w:lang w:val="es-AR"/>
        </w:rPr>
        <w:t>en congresos,</w:t>
      </w:r>
      <w:r w:rsidRPr="00B867FA">
        <w:rPr>
          <w:rFonts w:ascii="Times New Roman" w:hAnsi="Times New Roman" w:cs="Times New Roman"/>
          <w:lang w:val="es-AR"/>
        </w:rPr>
        <w:t xml:space="preserve"> revistas indexadas, obtención de patentes y el robustecimiento de los vínculos contractuales y técnicos con el sector privado y el Estado.</w:t>
      </w:r>
    </w:p>
    <w:p w14:paraId="561F4526" w14:textId="71A9D158" w:rsidR="00CB2237" w:rsidRPr="00B867FA" w:rsidRDefault="00CB2237" w:rsidP="000B6D19">
      <w:pPr>
        <w:pStyle w:val="Prrafodelista"/>
        <w:numPr>
          <w:ilvl w:val="0"/>
          <w:numId w:val="5"/>
        </w:numPr>
        <w:spacing w:before="120" w:line="240" w:lineRule="auto"/>
        <w:ind w:left="426" w:hanging="283"/>
        <w:jc w:val="both"/>
        <w:rPr>
          <w:rFonts w:ascii="Times New Roman" w:hAnsi="Times New Roman" w:cs="Times New Roman"/>
          <w:lang w:val="es-AR"/>
        </w:rPr>
      </w:pPr>
      <w:r w:rsidRPr="00B867FA">
        <w:rPr>
          <w:rFonts w:ascii="Times New Roman" w:hAnsi="Times New Roman" w:cs="Times New Roman"/>
          <w:lang w:val="es-AR"/>
        </w:rPr>
        <w:t>Extensión Universitaria: El centro se proyecta como un consultor técnico de referencia para la obra pública y privada de la región, aportando soluciones concretas en habitabilidad y construcción a la comunidad sanjuanina.</w:t>
      </w:r>
    </w:p>
    <w:p w14:paraId="7B9E441D" w14:textId="2168024A" w:rsidR="00CB2237" w:rsidRPr="00B867FA" w:rsidRDefault="00CB2237" w:rsidP="000B6D19">
      <w:pPr>
        <w:pStyle w:val="Prrafodelista"/>
        <w:numPr>
          <w:ilvl w:val="0"/>
          <w:numId w:val="5"/>
        </w:numPr>
        <w:spacing w:before="120" w:line="240" w:lineRule="auto"/>
        <w:ind w:left="426" w:hanging="283"/>
        <w:jc w:val="both"/>
        <w:rPr>
          <w:rFonts w:ascii="Times New Roman" w:hAnsi="Times New Roman" w:cs="Times New Roman"/>
          <w:lang w:val="es-AR"/>
        </w:rPr>
      </w:pPr>
      <w:r w:rsidRPr="00B867FA">
        <w:rPr>
          <w:rFonts w:ascii="Times New Roman" w:hAnsi="Times New Roman" w:cs="Times New Roman"/>
          <w:lang w:val="es-AR"/>
        </w:rPr>
        <w:t>Gestión Institucional: Eje donde se sitúa la propuesta de profesionalización formal</w:t>
      </w:r>
      <w:r w:rsidR="000B6D19">
        <w:rPr>
          <w:rFonts w:ascii="Times New Roman" w:hAnsi="Times New Roman" w:cs="Times New Roman"/>
          <w:lang w:val="es-AR"/>
        </w:rPr>
        <w:t>. A</w:t>
      </w:r>
      <w:r w:rsidRPr="00B867FA">
        <w:rPr>
          <w:rFonts w:ascii="Times New Roman" w:hAnsi="Times New Roman" w:cs="Times New Roman"/>
          <w:lang w:val="es-AR"/>
        </w:rPr>
        <w:t xml:space="preserve"> través del diseño e implementación del Manual de Aseguramiento de la Calidad (MAC) y el PEI propio, el CIRCOT busca optimizar el uso de su infraestructura, actualizar el equipamiento y garantizar </w:t>
      </w:r>
      <w:r w:rsidR="000B6D19" w:rsidRPr="000B6D19">
        <w:rPr>
          <w:rFonts w:ascii="Times New Roman" w:hAnsi="Times New Roman" w:cs="Times New Roman"/>
          <w:lang w:val="es-AR"/>
        </w:rPr>
        <w:t>la sustentabilidad institucional</w:t>
      </w:r>
      <w:r w:rsidR="000B6D19">
        <w:rPr>
          <w:rFonts w:ascii="Times New Roman" w:hAnsi="Times New Roman" w:cs="Times New Roman"/>
          <w:lang w:val="es-AR"/>
        </w:rPr>
        <w:t xml:space="preserve"> y </w:t>
      </w:r>
      <w:r w:rsidRPr="00B867FA">
        <w:rPr>
          <w:rFonts w:ascii="Times New Roman" w:hAnsi="Times New Roman" w:cs="Times New Roman"/>
          <w:lang w:val="es-AR"/>
        </w:rPr>
        <w:t>el bienestar de sus integrantes.</w:t>
      </w:r>
    </w:p>
    <w:p w14:paraId="0D79A344" w14:textId="58AB9225" w:rsidR="00CB2237" w:rsidRPr="00B867FA" w:rsidRDefault="00CB2237" w:rsidP="000B6D19">
      <w:pPr>
        <w:pStyle w:val="Prrafodelista"/>
        <w:numPr>
          <w:ilvl w:val="0"/>
          <w:numId w:val="5"/>
        </w:numPr>
        <w:spacing w:before="120" w:line="240" w:lineRule="auto"/>
        <w:ind w:left="426" w:hanging="283"/>
        <w:jc w:val="both"/>
        <w:rPr>
          <w:rFonts w:ascii="Times New Roman" w:hAnsi="Times New Roman" w:cs="Times New Roman"/>
          <w:lang w:val="es-AR"/>
        </w:rPr>
      </w:pPr>
      <w:r w:rsidRPr="00B867FA">
        <w:rPr>
          <w:rFonts w:ascii="Times New Roman" w:hAnsi="Times New Roman" w:cs="Times New Roman"/>
          <w:lang w:val="es-AR"/>
        </w:rPr>
        <w:t>Redes y Articulación: Promueve el concepto de red cooperativa para dinamizar la comunicación interna de la comunidad tecnológica y facilitar la articulación científica con otras unidades académicas de la UNSJ e instituciones externas.</w:t>
      </w:r>
    </w:p>
    <w:p w14:paraId="4C359F4A" w14:textId="37B4330E" w:rsidR="006B63CB" w:rsidRPr="006B63CB" w:rsidRDefault="005E3304" w:rsidP="006B63CB">
      <w:pPr>
        <w:spacing w:line="240" w:lineRule="auto"/>
        <w:jc w:val="both"/>
        <w:rPr>
          <w:rFonts w:ascii="Times New Roman" w:hAnsi="Times New Roman" w:cs="Times New Roman"/>
          <w:b/>
          <w:bCs/>
          <w:lang w:val="es-AR"/>
        </w:rPr>
      </w:pPr>
      <w:bookmarkStart w:id="1" w:name="_Hlk231287465"/>
      <w:r>
        <w:rPr>
          <w:rFonts w:ascii="Times New Roman" w:hAnsi="Times New Roman" w:cs="Times New Roman"/>
          <w:b/>
          <w:bCs/>
          <w:lang w:val="es-AR"/>
        </w:rPr>
        <w:t>3</w:t>
      </w:r>
      <w:r w:rsidR="006B63CB" w:rsidRPr="006B63CB">
        <w:rPr>
          <w:rFonts w:ascii="Times New Roman" w:hAnsi="Times New Roman" w:cs="Times New Roman"/>
          <w:b/>
          <w:bCs/>
          <w:lang w:val="es-AR"/>
        </w:rPr>
        <w:t>. Metodología</w:t>
      </w:r>
    </w:p>
    <w:p w14:paraId="0E8FEB07" w14:textId="7BB89EBD"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El presente trabajo adopta un enfoque de investigación aplicada orientado al análisis y fortalecimiento de la gestión institucional en unidades de investigación universitarias.</w:t>
      </w:r>
      <w:r w:rsidR="005E3304">
        <w:rPr>
          <w:rFonts w:ascii="Times New Roman" w:hAnsi="Times New Roman" w:cs="Times New Roman"/>
          <w:lang w:val="es-AR"/>
        </w:rPr>
        <w:t xml:space="preserve"> </w:t>
      </w:r>
      <w:r w:rsidRPr="006B63CB">
        <w:rPr>
          <w:rFonts w:ascii="Times New Roman" w:hAnsi="Times New Roman" w:cs="Times New Roman"/>
          <w:lang w:val="es-AR"/>
        </w:rPr>
        <w:t xml:space="preserve">Metodológicamente se desarrolló un estudio descriptivo de carácter </w:t>
      </w:r>
      <w:proofErr w:type="spellStart"/>
      <w:r w:rsidRPr="006B63CB">
        <w:rPr>
          <w:rFonts w:ascii="Times New Roman" w:hAnsi="Times New Roman" w:cs="Times New Roman"/>
          <w:lang w:val="es-AR"/>
        </w:rPr>
        <w:t>cuali</w:t>
      </w:r>
      <w:proofErr w:type="spellEnd"/>
      <w:r w:rsidRPr="006B63CB">
        <w:rPr>
          <w:rFonts w:ascii="Times New Roman" w:hAnsi="Times New Roman" w:cs="Times New Roman"/>
          <w:lang w:val="es-AR"/>
        </w:rPr>
        <w:t xml:space="preserve">-cuantitativo basado en el análisis documental y la construcción de indicadores institucionales. La estrategia utilizada combina herramientas de evaluación organizacional, planificación estratégica y aseguramiento de la calidad, con el propósito de identificar fortalezas, </w:t>
      </w:r>
      <w:r w:rsidRPr="006B63CB">
        <w:rPr>
          <w:rFonts w:ascii="Times New Roman" w:hAnsi="Times New Roman" w:cs="Times New Roman"/>
          <w:lang w:val="es-AR"/>
        </w:rPr>
        <w:lastRenderedPageBreak/>
        <w:t>debilidades y oportunidades de mejora en la gestión del Centro de Investigación para la Racionalización de la Construcción Tradicional (CIRCOT).</w:t>
      </w:r>
    </w:p>
    <w:p w14:paraId="42382A55"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Las fuentes de información utilizadas fueron:</w:t>
      </w:r>
    </w:p>
    <w:p w14:paraId="7FBCE0F5"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 Informes Anuales de las Unidades de Investigación de la Facultad de Ingeniería correspondientes al período 2024–2025.</w:t>
      </w:r>
    </w:p>
    <w:p w14:paraId="0C0F0E4B"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 Registros institucionales y documentación interna del CIRCOT.</w:t>
      </w:r>
    </w:p>
    <w:p w14:paraId="38A40D51"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 Plan Estratégico Institucional de la Facultad de Ingeniería.</w:t>
      </w:r>
    </w:p>
    <w:p w14:paraId="089FAD80"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 Plan de Gestión Institucional de la Universidad Nacional de San Juan.</w:t>
      </w:r>
    </w:p>
    <w:p w14:paraId="70CFCF81"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 Normativa nacional e institucional vinculada al Sistema Institucional de Aseguramiento de la Calidad (SIAC).</w:t>
      </w:r>
    </w:p>
    <w:p w14:paraId="6F58770E"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Para el análisis se construyeron indicadores agrupados en cuatro dimensiones estratégicas:</w:t>
      </w:r>
    </w:p>
    <w:p w14:paraId="2FDC4335"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a) estructura etaria del personal investigador;</w:t>
      </w:r>
    </w:p>
    <w:p w14:paraId="300B0A1E"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b) formación académica;</w:t>
      </w:r>
    </w:p>
    <w:p w14:paraId="328FEDC7"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c) dedicación institucional a la investigación;</w:t>
      </w:r>
    </w:p>
    <w:p w14:paraId="56A1ACB4" w14:textId="77777777"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d) estabilidad y regularidad laboral.</w:t>
      </w:r>
    </w:p>
    <w:p w14:paraId="2B01977D" w14:textId="136B6530" w:rsidR="006B63CB" w:rsidRPr="006B63CB" w:rsidRDefault="006B63CB" w:rsidP="006B63CB">
      <w:pPr>
        <w:spacing w:line="240" w:lineRule="auto"/>
        <w:jc w:val="both"/>
        <w:rPr>
          <w:rFonts w:ascii="Times New Roman" w:hAnsi="Times New Roman" w:cs="Times New Roman"/>
          <w:lang w:val="es-AR"/>
        </w:rPr>
      </w:pPr>
      <w:r w:rsidRPr="006B63CB">
        <w:rPr>
          <w:rFonts w:ascii="Times New Roman" w:hAnsi="Times New Roman" w:cs="Times New Roman"/>
          <w:lang w:val="es-AR"/>
        </w:rPr>
        <w:t>Los resultados obtenidos fueron posteriormente integrados a una propuesta de profesionalización institucional sustentada en un Plan Estratégico Institucional (PEI) y un Manual de Aseguramiento de la Calidad (MAC).</w:t>
      </w:r>
    </w:p>
    <w:p w14:paraId="119E4FF7" w14:textId="0A6A6B36" w:rsidR="00B867FA" w:rsidRPr="00B867FA" w:rsidRDefault="005E3304" w:rsidP="00121024">
      <w:pPr>
        <w:spacing w:line="240" w:lineRule="auto"/>
        <w:jc w:val="both"/>
        <w:rPr>
          <w:rFonts w:ascii="Times New Roman" w:hAnsi="Times New Roman" w:cs="Times New Roman"/>
          <w:b/>
          <w:bCs/>
          <w:lang w:val="es-AR"/>
        </w:rPr>
      </w:pPr>
      <w:r>
        <w:rPr>
          <w:rFonts w:ascii="Times New Roman" w:hAnsi="Times New Roman" w:cs="Times New Roman"/>
          <w:b/>
          <w:bCs/>
          <w:lang w:val="es-AR"/>
        </w:rPr>
        <w:t>4</w:t>
      </w:r>
      <w:r w:rsidR="00B867FA" w:rsidRPr="00B867FA">
        <w:rPr>
          <w:rFonts w:ascii="Times New Roman" w:hAnsi="Times New Roman" w:cs="Times New Roman"/>
          <w:b/>
          <w:bCs/>
          <w:lang w:val="es-AR"/>
        </w:rPr>
        <w:t xml:space="preserve">. </w:t>
      </w:r>
      <w:r w:rsidRPr="005E3304">
        <w:rPr>
          <w:rFonts w:ascii="Times New Roman" w:hAnsi="Times New Roman" w:cs="Times New Roman"/>
          <w:b/>
          <w:bCs/>
          <w:lang w:val="es-AR"/>
        </w:rPr>
        <w:t>E</w:t>
      </w:r>
      <w:r>
        <w:rPr>
          <w:rFonts w:ascii="Times New Roman" w:hAnsi="Times New Roman" w:cs="Times New Roman"/>
          <w:b/>
          <w:bCs/>
          <w:lang w:val="es-AR"/>
        </w:rPr>
        <w:t>l</w:t>
      </w:r>
      <w:r w:rsidRPr="005E3304">
        <w:rPr>
          <w:rFonts w:ascii="Times New Roman" w:hAnsi="Times New Roman" w:cs="Times New Roman"/>
          <w:b/>
          <w:bCs/>
          <w:lang w:val="es-AR"/>
        </w:rPr>
        <w:t xml:space="preserve"> CIRCOT</w:t>
      </w:r>
      <w:r>
        <w:rPr>
          <w:rFonts w:ascii="Times New Roman" w:hAnsi="Times New Roman" w:cs="Times New Roman"/>
          <w:b/>
          <w:bCs/>
          <w:lang w:val="es-AR"/>
        </w:rPr>
        <w:t xml:space="preserve"> como caso de estudio y diagnóstico institucional</w:t>
      </w:r>
    </w:p>
    <w:p w14:paraId="016E6D22" w14:textId="1D4435C3" w:rsidR="00B867FA" w:rsidRPr="00B867FA" w:rsidRDefault="005E3304" w:rsidP="00121024">
      <w:pPr>
        <w:spacing w:line="240" w:lineRule="auto"/>
        <w:jc w:val="both"/>
        <w:rPr>
          <w:rFonts w:ascii="Times New Roman" w:hAnsi="Times New Roman" w:cs="Times New Roman"/>
          <w:b/>
          <w:bCs/>
          <w:lang w:val="es-AR"/>
        </w:rPr>
      </w:pPr>
      <w:r>
        <w:rPr>
          <w:rFonts w:ascii="Times New Roman" w:hAnsi="Times New Roman" w:cs="Times New Roman"/>
          <w:b/>
          <w:bCs/>
          <w:lang w:val="es-AR"/>
        </w:rPr>
        <w:t>4</w:t>
      </w:r>
      <w:r w:rsidR="00B867FA" w:rsidRPr="00B867FA">
        <w:rPr>
          <w:rFonts w:ascii="Times New Roman" w:hAnsi="Times New Roman" w:cs="Times New Roman"/>
          <w:b/>
          <w:bCs/>
          <w:lang w:val="es-AR"/>
        </w:rPr>
        <w:t>.1. Trayectoria institucional</w:t>
      </w:r>
    </w:p>
    <w:p w14:paraId="045D5FE3" w14:textId="34E92DDD" w:rsidR="00B867FA" w:rsidRPr="00B867FA" w:rsidRDefault="00B867FA" w:rsidP="00121024">
      <w:pPr>
        <w:spacing w:line="240" w:lineRule="auto"/>
        <w:jc w:val="both"/>
        <w:rPr>
          <w:rFonts w:ascii="Times New Roman" w:hAnsi="Times New Roman" w:cs="Times New Roman"/>
          <w:lang w:val="es-AR"/>
        </w:rPr>
      </w:pPr>
      <w:r w:rsidRPr="00B867FA">
        <w:rPr>
          <w:rFonts w:ascii="Times New Roman" w:hAnsi="Times New Roman" w:cs="Times New Roman"/>
          <w:lang w:val="es-AR"/>
        </w:rPr>
        <w:t xml:space="preserve">Desde su creación en 1982, el Centro de Investigación para la Racionalización de la Construcción Tradicional (CIRCOT) ha desarrollado de manera ininterrumpida actividades de investigación aplicada, transferencia tecnológica y asistencia técnica de alto impacto regional. Su campo de acción se centra específicamente en la racionalización y optimización de los </w:t>
      </w:r>
      <w:r w:rsidR="00121024">
        <w:rPr>
          <w:rFonts w:ascii="Times New Roman" w:hAnsi="Times New Roman" w:cs="Times New Roman"/>
          <w:lang w:val="es-AR"/>
        </w:rPr>
        <w:t xml:space="preserve">procesos y </w:t>
      </w:r>
      <w:r w:rsidRPr="00B867FA">
        <w:rPr>
          <w:rFonts w:ascii="Times New Roman" w:hAnsi="Times New Roman" w:cs="Times New Roman"/>
          <w:lang w:val="es-AR"/>
        </w:rPr>
        <w:t xml:space="preserve">sistemas constructivos tradicionales y no tradicionales, posicionándose como un referente socioproductivo en el entorno árido y sísmico de la provincia de San Juan. </w:t>
      </w:r>
    </w:p>
    <w:p w14:paraId="0D34333A" w14:textId="1421218E" w:rsidR="00B867FA" w:rsidRPr="00B867FA" w:rsidRDefault="005E3304" w:rsidP="00121024">
      <w:pPr>
        <w:spacing w:line="240" w:lineRule="auto"/>
        <w:jc w:val="both"/>
        <w:rPr>
          <w:rFonts w:ascii="Times New Roman" w:hAnsi="Times New Roman" w:cs="Times New Roman"/>
          <w:b/>
          <w:bCs/>
          <w:lang w:val="es-AR"/>
        </w:rPr>
      </w:pPr>
      <w:r>
        <w:rPr>
          <w:rFonts w:ascii="Times New Roman" w:hAnsi="Times New Roman" w:cs="Times New Roman"/>
          <w:b/>
          <w:bCs/>
          <w:lang w:val="es-AR"/>
        </w:rPr>
        <w:t>4</w:t>
      </w:r>
      <w:r w:rsidR="00B867FA" w:rsidRPr="00B867FA">
        <w:rPr>
          <w:rFonts w:ascii="Times New Roman" w:hAnsi="Times New Roman" w:cs="Times New Roman"/>
          <w:b/>
          <w:bCs/>
          <w:lang w:val="es-AR"/>
        </w:rPr>
        <w:t>.2. Desafíos actuales de la unidad</w:t>
      </w:r>
    </w:p>
    <w:p w14:paraId="269DFA0B" w14:textId="77777777" w:rsidR="00B867FA" w:rsidRPr="00B867FA" w:rsidRDefault="00B867FA" w:rsidP="00121024">
      <w:pPr>
        <w:spacing w:line="240" w:lineRule="auto"/>
        <w:jc w:val="both"/>
        <w:rPr>
          <w:rFonts w:ascii="Times New Roman" w:hAnsi="Times New Roman" w:cs="Times New Roman"/>
          <w:lang w:val="es-AR"/>
        </w:rPr>
      </w:pPr>
      <w:r w:rsidRPr="00B867FA">
        <w:rPr>
          <w:rFonts w:ascii="Times New Roman" w:hAnsi="Times New Roman" w:cs="Times New Roman"/>
          <w:lang w:val="es-AR"/>
        </w:rPr>
        <w:t xml:space="preserve">El proceso de diagnóstico organizacional y el análisis de los indicadores internos permitieron identificar una serie de desafíos estratégicos interconectados que condicionan la evolución de la unidad: </w:t>
      </w:r>
    </w:p>
    <w:p w14:paraId="158E3486" w14:textId="77777777" w:rsidR="00B867FA" w:rsidRPr="00B867FA" w:rsidRDefault="00B867FA" w:rsidP="00121024">
      <w:pPr>
        <w:numPr>
          <w:ilvl w:val="0"/>
          <w:numId w:val="7"/>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Recambio generacional: Necesidad imperativa de mitigar la brecha de mandos intermedios ante la inminente jubilación de los cuadros técnicos fundacionales. </w:t>
      </w:r>
    </w:p>
    <w:p w14:paraId="0B81AB09" w14:textId="1D101484" w:rsidR="00B867FA" w:rsidRPr="00B867FA" w:rsidRDefault="00B867FA" w:rsidP="00121024">
      <w:pPr>
        <w:numPr>
          <w:ilvl w:val="0"/>
          <w:numId w:val="7"/>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lastRenderedPageBreak/>
        <w:t>Sostenibilidad de recursos humanos: Urgencia de revertir la alta tasa de interinatos y la dispersión horaria provocada por la preeminencia de dedicaciones simples</w:t>
      </w:r>
      <w:r w:rsidR="00693895">
        <w:rPr>
          <w:rFonts w:ascii="Times New Roman" w:hAnsi="Times New Roman" w:cs="Times New Roman"/>
          <w:lang w:val="es-AR"/>
        </w:rPr>
        <w:t xml:space="preserve"> </w:t>
      </w:r>
      <w:r w:rsidR="00693895" w:rsidRPr="00693895">
        <w:rPr>
          <w:rFonts w:ascii="Times New Roman" w:hAnsi="Times New Roman" w:cs="Times New Roman"/>
          <w:lang w:val="es-AR"/>
        </w:rPr>
        <w:t>(Facultad de Ingeniería, 2024b)</w:t>
      </w:r>
      <w:r w:rsidRPr="00B867FA">
        <w:rPr>
          <w:rFonts w:ascii="Times New Roman" w:hAnsi="Times New Roman" w:cs="Times New Roman"/>
          <w:lang w:val="es-AR"/>
        </w:rPr>
        <w:t xml:space="preserve">. </w:t>
      </w:r>
    </w:p>
    <w:p w14:paraId="088B2E26" w14:textId="77777777" w:rsidR="00B867FA" w:rsidRPr="00B867FA" w:rsidRDefault="00B867FA" w:rsidP="00121024">
      <w:pPr>
        <w:numPr>
          <w:ilvl w:val="0"/>
          <w:numId w:val="7"/>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Fortalecimiento de la vinculación tecnológica: Desafío de diversificar e incrementar los canales de transferencia formal con municipios, empresas y organismos del Estado. </w:t>
      </w:r>
    </w:p>
    <w:p w14:paraId="5E760BEB" w14:textId="77777777" w:rsidR="00B867FA" w:rsidRPr="00B867FA" w:rsidRDefault="00B867FA" w:rsidP="00121024">
      <w:pPr>
        <w:numPr>
          <w:ilvl w:val="0"/>
          <w:numId w:val="7"/>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Formalización de procesos: Superación del modelo tradicional basado en el conocimiento tácito y la intuición mediante la estandarización procedimental. </w:t>
      </w:r>
    </w:p>
    <w:p w14:paraId="71B42556" w14:textId="77777777" w:rsidR="00B867FA" w:rsidRPr="00B867FA" w:rsidRDefault="00B867FA" w:rsidP="00121024">
      <w:pPr>
        <w:numPr>
          <w:ilvl w:val="0"/>
          <w:numId w:val="7"/>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Aseguramiento de la calidad: Implementación de mecanismos de control internos y externos que garanticen la excelencia y trazabilidad de la producción científica y de los servicios a terceros. </w:t>
      </w:r>
    </w:p>
    <w:p w14:paraId="270954D2" w14:textId="3F2D7DA8" w:rsidR="00B867FA" w:rsidRPr="00B867FA" w:rsidRDefault="005E3304" w:rsidP="00121024">
      <w:pPr>
        <w:spacing w:line="240" w:lineRule="auto"/>
        <w:jc w:val="both"/>
        <w:rPr>
          <w:rFonts w:ascii="Times New Roman" w:hAnsi="Times New Roman" w:cs="Times New Roman"/>
          <w:b/>
          <w:bCs/>
          <w:lang w:val="es-AR"/>
        </w:rPr>
      </w:pPr>
      <w:r>
        <w:rPr>
          <w:rFonts w:ascii="Times New Roman" w:hAnsi="Times New Roman" w:cs="Times New Roman"/>
          <w:b/>
          <w:bCs/>
          <w:lang w:val="es-AR"/>
        </w:rPr>
        <w:t>4</w:t>
      </w:r>
      <w:r w:rsidR="00B867FA" w:rsidRPr="00B867FA">
        <w:rPr>
          <w:rFonts w:ascii="Times New Roman" w:hAnsi="Times New Roman" w:cs="Times New Roman"/>
          <w:b/>
          <w:bCs/>
          <w:lang w:val="es-AR"/>
        </w:rPr>
        <w:t>.3. Análisis FODA Integrado del CIRCOT</w:t>
      </w:r>
    </w:p>
    <w:p w14:paraId="2C07CA71" w14:textId="77777777" w:rsidR="00B867FA" w:rsidRPr="00B867FA" w:rsidRDefault="00B867FA" w:rsidP="00121024">
      <w:pPr>
        <w:spacing w:line="240" w:lineRule="auto"/>
        <w:jc w:val="both"/>
        <w:rPr>
          <w:rFonts w:ascii="Times New Roman" w:hAnsi="Times New Roman" w:cs="Times New Roman"/>
          <w:lang w:val="es-AR"/>
        </w:rPr>
      </w:pPr>
      <w:r w:rsidRPr="00B867FA">
        <w:rPr>
          <w:rFonts w:ascii="Times New Roman" w:hAnsi="Times New Roman" w:cs="Times New Roman"/>
          <w:lang w:val="es-AR"/>
        </w:rPr>
        <w:t xml:space="preserve">A partir del cruce entre el Plan Estratégico de la Facultad de Ingeniería (PEI-FI) y el relevamiento de las capacidades operativas del propio centro, se consolida la siguiente matriz diagnóstica: </w:t>
      </w:r>
    </w:p>
    <w:p w14:paraId="41EE15D6" w14:textId="77777777" w:rsidR="00B867FA" w:rsidRPr="005E3304" w:rsidRDefault="00B867FA" w:rsidP="00121024">
      <w:pPr>
        <w:spacing w:line="240" w:lineRule="auto"/>
        <w:jc w:val="both"/>
        <w:rPr>
          <w:rFonts w:ascii="Times New Roman" w:hAnsi="Times New Roman" w:cs="Times New Roman"/>
          <w:b/>
          <w:bCs/>
          <w:lang w:val="es-AR"/>
        </w:rPr>
      </w:pPr>
      <w:r w:rsidRPr="005E3304">
        <w:rPr>
          <w:rFonts w:ascii="Times New Roman" w:hAnsi="Times New Roman" w:cs="Times New Roman"/>
          <w:b/>
          <w:bCs/>
          <w:lang w:val="es-AR"/>
        </w:rPr>
        <w:t>Fortalezas</w:t>
      </w:r>
    </w:p>
    <w:p w14:paraId="65C882D7"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Más de cuarenta años de trayectoria y un sólido prestigio extensionista en el medio socio-productivo regional. </w:t>
      </w:r>
    </w:p>
    <w:p w14:paraId="40F72FB7" w14:textId="37ACA092" w:rsidR="00715851" w:rsidRPr="00715851" w:rsidRDefault="00715851" w:rsidP="00715851">
      <w:pPr>
        <w:numPr>
          <w:ilvl w:val="0"/>
          <w:numId w:val="8"/>
        </w:numPr>
        <w:spacing w:line="240" w:lineRule="auto"/>
        <w:ind w:left="284" w:hanging="284"/>
        <w:jc w:val="both"/>
        <w:rPr>
          <w:rFonts w:ascii="Times New Roman" w:hAnsi="Times New Roman" w:cs="Times New Roman"/>
          <w:lang w:val="es-AR"/>
        </w:rPr>
      </w:pPr>
      <w:r w:rsidRPr="00715851">
        <w:rPr>
          <w:rFonts w:ascii="Times New Roman" w:hAnsi="Times New Roman" w:cs="Times New Roman"/>
          <w:lang w:val="es-AR"/>
        </w:rPr>
        <w:t>Disponibilidad de equipamiento informático, dispositivos de medición para el control de calidad en obra y un know-how en metodologías de relevamiento de datos en territorio y procesos constructivos, con probada capacidad para generar recursos propios mediante servicios tecnológicos y asesorías técnicas convencionales y no tradicionales.</w:t>
      </w:r>
    </w:p>
    <w:p w14:paraId="1C7E2914"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Base dinámica de investigadores jóvenes (40% de la planta) con alta permeabilidad hacia nuevas metodologías y herramientas tecnológicas (BIM, simulación energética). </w:t>
      </w:r>
    </w:p>
    <w:p w14:paraId="2EFAA827" w14:textId="77777777" w:rsidR="00B867FA" w:rsidRPr="005E3304" w:rsidRDefault="00B867FA" w:rsidP="00121024">
      <w:pPr>
        <w:spacing w:line="240" w:lineRule="auto"/>
        <w:jc w:val="both"/>
        <w:rPr>
          <w:rFonts w:ascii="Times New Roman" w:hAnsi="Times New Roman" w:cs="Times New Roman"/>
          <w:b/>
          <w:bCs/>
          <w:lang w:val="es-AR"/>
        </w:rPr>
      </w:pPr>
      <w:r w:rsidRPr="005E3304">
        <w:rPr>
          <w:rFonts w:ascii="Times New Roman" w:hAnsi="Times New Roman" w:cs="Times New Roman"/>
          <w:b/>
          <w:bCs/>
          <w:lang w:val="es-AR"/>
        </w:rPr>
        <w:t>Debilidades</w:t>
      </w:r>
    </w:p>
    <w:p w14:paraId="6111A95F"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Ausencia de personal con formación de Doctorado o Posdoctorado (0%) y un 66,67% de la planta concentrada exclusivamente en la titulación de grado. </w:t>
      </w:r>
    </w:p>
    <w:p w14:paraId="7D9B8D1B"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Marcada vulnerabilidad horaria y laboral, con un 60% de cargos simples y un 60% de personal en condición de interinato. </w:t>
      </w:r>
    </w:p>
    <w:p w14:paraId="53813EB7"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Falta de formalización de procesos internos, lo que genera una alta dependencia del conocimiento tácito individual de cada investigador. </w:t>
      </w:r>
    </w:p>
    <w:p w14:paraId="204FE0B4" w14:textId="77777777" w:rsidR="00B867FA" w:rsidRPr="005E3304" w:rsidRDefault="00B867FA" w:rsidP="005E3304">
      <w:pPr>
        <w:spacing w:line="240" w:lineRule="auto"/>
        <w:jc w:val="both"/>
        <w:rPr>
          <w:rFonts w:ascii="Times New Roman" w:hAnsi="Times New Roman" w:cs="Times New Roman"/>
          <w:b/>
          <w:bCs/>
          <w:lang w:val="es-AR"/>
        </w:rPr>
      </w:pPr>
      <w:r w:rsidRPr="005E3304">
        <w:rPr>
          <w:rFonts w:ascii="Times New Roman" w:hAnsi="Times New Roman" w:cs="Times New Roman"/>
          <w:b/>
          <w:bCs/>
          <w:lang w:val="es-AR"/>
        </w:rPr>
        <w:t>Oportunidades</w:t>
      </w:r>
    </w:p>
    <w:p w14:paraId="336C1449"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Marco </w:t>
      </w:r>
      <w:proofErr w:type="spellStart"/>
      <w:r w:rsidRPr="00B867FA">
        <w:rPr>
          <w:rFonts w:ascii="Times New Roman" w:hAnsi="Times New Roman" w:cs="Times New Roman"/>
          <w:lang w:val="es-AR"/>
        </w:rPr>
        <w:t>macro-institucional</w:t>
      </w:r>
      <w:proofErr w:type="spellEnd"/>
      <w:r w:rsidRPr="00B867FA">
        <w:rPr>
          <w:rFonts w:ascii="Times New Roman" w:hAnsi="Times New Roman" w:cs="Times New Roman"/>
          <w:lang w:val="es-AR"/>
        </w:rPr>
        <w:t xml:space="preserve"> favorable a través del SIAC-UNSJ y la </w:t>
      </w:r>
      <w:proofErr w:type="spellStart"/>
      <w:r w:rsidRPr="00B867FA">
        <w:rPr>
          <w:rFonts w:ascii="Times New Roman" w:hAnsi="Times New Roman" w:cs="Times New Roman"/>
          <w:lang w:val="es-AR"/>
        </w:rPr>
        <w:t>SePECI</w:t>
      </w:r>
      <w:proofErr w:type="spellEnd"/>
      <w:r w:rsidRPr="00B867FA">
        <w:rPr>
          <w:rFonts w:ascii="Times New Roman" w:hAnsi="Times New Roman" w:cs="Times New Roman"/>
          <w:lang w:val="es-AR"/>
        </w:rPr>
        <w:t xml:space="preserve">, que ofrecen soporte técnico y normativo para los procesos de autoevaluación y mejora continua. </w:t>
      </w:r>
    </w:p>
    <w:p w14:paraId="54530584"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lastRenderedPageBreak/>
        <w:t xml:space="preserve">Creciente demanda estatal y privada de soluciones habitacionales sustentables, de baja huella de carbono y adaptadas a zonas sísmicas. </w:t>
      </w:r>
    </w:p>
    <w:p w14:paraId="1007805B"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Articulación con programas de financiamiento y capacitación de la UNSJ, como el Plan de Formación Docente (FODO). </w:t>
      </w:r>
    </w:p>
    <w:p w14:paraId="0AD3F003" w14:textId="77777777" w:rsidR="00B867FA" w:rsidRPr="00F2407E" w:rsidRDefault="00B867FA" w:rsidP="00121024">
      <w:pPr>
        <w:spacing w:line="240" w:lineRule="auto"/>
        <w:jc w:val="both"/>
        <w:rPr>
          <w:rFonts w:ascii="Times New Roman" w:hAnsi="Times New Roman" w:cs="Times New Roman"/>
          <w:b/>
          <w:bCs/>
          <w:lang w:val="es-AR"/>
        </w:rPr>
      </w:pPr>
      <w:r w:rsidRPr="00F2407E">
        <w:rPr>
          <w:rFonts w:ascii="Times New Roman" w:hAnsi="Times New Roman" w:cs="Times New Roman"/>
          <w:b/>
          <w:bCs/>
          <w:lang w:val="es-AR"/>
        </w:rPr>
        <w:t>Amenazas</w:t>
      </w:r>
    </w:p>
    <w:p w14:paraId="7FAB6B78" w14:textId="7469A6B4" w:rsidR="00B867FA" w:rsidRPr="00715851" w:rsidRDefault="00715851" w:rsidP="00715851">
      <w:pPr>
        <w:numPr>
          <w:ilvl w:val="0"/>
          <w:numId w:val="8"/>
        </w:numPr>
        <w:spacing w:line="240" w:lineRule="auto"/>
        <w:ind w:left="284" w:hanging="284"/>
        <w:jc w:val="both"/>
        <w:rPr>
          <w:rFonts w:ascii="Times New Roman" w:hAnsi="Times New Roman" w:cs="Times New Roman"/>
          <w:lang w:val="es-AR"/>
        </w:rPr>
      </w:pPr>
      <w:r w:rsidRPr="00715851">
        <w:rPr>
          <w:rFonts w:ascii="Times New Roman" w:hAnsi="Times New Roman" w:cs="Times New Roman"/>
          <w:lang w:val="es-AR"/>
        </w:rPr>
        <w:t>Inestabilidad macroeconómica que encarece la adquisición de licencias informáticas y dispositivos de medición, acelerando la obsolescencia tecnológica y dificultando la actualización del instrumental de campo indispensable para los relevamientos.</w:t>
      </w:r>
      <w:r w:rsidR="00B867FA" w:rsidRPr="00715851">
        <w:rPr>
          <w:rFonts w:ascii="Times New Roman" w:hAnsi="Times New Roman" w:cs="Times New Roman"/>
          <w:lang w:val="es-AR"/>
        </w:rPr>
        <w:t xml:space="preserve"> </w:t>
      </w:r>
    </w:p>
    <w:p w14:paraId="6E46C643"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Riesgo inminente de pérdida irreversible de capital intelectual (el know-how histórico) debido al retiro de los investigadores sénior sin un canal formalizado de transferencia. </w:t>
      </w:r>
    </w:p>
    <w:p w14:paraId="2C30F94B" w14:textId="77777777" w:rsidR="00B867FA" w:rsidRPr="00B867FA" w:rsidRDefault="00B867FA" w:rsidP="00121024">
      <w:pPr>
        <w:numPr>
          <w:ilvl w:val="0"/>
          <w:numId w:val="8"/>
        </w:numPr>
        <w:spacing w:line="240" w:lineRule="auto"/>
        <w:ind w:left="284" w:hanging="284"/>
        <w:jc w:val="both"/>
        <w:rPr>
          <w:rFonts w:ascii="Times New Roman" w:hAnsi="Times New Roman" w:cs="Times New Roman"/>
          <w:lang w:val="es-AR"/>
        </w:rPr>
      </w:pPr>
      <w:r w:rsidRPr="00B867FA">
        <w:rPr>
          <w:rFonts w:ascii="Times New Roman" w:hAnsi="Times New Roman" w:cs="Times New Roman"/>
          <w:lang w:val="es-AR"/>
        </w:rPr>
        <w:t xml:space="preserve">Desgranamiento de la matrícula en los niveles superiores de ingeniería, lo que limita la incorporación de becarios y el semillero de nuevos investigadores. </w:t>
      </w:r>
    </w:p>
    <w:p w14:paraId="7D5681A8"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4.4. Estructura etaria y demografía del personal investigador</w:t>
      </w:r>
    </w:p>
    <w:p w14:paraId="7AB90330"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La distribución por edades constituye un indicador clave para evaluar la sostenibilidad institucional, analizando en simultáneo la capacidad de renovación generacional y la conservación del conocimiento acumulado. La composición demográfica del CIRCOT revela un perfil particularizado:</w:t>
      </w:r>
    </w:p>
    <w:p w14:paraId="26BC3DB4" w14:textId="77777777" w:rsidR="00F2407E" w:rsidRPr="00015CEC" w:rsidRDefault="00F2407E" w:rsidP="00033059">
      <w:pPr>
        <w:numPr>
          <w:ilvl w:val="0"/>
          <w:numId w:val="19"/>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Segmento Joven (hasta 35 años) - 40,00%:</w:t>
      </w:r>
      <w:r w:rsidRPr="00015CEC">
        <w:rPr>
          <w:rFonts w:ascii="Times New Roman" w:hAnsi="Times New Roman" w:cs="Times New Roman"/>
          <w:lang w:val="es-AR"/>
        </w:rPr>
        <w:t xml:space="preserve"> Representa una fortaleza institucional significativa. Supera ampliamente el valor orientativo de referencia (15–25%), garantizando una base dinámica para la renovación y el crecimiento del centro.</w:t>
      </w:r>
    </w:p>
    <w:p w14:paraId="1E97E035" w14:textId="77777777" w:rsidR="00F2407E" w:rsidRPr="00015CEC" w:rsidRDefault="00F2407E" w:rsidP="00033059">
      <w:pPr>
        <w:numPr>
          <w:ilvl w:val="0"/>
          <w:numId w:val="19"/>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Segmento de Consolidación (36 a 45 años) - 15,00%:</w:t>
      </w:r>
      <w:r w:rsidRPr="00015CEC">
        <w:rPr>
          <w:rFonts w:ascii="Times New Roman" w:hAnsi="Times New Roman" w:cs="Times New Roman"/>
          <w:lang w:val="es-AR"/>
        </w:rPr>
        <w:t xml:space="preserve"> Se identifica como un resultado débil, ubicándose muy por debajo del rango de referencia deseable (30–40%). Esta subrepresentación genera una brecha crítica entre la capa joven y los investigadores sénior, poniendo en riesgo la continuidad de los liderazgos científicos intermedios.</w:t>
      </w:r>
    </w:p>
    <w:p w14:paraId="43812579" w14:textId="77777777" w:rsidR="00F2407E" w:rsidRPr="00015CEC" w:rsidRDefault="00F2407E" w:rsidP="00033059">
      <w:pPr>
        <w:numPr>
          <w:ilvl w:val="0"/>
          <w:numId w:val="19"/>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Segmento Núcleo y Retiro (más de 46 años) - 45,00%:</w:t>
      </w:r>
      <w:r w:rsidRPr="00015CEC">
        <w:rPr>
          <w:rFonts w:ascii="Times New Roman" w:hAnsi="Times New Roman" w:cs="Times New Roman"/>
          <w:lang w:val="es-AR"/>
        </w:rPr>
        <w:t xml:space="preserve"> Muestra una alta concentración de personal experimentado próximo a la jubilación. Si bien retiene el capital histórico de la unidad, introduce el riesgo inminente de pérdida de conocimiento si no se estructuran canales de transferencia formal.</w:t>
      </w:r>
    </w:p>
    <w:p w14:paraId="4C877317"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4.5. Formación académica y capacidades científicas</w:t>
      </w:r>
    </w:p>
    <w:p w14:paraId="035714EC"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El nivel de titulación formal determina la capacidad competitiva del centro para el acceso a fondos nacionales e internacionales de Ciencia y Técnica. De acuerdo con los estándares orientativos establecidos por la Secretaría de Investigaciones de la FI, la composición académica del CIRCOT muestra un desequilibrio estructural:</w:t>
      </w:r>
    </w:p>
    <w:p w14:paraId="3ECA53DD" w14:textId="77777777" w:rsidR="00F2407E" w:rsidRPr="00015CEC" w:rsidRDefault="00F2407E" w:rsidP="00033059">
      <w:pPr>
        <w:numPr>
          <w:ilvl w:val="0"/>
          <w:numId w:val="19"/>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 xml:space="preserve">Título de Grado como máxima titulación - 66,67%: </w:t>
      </w:r>
      <w:r w:rsidRPr="00015CEC">
        <w:rPr>
          <w:rFonts w:ascii="Times New Roman" w:hAnsi="Times New Roman" w:cs="Times New Roman"/>
          <w:lang w:val="es-AR"/>
        </w:rPr>
        <w:t>Supera de forma crítica el umbral máximo aceptable del 60% definido para el perfil de los centros de investigación.</w:t>
      </w:r>
    </w:p>
    <w:p w14:paraId="73000C9D" w14:textId="77777777" w:rsidR="00F2407E" w:rsidRPr="00015CEC" w:rsidRDefault="00F2407E" w:rsidP="00033059">
      <w:pPr>
        <w:numPr>
          <w:ilvl w:val="0"/>
          <w:numId w:val="20"/>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lastRenderedPageBreak/>
        <w:t>Formación de Posgrado (Especialización y Maestría) - 33,33%:</w:t>
      </w:r>
      <w:r w:rsidRPr="00015CEC">
        <w:rPr>
          <w:rFonts w:ascii="Times New Roman" w:hAnsi="Times New Roman" w:cs="Times New Roman"/>
          <w:lang w:val="es-AR"/>
        </w:rPr>
        <w:t xml:space="preserve"> Se mantiene en un nivel intermedio bajo.</w:t>
      </w:r>
    </w:p>
    <w:p w14:paraId="63F0E03D" w14:textId="77777777" w:rsidR="00F2407E" w:rsidRPr="00015CEC" w:rsidRDefault="00F2407E" w:rsidP="00033059">
      <w:pPr>
        <w:numPr>
          <w:ilvl w:val="0"/>
          <w:numId w:val="20"/>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Doctorados y Posdoctorados - 0,00%:</w:t>
      </w:r>
      <w:r w:rsidRPr="00015CEC">
        <w:rPr>
          <w:rFonts w:ascii="Times New Roman" w:hAnsi="Times New Roman" w:cs="Times New Roman"/>
          <w:lang w:val="es-AR"/>
        </w:rPr>
        <w:t xml:space="preserve"> Registra una ausencia total de perfiles doctorales frente al valor óptimo sugerido del 40%. Esta carencia restringe la capacidad institucional para acreditar proyectos avanzados, dirigir recursos humanos de posgrado y ralentiza la categorización del personal en el Programa de Incentivos.</w:t>
      </w:r>
    </w:p>
    <w:p w14:paraId="2AD77215"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4.6. Dedicación a la investigación</w:t>
      </w:r>
    </w:p>
    <w:p w14:paraId="26405504"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La disponibilidad horaria efectiva condiciona el rendimiento de la producción científica y la profundidad de los servicios de transferencia. El análisis de las dedicaciones del CIRCOT evidencia una marcada dispersión horaria:</w:t>
      </w:r>
    </w:p>
    <w:p w14:paraId="0D0A3593" w14:textId="77777777" w:rsidR="00F2407E" w:rsidRPr="00015CEC" w:rsidRDefault="00F2407E" w:rsidP="00033059">
      <w:pPr>
        <w:numPr>
          <w:ilvl w:val="0"/>
          <w:numId w:val="21"/>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Dedicaciones Simples (10 horas semanales) - 60,00%:</w:t>
      </w:r>
      <w:r w:rsidRPr="00015CEC">
        <w:rPr>
          <w:rFonts w:ascii="Times New Roman" w:hAnsi="Times New Roman" w:cs="Times New Roman"/>
          <w:lang w:val="es-AR"/>
        </w:rPr>
        <w:t xml:space="preserve"> Representa la gran mayoría de la planta, fragmentando la continuidad de las tareas de investigación y dificultando la conformación de equipos estables con presencia diaria en la unidad.</w:t>
      </w:r>
    </w:p>
    <w:p w14:paraId="5BB607F1" w14:textId="77777777" w:rsidR="00F2407E" w:rsidRPr="00015CEC" w:rsidRDefault="00F2407E" w:rsidP="00033059">
      <w:pPr>
        <w:numPr>
          <w:ilvl w:val="0"/>
          <w:numId w:val="21"/>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Dedicaciones Semiexclusivas (20 horas semanales) - 30,00%:</w:t>
      </w:r>
      <w:r w:rsidRPr="00015CEC">
        <w:rPr>
          <w:rFonts w:ascii="Times New Roman" w:hAnsi="Times New Roman" w:cs="Times New Roman"/>
          <w:lang w:val="es-AR"/>
        </w:rPr>
        <w:t xml:space="preserve"> Concentran un tercio del personal.</w:t>
      </w:r>
    </w:p>
    <w:p w14:paraId="715B8396" w14:textId="08FEA02B" w:rsidR="00F2407E" w:rsidRPr="00015CEC" w:rsidRDefault="00F2407E" w:rsidP="00033059">
      <w:pPr>
        <w:numPr>
          <w:ilvl w:val="0"/>
          <w:numId w:val="21"/>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Dedicaciones Exclusivas (40 horas semanales) - 10,00%:</w:t>
      </w:r>
      <w:r w:rsidRPr="00015CEC">
        <w:rPr>
          <w:rFonts w:ascii="Times New Roman" w:hAnsi="Times New Roman" w:cs="Times New Roman"/>
          <w:lang w:val="es-AR"/>
        </w:rPr>
        <w:t xml:space="preserve"> Constituyen un indicador marcadamente débil en comparación con la media institucional de institutos, limitando la sostenibilidad del SGC.</w:t>
      </w:r>
    </w:p>
    <w:p w14:paraId="5ED405EE"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4.7. Regularidad y estabilidad institucional</w:t>
      </w:r>
    </w:p>
    <w:p w14:paraId="06F45FCB"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La condición de regularidad (cargos ordinarios por concurso público) constituye un factor fundamental para la estabilidad institucional y el desarrollo de líneas de investigación a largo plazo:</w:t>
      </w:r>
    </w:p>
    <w:p w14:paraId="680BAA89" w14:textId="77777777" w:rsidR="00F2407E" w:rsidRPr="00015CEC" w:rsidRDefault="00F2407E" w:rsidP="00033059">
      <w:pPr>
        <w:numPr>
          <w:ilvl w:val="0"/>
          <w:numId w:val="22"/>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Personal Interino - 60,00%:</w:t>
      </w:r>
      <w:r w:rsidRPr="00015CEC">
        <w:rPr>
          <w:rFonts w:ascii="Times New Roman" w:hAnsi="Times New Roman" w:cs="Times New Roman"/>
          <w:lang w:val="es-AR"/>
        </w:rPr>
        <w:t xml:space="preserve"> Refleja que la mayoría del plantel carece de estabilidad definitiva en su designación horaria, lo que debilita el blindaje organizativo ante cambios de coyuntura administrativa.</w:t>
      </w:r>
    </w:p>
    <w:p w14:paraId="229A4807" w14:textId="77777777" w:rsidR="00F2407E" w:rsidRPr="00015CEC" w:rsidRDefault="00F2407E" w:rsidP="00033059">
      <w:pPr>
        <w:numPr>
          <w:ilvl w:val="0"/>
          <w:numId w:val="22"/>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b/>
          <w:bCs/>
          <w:lang w:val="es-AR"/>
        </w:rPr>
        <w:t>Personal Regular (Efectivo) - 40,00%:</w:t>
      </w:r>
      <w:r w:rsidRPr="00015CEC">
        <w:rPr>
          <w:rFonts w:ascii="Times New Roman" w:hAnsi="Times New Roman" w:cs="Times New Roman"/>
          <w:lang w:val="es-AR"/>
        </w:rPr>
        <w:t xml:space="preserve"> Se ubica significativamente por debajo del umbral mínimo del 60% establecido de manera general por las políticas de gestión académica de la Facultad de Ingeniería.</w:t>
      </w:r>
    </w:p>
    <w:p w14:paraId="13C9EA7F"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4.8. Síntesis diagnóstica e implicancias para el PEI 2026–2030</w:t>
      </w:r>
    </w:p>
    <w:p w14:paraId="4435B538"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A modo de conclusión del diagnóstico, se presenta la tabla semáforo que resume el estado de situación del CIRCOT frente a los umbrales institucionales exigidos por la Facultad de Ingeniería, incorporando los compromisos y metas cuantitativas, temporales y realistas asumidos para el PEI:</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61"/>
        <w:gridCol w:w="1416"/>
        <w:gridCol w:w="1466"/>
        <w:gridCol w:w="3561"/>
      </w:tblGrid>
      <w:tr w:rsidR="00F2407E" w:rsidRPr="00015CEC" w14:paraId="0B5485D6" w14:textId="77777777" w:rsidTr="00752398">
        <w:trPr>
          <w:tblHeader/>
          <w:tblCellSpacing w:w="15" w:type="dxa"/>
        </w:trPr>
        <w:tc>
          <w:tcPr>
            <w:tcW w:w="0" w:type="auto"/>
            <w:tcBorders>
              <w:top w:val="nil"/>
              <w:bottom w:val="single" w:sz="4" w:space="0" w:color="auto"/>
            </w:tcBorders>
            <w:tcMar>
              <w:top w:w="120" w:type="dxa"/>
              <w:left w:w="180" w:type="dxa"/>
              <w:bottom w:w="120" w:type="dxa"/>
              <w:right w:w="180" w:type="dxa"/>
            </w:tcMar>
            <w:vAlign w:val="center"/>
            <w:hideMark/>
          </w:tcPr>
          <w:p w14:paraId="5B761031"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lastRenderedPageBreak/>
              <w:t>Dimensión / Indicador</w:t>
            </w:r>
          </w:p>
        </w:tc>
        <w:tc>
          <w:tcPr>
            <w:tcW w:w="0" w:type="auto"/>
            <w:tcBorders>
              <w:top w:val="nil"/>
              <w:bottom w:val="single" w:sz="4" w:space="0" w:color="auto"/>
            </w:tcBorders>
            <w:tcMar>
              <w:top w:w="120" w:type="dxa"/>
              <w:left w:w="180" w:type="dxa"/>
              <w:bottom w:w="120" w:type="dxa"/>
              <w:right w:w="180" w:type="dxa"/>
            </w:tcMar>
            <w:vAlign w:val="center"/>
            <w:hideMark/>
          </w:tcPr>
          <w:p w14:paraId="5B580263"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Valor CIRCOT</w:t>
            </w:r>
          </w:p>
        </w:tc>
        <w:tc>
          <w:tcPr>
            <w:tcW w:w="0" w:type="auto"/>
            <w:tcBorders>
              <w:top w:val="nil"/>
              <w:bottom w:val="single" w:sz="4" w:space="0" w:color="auto"/>
            </w:tcBorders>
            <w:tcMar>
              <w:top w:w="120" w:type="dxa"/>
              <w:left w:w="180" w:type="dxa"/>
              <w:bottom w:w="120" w:type="dxa"/>
              <w:right w:w="180" w:type="dxa"/>
            </w:tcMar>
            <w:vAlign w:val="center"/>
            <w:hideMark/>
          </w:tcPr>
          <w:p w14:paraId="5A6080F5" w14:textId="77777777" w:rsidR="00F2407E" w:rsidRPr="00015CEC" w:rsidRDefault="00F2407E" w:rsidP="00752398">
            <w:pPr>
              <w:spacing w:after="0" w:line="240" w:lineRule="auto"/>
              <w:jc w:val="center"/>
              <w:rPr>
                <w:rFonts w:ascii="Times New Roman" w:hAnsi="Times New Roman" w:cs="Times New Roman"/>
                <w:b/>
                <w:bCs/>
                <w:lang w:val="es-AR"/>
              </w:rPr>
            </w:pPr>
            <w:r w:rsidRPr="00015CEC">
              <w:rPr>
                <w:rFonts w:ascii="Times New Roman" w:hAnsi="Times New Roman" w:cs="Times New Roman"/>
                <w:b/>
                <w:bCs/>
                <w:lang w:val="es-AR"/>
              </w:rPr>
              <w:t>Estado / Semáforo</w:t>
            </w:r>
          </w:p>
        </w:tc>
        <w:tc>
          <w:tcPr>
            <w:tcW w:w="0" w:type="auto"/>
            <w:tcBorders>
              <w:top w:val="nil"/>
              <w:bottom w:val="single" w:sz="4" w:space="0" w:color="auto"/>
            </w:tcBorders>
            <w:tcMar>
              <w:top w:w="120" w:type="dxa"/>
              <w:left w:w="180" w:type="dxa"/>
              <w:bottom w:w="120" w:type="dxa"/>
              <w:right w:w="180" w:type="dxa"/>
            </w:tcMar>
            <w:vAlign w:val="center"/>
            <w:hideMark/>
          </w:tcPr>
          <w:p w14:paraId="43400D8C" w14:textId="3CB63E99"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Meta Estratégica (PEI 2026–2030)</w:t>
            </w:r>
          </w:p>
        </w:tc>
      </w:tr>
      <w:tr w:rsidR="00F2407E" w:rsidRPr="00015CEC" w14:paraId="036B26B2" w14:textId="77777777" w:rsidTr="00752398">
        <w:trPr>
          <w:tblCellSpacing w:w="15" w:type="dxa"/>
        </w:trPr>
        <w:tc>
          <w:tcPr>
            <w:tcW w:w="0" w:type="auto"/>
            <w:tcMar>
              <w:top w:w="120" w:type="dxa"/>
              <w:left w:w="180" w:type="dxa"/>
              <w:bottom w:w="120" w:type="dxa"/>
              <w:right w:w="180" w:type="dxa"/>
            </w:tcMar>
            <w:vAlign w:val="center"/>
            <w:hideMark/>
          </w:tcPr>
          <w:p w14:paraId="449F0B47"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Perfil Joven (26-35 años)</w:t>
            </w:r>
          </w:p>
        </w:tc>
        <w:tc>
          <w:tcPr>
            <w:tcW w:w="0" w:type="auto"/>
            <w:tcMar>
              <w:top w:w="120" w:type="dxa"/>
              <w:left w:w="180" w:type="dxa"/>
              <w:bottom w:w="120" w:type="dxa"/>
              <w:right w:w="180" w:type="dxa"/>
            </w:tcMar>
            <w:vAlign w:val="center"/>
            <w:hideMark/>
          </w:tcPr>
          <w:p w14:paraId="248086E6"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40,00%</w:t>
            </w:r>
          </w:p>
        </w:tc>
        <w:tc>
          <w:tcPr>
            <w:tcW w:w="0" w:type="auto"/>
            <w:tcMar>
              <w:top w:w="120" w:type="dxa"/>
              <w:left w:w="180" w:type="dxa"/>
              <w:bottom w:w="120" w:type="dxa"/>
              <w:right w:w="180" w:type="dxa"/>
            </w:tcMar>
            <w:vAlign w:val="center"/>
            <w:hideMark/>
          </w:tcPr>
          <w:p w14:paraId="71C3F2CE"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Positivo</w:t>
            </w:r>
          </w:p>
        </w:tc>
        <w:tc>
          <w:tcPr>
            <w:tcW w:w="0" w:type="auto"/>
            <w:tcMar>
              <w:top w:w="120" w:type="dxa"/>
              <w:left w:w="180" w:type="dxa"/>
              <w:bottom w:w="120" w:type="dxa"/>
              <w:right w:w="180" w:type="dxa"/>
            </w:tcMar>
            <w:vAlign w:val="center"/>
            <w:hideMark/>
          </w:tcPr>
          <w:p w14:paraId="0546AD18" w14:textId="77777777" w:rsidR="00F2407E" w:rsidRPr="00015CEC" w:rsidRDefault="00F2407E" w:rsidP="00752398">
            <w:pPr>
              <w:spacing w:after="0" w:line="240" w:lineRule="auto"/>
              <w:rPr>
                <w:rFonts w:ascii="Times New Roman" w:hAnsi="Times New Roman" w:cs="Times New Roman"/>
                <w:lang w:val="es-AR"/>
              </w:rPr>
            </w:pPr>
            <w:r w:rsidRPr="00015CEC">
              <w:rPr>
                <w:rFonts w:ascii="Times New Roman" w:hAnsi="Times New Roman" w:cs="Times New Roman"/>
                <w:b/>
                <w:bCs/>
                <w:lang w:val="es-AR"/>
              </w:rPr>
              <w:t>Meta:</w:t>
            </w:r>
            <w:r w:rsidRPr="00015CEC">
              <w:rPr>
                <w:rFonts w:ascii="Times New Roman" w:hAnsi="Times New Roman" w:cs="Times New Roman"/>
                <w:lang w:val="es-AR"/>
              </w:rPr>
              <w:t xml:space="preserve"> Retener al 100% del personal joven actual insertándolo en la estructura del SGC y articulando sus planes con las metas de posgrado del Centro.</w:t>
            </w:r>
          </w:p>
        </w:tc>
      </w:tr>
      <w:tr w:rsidR="00F2407E" w:rsidRPr="00015CEC" w14:paraId="58D7566C" w14:textId="77777777" w:rsidTr="00033059">
        <w:trPr>
          <w:tblCellSpacing w:w="15" w:type="dxa"/>
        </w:trPr>
        <w:tc>
          <w:tcPr>
            <w:tcW w:w="0" w:type="auto"/>
            <w:tcBorders>
              <w:top w:val="nil"/>
              <w:bottom w:val="single" w:sz="4" w:space="0" w:color="auto"/>
            </w:tcBorders>
            <w:tcMar>
              <w:top w:w="120" w:type="dxa"/>
              <w:left w:w="180" w:type="dxa"/>
              <w:bottom w:w="120" w:type="dxa"/>
              <w:right w:w="180" w:type="dxa"/>
            </w:tcMar>
            <w:vAlign w:val="center"/>
            <w:hideMark/>
          </w:tcPr>
          <w:p w14:paraId="40B83E40"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Perfil Consolidación (36-45 años)</w:t>
            </w:r>
          </w:p>
        </w:tc>
        <w:tc>
          <w:tcPr>
            <w:tcW w:w="0" w:type="auto"/>
            <w:tcBorders>
              <w:top w:val="nil"/>
              <w:bottom w:val="single" w:sz="4" w:space="0" w:color="auto"/>
            </w:tcBorders>
            <w:tcMar>
              <w:top w:w="120" w:type="dxa"/>
              <w:left w:w="180" w:type="dxa"/>
              <w:bottom w:w="120" w:type="dxa"/>
              <w:right w:w="180" w:type="dxa"/>
            </w:tcMar>
            <w:vAlign w:val="center"/>
            <w:hideMark/>
          </w:tcPr>
          <w:p w14:paraId="7738F0F1"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15,00%</w:t>
            </w:r>
          </w:p>
        </w:tc>
        <w:tc>
          <w:tcPr>
            <w:tcW w:w="0" w:type="auto"/>
            <w:tcBorders>
              <w:top w:val="nil"/>
              <w:bottom w:val="single" w:sz="4" w:space="0" w:color="auto"/>
            </w:tcBorders>
            <w:tcMar>
              <w:top w:w="120" w:type="dxa"/>
              <w:left w:w="180" w:type="dxa"/>
              <w:bottom w:w="120" w:type="dxa"/>
              <w:right w:w="180" w:type="dxa"/>
            </w:tcMar>
            <w:vAlign w:val="center"/>
            <w:hideMark/>
          </w:tcPr>
          <w:p w14:paraId="5E8049A1"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Débil</w:t>
            </w:r>
          </w:p>
        </w:tc>
        <w:tc>
          <w:tcPr>
            <w:tcW w:w="0" w:type="auto"/>
            <w:tcBorders>
              <w:top w:val="nil"/>
              <w:bottom w:val="single" w:sz="4" w:space="0" w:color="auto"/>
            </w:tcBorders>
            <w:tcMar>
              <w:top w:w="120" w:type="dxa"/>
              <w:left w:w="180" w:type="dxa"/>
              <w:bottom w:w="120" w:type="dxa"/>
              <w:right w:w="180" w:type="dxa"/>
            </w:tcMar>
            <w:vAlign w:val="center"/>
            <w:hideMark/>
          </w:tcPr>
          <w:p w14:paraId="7A959DE5" w14:textId="77777777" w:rsidR="00F2407E" w:rsidRPr="00015CEC" w:rsidRDefault="00F2407E" w:rsidP="00752398">
            <w:pPr>
              <w:spacing w:after="0" w:line="240" w:lineRule="auto"/>
              <w:rPr>
                <w:rFonts w:ascii="Times New Roman" w:hAnsi="Times New Roman" w:cs="Times New Roman"/>
                <w:lang w:val="es-AR"/>
              </w:rPr>
            </w:pPr>
            <w:r w:rsidRPr="00015CEC">
              <w:rPr>
                <w:rFonts w:ascii="Times New Roman" w:hAnsi="Times New Roman" w:cs="Times New Roman"/>
                <w:b/>
                <w:bCs/>
                <w:lang w:val="es-AR"/>
              </w:rPr>
              <w:t>Meta:</w:t>
            </w:r>
            <w:r w:rsidRPr="00015CEC">
              <w:rPr>
                <w:rFonts w:ascii="Times New Roman" w:hAnsi="Times New Roman" w:cs="Times New Roman"/>
                <w:lang w:val="es-AR"/>
              </w:rPr>
              <w:t xml:space="preserve"> Lograr para 2028 que el 100% de los proyectos activos cuenten con un </w:t>
            </w:r>
            <w:proofErr w:type="spellStart"/>
            <w:r w:rsidRPr="00015CEC">
              <w:rPr>
                <w:rFonts w:ascii="Times New Roman" w:hAnsi="Times New Roman" w:cs="Times New Roman"/>
                <w:lang w:val="es-AR"/>
              </w:rPr>
              <w:t>co-director</w:t>
            </w:r>
            <w:proofErr w:type="spellEnd"/>
            <w:r w:rsidRPr="00015CEC">
              <w:rPr>
                <w:rFonts w:ascii="Times New Roman" w:hAnsi="Times New Roman" w:cs="Times New Roman"/>
                <w:lang w:val="es-AR"/>
              </w:rPr>
              <w:t xml:space="preserve"> o investigador joven asignado, mitigando la brecha de liderazgo intermedio.</w:t>
            </w:r>
          </w:p>
        </w:tc>
      </w:tr>
      <w:tr w:rsidR="00F2407E" w:rsidRPr="00015CEC" w14:paraId="68D8A534" w14:textId="77777777" w:rsidTr="00752398">
        <w:trPr>
          <w:tblCellSpacing w:w="15" w:type="dxa"/>
        </w:trPr>
        <w:tc>
          <w:tcPr>
            <w:tcW w:w="0" w:type="auto"/>
            <w:tcMar>
              <w:top w:w="120" w:type="dxa"/>
              <w:left w:w="180" w:type="dxa"/>
              <w:bottom w:w="120" w:type="dxa"/>
              <w:right w:w="180" w:type="dxa"/>
            </w:tcMar>
            <w:vAlign w:val="center"/>
            <w:hideMark/>
          </w:tcPr>
          <w:p w14:paraId="581B4D5E"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 xml:space="preserve">Formación (Doctorado / </w:t>
            </w:r>
            <w:proofErr w:type="spellStart"/>
            <w:r w:rsidRPr="00015CEC">
              <w:rPr>
                <w:rFonts w:ascii="Times New Roman" w:hAnsi="Times New Roman" w:cs="Times New Roman"/>
                <w:b/>
                <w:bCs/>
                <w:lang w:val="es-AR"/>
              </w:rPr>
              <w:t>Posdoc</w:t>
            </w:r>
            <w:proofErr w:type="spellEnd"/>
            <w:r w:rsidRPr="00015CEC">
              <w:rPr>
                <w:rFonts w:ascii="Times New Roman" w:hAnsi="Times New Roman" w:cs="Times New Roman"/>
                <w:b/>
                <w:bCs/>
                <w:lang w:val="es-AR"/>
              </w:rPr>
              <w:t>)</w:t>
            </w:r>
          </w:p>
        </w:tc>
        <w:tc>
          <w:tcPr>
            <w:tcW w:w="0" w:type="auto"/>
            <w:tcMar>
              <w:top w:w="120" w:type="dxa"/>
              <w:left w:w="180" w:type="dxa"/>
              <w:bottom w:w="120" w:type="dxa"/>
              <w:right w:w="180" w:type="dxa"/>
            </w:tcMar>
            <w:vAlign w:val="center"/>
            <w:hideMark/>
          </w:tcPr>
          <w:p w14:paraId="2A73EAB6"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0,00%</w:t>
            </w:r>
          </w:p>
        </w:tc>
        <w:tc>
          <w:tcPr>
            <w:tcW w:w="0" w:type="auto"/>
            <w:tcMar>
              <w:top w:w="120" w:type="dxa"/>
              <w:left w:w="180" w:type="dxa"/>
              <w:bottom w:w="120" w:type="dxa"/>
              <w:right w:w="180" w:type="dxa"/>
            </w:tcMar>
            <w:vAlign w:val="center"/>
            <w:hideMark/>
          </w:tcPr>
          <w:p w14:paraId="3C00209C"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Débil</w:t>
            </w:r>
          </w:p>
        </w:tc>
        <w:tc>
          <w:tcPr>
            <w:tcW w:w="0" w:type="auto"/>
            <w:tcMar>
              <w:top w:w="120" w:type="dxa"/>
              <w:left w:w="180" w:type="dxa"/>
              <w:bottom w:w="120" w:type="dxa"/>
              <w:right w:w="180" w:type="dxa"/>
            </w:tcMar>
            <w:vAlign w:val="center"/>
            <w:hideMark/>
          </w:tcPr>
          <w:p w14:paraId="6BEFC800" w14:textId="4947F5BD" w:rsidR="00F2407E" w:rsidRPr="00015CEC" w:rsidRDefault="00F2407E" w:rsidP="00752398">
            <w:pPr>
              <w:spacing w:after="0" w:line="240" w:lineRule="auto"/>
              <w:rPr>
                <w:rFonts w:ascii="Times New Roman" w:hAnsi="Times New Roman" w:cs="Times New Roman"/>
                <w:lang w:val="es-AR"/>
              </w:rPr>
            </w:pPr>
            <w:r w:rsidRPr="00015CEC">
              <w:rPr>
                <w:rFonts w:ascii="Times New Roman" w:hAnsi="Times New Roman" w:cs="Times New Roman"/>
                <w:b/>
                <w:bCs/>
                <w:lang w:val="es-AR"/>
              </w:rPr>
              <w:t>Meta:</w:t>
            </w:r>
            <w:r w:rsidRPr="00015CEC">
              <w:rPr>
                <w:rFonts w:ascii="Times New Roman" w:hAnsi="Times New Roman" w:cs="Times New Roman"/>
                <w:lang w:val="es-AR"/>
              </w:rPr>
              <w:t xml:space="preserve"> Incrementar el personal con posgrado del 33,33% actual al 60% para 2030, priorizando la finalización de 2 doctorados y 2 maestrías en el sector joven.</w:t>
            </w:r>
          </w:p>
        </w:tc>
      </w:tr>
      <w:tr w:rsidR="00F2407E" w:rsidRPr="00015CEC" w14:paraId="47744042" w14:textId="77777777" w:rsidTr="00752398">
        <w:trP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5A46A9CF"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Dedicación (Exclusiva)</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63ED55F2"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10,00%</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23070666"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Débil</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5F8D3698" w14:textId="77777777" w:rsidR="00F2407E" w:rsidRPr="00015CEC" w:rsidRDefault="00F2407E" w:rsidP="00752398">
            <w:pPr>
              <w:spacing w:after="0" w:line="240" w:lineRule="auto"/>
              <w:rPr>
                <w:rFonts w:ascii="Times New Roman" w:hAnsi="Times New Roman" w:cs="Times New Roman"/>
                <w:lang w:val="es-AR"/>
              </w:rPr>
            </w:pPr>
            <w:r w:rsidRPr="00015CEC">
              <w:rPr>
                <w:rFonts w:ascii="Times New Roman" w:hAnsi="Times New Roman" w:cs="Times New Roman"/>
                <w:b/>
                <w:bCs/>
                <w:lang w:val="es-AR"/>
              </w:rPr>
              <w:t>Meta:</w:t>
            </w:r>
            <w:r w:rsidRPr="00015CEC">
              <w:rPr>
                <w:rFonts w:ascii="Times New Roman" w:hAnsi="Times New Roman" w:cs="Times New Roman"/>
                <w:lang w:val="es-AR"/>
              </w:rPr>
              <w:t xml:space="preserve"> Convertir al menos el 33% de las dedicaciones simples actuales (2 de los 6 cargos simples) a semiexclusivas o exclusivas de aquí a 2030 mediante convenios de gestión con la FI.</w:t>
            </w:r>
          </w:p>
        </w:tc>
      </w:tr>
      <w:tr w:rsidR="00F2407E" w:rsidRPr="00015CEC" w14:paraId="13DF8879" w14:textId="77777777" w:rsidTr="00752398">
        <w:trPr>
          <w:tblCellSpacing w:w="15" w:type="dxa"/>
        </w:trPr>
        <w:tc>
          <w:tcPr>
            <w:tcW w:w="0" w:type="auto"/>
            <w:tcMar>
              <w:top w:w="120" w:type="dxa"/>
              <w:left w:w="180" w:type="dxa"/>
              <w:bottom w:w="120" w:type="dxa"/>
              <w:right w:w="180" w:type="dxa"/>
            </w:tcMar>
            <w:vAlign w:val="center"/>
            <w:hideMark/>
          </w:tcPr>
          <w:p w14:paraId="51D1F20D" w14:textId="77777777" w:rsidR="00F2407E" w:rsidRPr="00015CEC" w:rsidRDefault="00F2407E" w:rsidP="00752398">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Regularidad del Plantel</w:t>
            </w:r>
          </w:p>
        </w:tc>
        <w:tc>
          <w:tcPr>
            <w:tcW w:w="0" w:type="auto"/>
            <w:tcMar>
              <w:top w:w="120" w:type="dxa"/>
              <w:left w:w="180" w:type="dxa"/>
              <w:bottom w:w="120" w:type="dxa"/>
              <w:right w:w="180" w:type="dxa"/>
            </w:tcMar>
            <w:vAlign w:val="center"/>
            <w:hideMark/>
          </w:tcPr>
          <w:p w14:paraId="7E3FC0E6"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40,00%</w:t>
            </w:r>
          </w:p>
        </w:tc>
        <w:tc>
          <w:tcPr>
            <w:tcW w:w="0" w:type="auto"/>
            <w:tcMar>
              <w:top w:w="120" w:type="dxa"/>
              <w:left w:w="180" w:type="dxa"/>
              <w:bottom w:w="120" w:type="dxa"/>
              <w:right w:w="180" w:type="dxa"/>
            </w:tcMar>
            <w:vAlign w:val="center"/>
            <w:hideMark/>
          </w:tcPr>
          <w:p w14:paraId="6ED83223" w14:textId="77777777" w:rsidR="00F2407E" w:rsidRPr="00015CEC" w:rsidRDefault="00F2407E" w:rsidP="00752398">
            <w:pPr>
              <w:spacing w:after="0" w:line="240" w:lineRule="auto"/>
              <w:jc w:val="both"/>
              <w:rPr>
                <w:rFonts w:ascii="Times New Roman" w:hAnsi="Times New Roman" w:cs="Times New Roman"/>
                <w:lang w:val="es-AR"/>
              </w:rPr>
            </w:pPr>
            <w:r w:rsidRPr="00015CEC">
              <w:rPr>
                <w:rFonts w:ascii="Times New Roman" w:hAnsi="Times New Roman" w:cs="Times New Roman"/>
                <w:lang w:val="es-AR"/>
              </w:rPr>
              <w:t>Débil</w:t>
            </w:r>
          </w:p>
        </w:tc>
        <w:tc>
          <w:tcPr>
            <w:tcW w:w="0" w:type="auto"/>
            <w:tcMar>
              <w:top w:w="120" w:type="dxa"/>
              <w:left w:w="180" w:type="dxa"/>
              <w:bottom w:w="120" w:type="dxa"/>
              <w:right w:w="180" w:type="dxa"/>
            </w:tcMar>
            <w:vAlign w:val="center"/>
            <w:hideMark/>
          </w:tcPr>
          <w:p w14:paraId="770848D8" w14:textId="77777777" w:rsidR="00F2407E" w:rsidRPr="00015CEC" w:rsidRDefault="00F2407E" w:rsidP="00752398">
            <w:pPr>
              <w:spacing w:after="0" w:line="240" w:lineRule="auto"/>
              <w:rPr>
                <w:rFonts w:ascii="Times New Roman" w:hAnsi="Times New Roman" w:cs="Times New Roman"/>
                <w:lang w:val="es-AR"/>
              </w:rPr>
            </w:pPr>
            <w:r w:rsidRPr="00015CEC">
              <w:rPr>
                <w:rFonts w:ascii="Times New Roman" w:hAnsi="Times New Roman" w:cs="Times New Roman"/>
                <w:b/>
                <w:bCs/>
                <w:lang w:val="es-AR"/>
              </w:rPr>
              <w:t>Meta:</w:t>
            </w:r>
            <w:r w:rsidRPr="00015CEC">
              <w:rPr>
                <w:rFonts w:ascii="Times New Roman" w:hAnsi="Times New Roman" w:cs="Times New Roman"/>
                <w:lang w:val="es-AR"/>
              </w:rPr>
              <w:t xml:space="preserve"> Elevar el índice de regularidad institucional del 40% al 60% para el año 2030 mediante la elevación y sustanciación programada de las vacantes a concursos regulares.</w:t>
            </w:r>
          </w:p>
        </w:tc>
      </w:tr>
    </w:tbl>
    <w:p w14:paraId="23B3132B" w14:textId="77777777" w:rsidR="00F2407E" w:rsidRPr="00015CEC" w:rsidRDefault="00F2407E" w:rsidP="002651E0">
      <w:pPr>
        <w:spacing w:before="120" w:line="240" w:lineRule="auto"/>
        <w:jc w:val="both"/>
        <w:rPr>
          <w:rFonts w:ascii="Times New Roman" w:hAnsi="Times New Roman" w:cs="Times New Roman"/>
          <w:b/>
          <w:bCs/>
          <w:lang w:val="es-AR"/>
        </w:rPr>
      </w:pPr>
      <w:r w:rsidRPr="00015CEC">
        <w:rPr>
          <w:rFonts w:ascii="Times New Roman" w:hAnsi="Times New Roman" w:cs="Times New Roman"/>
          <w:b/>
          <w:bCs/>
          <w:lang w:val="es-AR"/>
        </w:rPr>
        <w:t>5. PROPUESTA DE PROFESIONALIZACIÓN DEL CIRCOT</w:t>
      </w:r>
    </w:p>
    <w:p w14:paraId="27F32BB8" w14:textId="26496EC1"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La profesionalización institucional propuesta se sustenta en enfoques contemporáneos de gestión del conocimiento que consideran al aprendizaje organizacional, la sistematización de experiencias y la transferencia interna de saberes como factores críticos para la innovación y la sostenibilidad de las organizaciones (Nonaka y Takeuchi, 1999; Rojas Dávila y Torres Briones, 2017). Los resultados del diagnóstico permiten identificar que </w:t>
      </w:r>
      <w:r w:rsidRPr="00015CEC">
        <w:rPr>
          <w:rFonts w:ascii="Times New Roman" w:hAnsi="Times New Roman" w:cs="Times New Roman"/>
          <w:lang w:val="es-AR"/>
        </w:rPr>
        <w:lastRenderedPageBreak/>
        <w:t>el CIRCOT, a pesar de su trayectoria, ve limitada su capacidad de institucionalizar conocimientos debido a la ausencia de un sistema integral basado en procesos. Se propone, por tanto, un modelo concebido como una herramienta de fortalecimiento organizacional de pequeña y mediana escala que integra la planificación estratégica, la gestión por procesos y el aseguramiento de la calidad.</w:t>
      </w:r>
    </w:p>
    <w:p w14:paraId="36E101AE"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5.1. Modelo de gestión institucional</w:t>
      </w:r>
    </w:p>
    <w:p w14:paraId="0965669B" w14:textId="77777777" w:rsidR="002651E0" w:rsidRPr="002651E0" w:rsidRDefault="002651E0" w:rsidP="002651E0">
      <w:pPr>
        <w:spacing w:line="240" w:lineRule="auto"/>
        <w:jc w:val="both"/>
        <w:rPr>
          <w:rFonts w:ascii="Times New Roman" w:hAnsi="Times New Roman" w:cs="Times New Roman"/>
          <w:lang w:val="es-AR"/>
        </w:rPr>
      </w:pPr>
      <w:r w:rsidRPr="002651E0">
        <w:rPr>
          <w:rFonts w:ascii="Times New Roman" w:hAnsi="Times New Roman" w:cs="Times New Roman"/>
          <w:lang w:val="es-AR"/>
        </w:rPr>
        <w:t>El modelo propuesto se articula de manera directa con las directrices de la Secretaría de Planificación, Evaluación y Coordinación Institucional (</w:t>
      </w:r>
      <w:proofErr w:type="spellStart"/>
      <w:r w:rsidRPr="002651E0">
        <w:rPr>
          <w:rFonts w:ascii="Times New Roman" w:hAnsi="Times New Roman" w:cs="Times New Roman"/>
          <w:lang w:val="es-AR"/>
        </w:rPr>
        <w:t>SePECI</w:t>
      </w:r>
      <w:proofErr w:type="spellEnd"/>
      <w:r w:rsidRPr="002651E0">
        <w:rPr>
          <w:rFonts w:ascii="Times New Roman" w:hAnsi="Times New Roman" w:cs="Times New Roman"/>
          <w:lang w:val="es-AR"/>
        </w:rPr>
        <w:t xml:space="preserve">) de la UNSJ y se encuadra en el espíritu normativo de la Ordenanza </w:t>
      </w:r>
      <w:proofErr w:type="spellStart"/>
      <w:r w:rsidRPr="002651E0">
        <w:rPr>
          <w:rFonts w:ascii="Times New Roman" w:hAnsi="Times New Roman" w:cs="Times New Roman"/>
          <w:lang w:val="es-AR"/>
        </w:rPr>
        <w:t>Nº</w:t>
      </w:r>
      <w:proofErr w:type="spellEnd"/>
      <w:r w:rsidRPr="002651E0">
        <w:rPr>
          <w:rFonts w:ascii="Times New Roman" w:hAnsi="Times New Roman" w:cs="Times New Roman"/>
          <w:lang w:val="es-AR"/>
        </w:rPr>
        <w:t xml:space="preserve"> 034/2025-CS. Para garantizar esta alineación, el esquema operativo del centro estructura sus responsabilidades internas en correspondencia directa con los vectores de gestión críticos de dicha normativa:</w:t>
      </w:r>
    </w:p>
    <w:p w14:paraId="26143FE1" w14:textId="77777777" w:rsidR="002651E0" w:rsidRPr="002651E0" w:rsidRDefault="002651E0" w:rsidP="002651E0">
      <w:pPr>
        <w:pStyle w:val="Prrafodelista"/>
        <w:numPr>
          <w:ilvl w:val="0"/>
          <w:numId w:val="26"/>
        </w:numPr>
        <w:spacing w:line="240" w:lineRule="auto"/>
        <w:ind w:left="284" w:hanging="284"/>
        <w:jc w:val="both"/>
        <w:rPr>
          <w:rFonts w:ascii="Times New Roman" w:hAnsi="Times New Roman" w:cs="Times New Roman"/>
          <w:lang w:val="es-AR"/>
        </w:rPr>
      </w:pPr>
      <w:r w:rsidRPr="002651E0">
        <w:rPr>
          <w:rFonts w:ascii="Times New Roman" w:hAnsi="Times New Roman" w:cs="Times New Roman"/>
          <w:b/>
          <w:bCs/>
          <w:lang w:val="es-AR"/>
        </w:rPr>
        <w:t>Eje de Autoevaluación y Revisión Interna</w:t>
      </w:r>
      <w:r w:rsidRPr="002651E0">
        <w:rPr>
          <w:rFonts w:ascii="Times New Roman" w:hAnsi="Times New Roman" w:cs="Times New Roman"/>
          <w:lang w:val="es-AR"/>
        </w:rPr>
        <w:t xml:space="preserve"> (en alineación con el espíritu de la función 14 y considerandos de la norma): Conducción de los procesos cíclicos de revisión interna y coordinación de las auditorías de procesos en el marco del SIAC-UNSJ.</w:t>
      </w:r>
    </w:p>
    <w:p w14:paraId="3B784068" w14:textId="77777777" w:rsidR="002651E0" w:rsidRPr="002651E0" w:rsidRDefault="002651E0" w:rsidP="002651E0">
      <w:pPr>
        <w:pStyle w:val="Prrafodelista"/>
        <w:numPr>
          <w:ilvl w:val="0"/>
          <w:numId w:val="26"/>
        </w:numPr>
        <w:spacing w:line="240" w:lineRule="auto"/>
        <w:ind w:left="284" w:hanging="284"/>
        <w:jc w:val="both"/>
        <w:rPr>
          <w:rFonts w:ascii="Times New Roman" w:hAnsi="Times New Roman" w:cs="Times New Roman"/>
          <w:lang w:val="es-AR"/>
        </w:rPr>
      </w:pPr>
      <w:r w:rsidRPr="002651E0">
        <w:rPr>
          <w:rFonts w:ascii="Times New Roman" w:hAnsi="Times New Roman" w:cs="Times New Roman"/>
          <w:b/>
          <w:bCs/>
          <w:lang w:val="es-AR"/>
        </w:rPr>
        <w:t>Eje de Sistemas de Información e Indicadores</w:t>
      </w:r>
      <w:r w:rsidRPr="002651E0">
        <w:rPr>
          <w:rFonts w:ascii="Times New Roman" w:hAnsi="Times New Roman" w:cs="Times New Roman"/>
          <w:lang w:val="es-AR"/>
        </w:rPr>
        <w:t xml:space="preserve"> (en correspondencia con el soporte técnico de la función 14 e incisos complementarios): Recopilación, procesamiento y actualización permanente de la matriz de indicadores institucionales para el reporte a las plataformas de gestión centrales.</w:t>
      </w:r>
    </w:p>
    <w:p w14:paraId="65EDB4CF" w14:textId="77777777" w:rsidR="002651E0" w:rsidRPr="002651E0" w:rsidRDefault="002651E0" w:rsidP="002651E0">
      <w:pPr>
        <w:pStyle w:val="Prrafodelista"/>
        <w:numPr>
          <w:ilvl w:val="0"/>
          <w:numId w:val="26"/>
        </w:numPr>
        <w:spacing w:line="240" w:lineRule="auto"/>
        <w:ind w:left="284" w:hanging="284"/>
        <w:jc w:val="both"/>
        <w:rPr>
          <w:rFonts w:ascii="Times New Roman" w:hAnsi="Times New Roman" w:cs="Times New Roman"/>
          <w:lang w:val="es-AR"/>
        </w:rPr>
      </w:pPr>
      <w:r w:rsidRPr="002651E0">
        <w:rPr>
          <w:rFonts w:ascii="Times New Roman" w:hAnsi="Times New Roman" w:cs="Times New Roman"/>
          <w:b/>
          <w:bCs/>
          <w:lang w:val="es-AR"/>
        </w:rPr>
        <w:t>Eje de Aseguramiento de la Calid</w:t>
      </w:r>
      <w:r w:rsidRPr="002651E0">
        <w:rPr>
          <w:rFonts w:ascii="Times New Roman" w:hAnsi="Times New Roman" w:cs="Times New Roman"/>
          <w:lang w:val="es-AR"/>
        </w:rPr>
        <w:t>ad (en correspondencia con las funciones 15 y 16): Responsable de la promoción de la cultura de la calidad mediante la aplicación de las pautas del Manual de Aseguramiento de la Calidad (MAC) en los servicios y laboratorios del centro, en consonancia con el SIAC-UNSJ.</w:t>
      </w:r>
    </w:p>
    <w:p w14:paraId="43A7A096" w14:textId="10C86340" w:rsidR="002651E0" w:rsidRPr="002651E0" w:rsidRDefault="002651E0" w:rsidP="002651E0">
      <w:pPr>
        <w:pStyle w:val="Prrafodelista"/>
        <w:numPr>
          <w:ilvl w:val="0"/>
          <w:numId w:val="26"/>
        </w:numPr>
        <w:spacing w:line="240" w:lineRule="auto"/>
        <w:ind w:left="284" w:hanging="284"/>
        <w:jc w:val="both"/>
        <w:rPr>
          <w:rFonts w:ascii="Times New Roman" w:hAnsi="Times New Roman" w:cs="Times New Roman"/>
          <w:lang w:val="es-AR"/>
        </w:rPr>
      </w:pPr>
      <w:r w:rsidRPr="002651E0">
        <w:rPr>
          <w:rFonts w:ascii="Times New Roman" w:hAnsi="Times New Roman" w:cs="Times New Roman"/>
          <w:b/>
          <w:bCs/>
          <w:lang w:val="es-AR"/>
        </w:rPr>
        <w:t>Eje de Coordinación Transversal</w:t>
      </w:r>
      <w:r w:rsidRPr="002651E0">
        <w:rPr>
          <w:rFonts w:ascii="Times New Roman" w:hAnsi="Times New Roman" w:cs="Times New Roman"/>
          <w:lang w:val="es-AR"/>
        </w:rPr>
        <w:t xml:space="preserve"> (en correspondencia directa con la función 17): Coordinación y liderazgo de acciones, planes y proyectos estratégicos de carácter transversal y sustentable, promoviendo la sinergia positiva con otras áreas y unidades académicas de la UNSJ.</w:t>
      </w:r>
    </w:p>
    <w:p w14:paraId="3B34937A" w14:textId="75BF36D6" w:rsidR="00F2407E" w:rsidRPr="00015CEC" w:rsidRDefault="00F2407E" w:rsidP="002651E0">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5.2. Sistema de gestión por procesos: Estructura y responsabilidades</w:t>
      </w:r>
    </w:p>
    <w:p w14:paraId="6B0A77D9"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Para operativizar el modelo y garantizar la trazabilidad de los resultados científicos y técnicos, se abandona la intuición tradicional migrando hacia una toma de decisiones fundamentada en datos confiables. Las actividades del CIRCOT se dividen en tres niveles jerárquicos de procesos alineados de forma explícita con la planificación macro de la Facultad de Ingeniería: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6"/>
        <w:gridCol w:w="2644"/>
        <w:gridCol w:w="2187"/>
        <w:gridCol w:w="2067"/>
      </w:tblGrid>
      <w:tr w:rsidR="00F2407E" w:rsidRPr="00015CEC" w14:paraId="04BAFCC8" w14:textId="77777777" w:rsidTr="00752398">
        <w:trPr>
          <w:tblHeade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0BA4B972"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Nivel de Proceso</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96AF666"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Objetivo Específico</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277B726F"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Responsable Funcional</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5E1DBD3"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Vínculo con el PEI-FI</w:t>
            </w:r>
          </w:p>
        </w:tc>
      </w:tr>
      <w:tr w:rsidR="00F2407E" w:rsidRPr="00015CEC" w14:paraId="3C870D08" w14:textId="77777777" w:rsidTr="00752398">
        <w:trPr>
          <w:tblCellSpacing w:w="15" w:type="dxa"/>
        </w:trPr>
        <w:tc>
          <w:tcPr>
            <w:tcW w:w="0" w:type="auto"/>
            <w:tcMar>
              <w:top w:w="120" w:type="dxa"/>
              <w:left w:w="180" w:type="dxa"/>
              <w:bottom w:w="120" w:type="dxa"/>
              <w:right w:w="180" w:type="dxa"/>
            </w:tcMar>
            <w:vAlign w:val="center"/>
            <w:hideMark/>
          </w:tcPr>
          <w:p w14:paraId="148030F1"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Estratégico</w:t>
            </w:r>
          </w:p>
        </w:tc>
        <w:tc>
          <w:tcPr>
            <w:tcW w:w="0" w:type="auto"/>
            <w:tcMar>
              <w:top w:w="120" w:type="dxa"/>
              <w:left w:w="180" w:type="dxa"/>
              <w:bottom w:w="120" w:type="dxa"/>
              <w:right w:w="180" w:type="dxa"/>
            </w:tcMar>
            <w:vAlign w:val="center"/>
            <w:hideMark/>
          </w:tcPr>
          <w:p w14:paraId="14E24E71"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 xml:space="preserve">Definición de las líneas prioritarias de investigación, formulación y </w:t>
            </w:r>
            <w:r w:rsidRPr="00015CEC">
              <w:rPr>
                <w:rFonts w:ascii="Times New Roman" w:hAnsi="Times New Roman" w:cs="Times New Roman"/>
                <w:lang w:val="es-AR"/>
              </w:rPr>
              <w:lastRenderedPageBreak/>
              <w:t>seguimiento del PEI del Centro.</w:t>
            </w:r>
          </w:p>
        </w:tc>
        <w:tc>
          <w:tcPr>
            <w:tcW w:w="0" w:type="auto"/>
            <w:tcMar>
              <w:top w:w="120" w:type="dxa"/>
              <w:left w:w="180" w:type="dxa"/>
              <w:bottom w:w="120" w:type="dxa"/>
              <w:right w:w="180" w:type="dxa"/>
            </w:tcMar>
            <w:vAlign w:val="center"/>
            <w:hideMark/>
          </w:tcPr>
          <w:p w14:paraId="48E80411"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lastRenderedPageBreak/>
              <w:t>Dirección y Consejo Directivo del CIRCOT.</w:t>
            </w:r>
          </w:p>
        </w:tc>
        <w:tc>
          <w:tcPr>
            <w:tcW w:w="0" w:type="auto"/>
            <w:tcMar>
              <w:top w:w="120" w:type="dxa"/>
              <w:left w:w="180" w:type="dxa"/>
              <w:bottom w:w="120" w:type="dxa"/>
              <w:right w:w="180" w:type="dxa"/>
            </w:tcMar>
            <w:vAlign w:val="center"/>
            <w:hideMark/>
          </w:tcPr>
          <w:p w14:paraId="07F0D0CD"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Lineamiento 2: Política de investigación y desarrollo.</w:t>
            </w:r>
          </w:p>
        </w:tc>
      </w:tr>
      <w:tr w:rsidR="00F2407E" w:rsidRPr="00015CEC" w14:paraId="74973FB6" w14:textId="77777777" w:rsidTr="00752398">
        <w:trP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240BCD77"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Operativo</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3D614BC"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Ejecución de investigación aplicada, mejora continua de métodos constructivos y transferencia tecnológica efectiva al medio.</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6E66D93"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Investigadores, Becarios y Cuerpo de Técnicos del CIRCOT.</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01069538"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Lineamiento 3: Transferencia y vinculación con el medio.</w:t>
            </w:r>
          </w:p>
        </w:tc>
      </w:tr>
      <w:tr w:rsidR="00F2407E" w:rsidRPr="00015CEC" w14:paraId="4C7A1209" w14:textId="77777777" w:rsidTr="00752398">
        <w:trPr>
          <w:tblCellSpacing w:w="15" w:type="dxa"/>
        </w:trPr>
        <w:tc>
          <w:tcPr>
            <w:tcW w:w="0" w:type="auto"/>
            <w:tcBorders>
              <w:bottom w:val="single" w:sz="4" w:space="0" w:color="auto"/>
            </w:tcBorders>
            <w:tcMar>
              <w:top w:w="120" w:type="dxa"/>
              <w:left w:w="180" w:type="dxa"/>
              <w:bottom w:w="120" w:type="dxa"/>
              <w:right w:w="180" w:type="dxa"/>
            </w:tcMar>
            <w:vAlign w:val="center"/>
            <w:hideMark/>
          </w:tcPr>
          <w:p w14:paraId="69741610" w14:textId="77777777" w:rsidR="00F2407E" w:rsidRPr="00015CEC" w:rsidRDefault="00F2407E" w:rsidP="00DF395F">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De Apoyo</w:t>
            </w:r>
          </w:p>
        </w:tc>
        <w:tc>
          <w:tcPr>
            <w:tcW w:w="0" w:type="auto"/>
            <w:tcBorders>
              <w:bottom w:val="single" w:sz="4" w:space="0" w:color="auto"/>
            </w:tcBorders>
            <w:tcMar>
              <w:top w:w="120" w:type="dxa"/>
              <w:left w:w="180" w:type="dxa"/>
              <w:bottom w:w="120" w:type="dxa"/>
              <w:right w:w="180" w:type="dxa"/>
            </w:tcMar>
            <w:vAlign w:val="center"/>
            <w:hideMark/>
          </w:tcPr>
          <w:p w14:paraId="257F4D3D"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Gestión administrativa eficiente, mantenimiento preventivo de equipos y resguardo de la trazabilidad documental.</w:t>
            </w:r>
          </w:p>
        </w:tc>
        <w:tc>
          <w:tcPr>
            <w:tcW w:w="0" w:type="auto"/>
            <w:tcBorders>
              <w:bottom w:val="single" w:sz="4" w:space="0" w:color="auto"/>
            </w:tcBorders>
            <w:tcMar>
              <w:top w:w="120" w:type="dxa"/>
              <w:left w:w="180" w:type="dxa"/>
              <w:bottom w:w="120" w:type="dxa"/>
              <w:right w:w="180" w:type="dxa"/>
            </w:tcMar>
            <w:vAlign w:val="center"/>
            <w:hideMark/>
          </w:tcPr>
          <w:p w14:paraId="1FC2E671"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Secretaría Administrativa y Personal de Apoyo del CIRCOT.</w:t>
            </w:r>
          </w:p>
        </w:tc>
        <w:tc>
          <w:tcPr>
            <w:tcW w:w="0" w:type="auto"/>
            <w:tcBorders>
              <w:bottom w:val="single" w:sz="4" w:space="0" w:color="auto"/>
            </w:tcBorders>
            <w:tcMar>
              <w:top w:w="120" w:type="dxa"/>
              <w:left w:w="180" w:type="dxa"/>
              <w:bottom w:w="120" w:type="dxa"/>
              <w:right w:w="180" w:type="dxa"/>
            </w:tcMar>
            <w:vAlign w:val="center"/>
            <w:hideMark/>
          </w:tcPr>
          <w:p w14:paraId="130F4942" w14:textId="77777777" w:rsidR="00F2407E" w:rsidRPr="00015CEC" w:rsidRDefault="00F2407E" w:rsidP="00DF395F">
            <w:pPr>
              <w:spacing w:after="0" w:line="240" w:lineRule="auto"/>
              <w:rPr>
                <w:rFonts w:ascii="Times New Roman" w:hAnsi="Times New Roman" w:cs="Times New Roman"/>
                <w:lang w:val="es-AR"/>
              </w:rPr>
            </w:pPr>
            <w:r w:rsidRPr="00015CEC">
              <w:rPr>
                <w:rFonts w:ascii="Times New Roman" w:hAnsi="Times New Roman" w:cs="Times New Roman"/>
                <w:lang w:val="es-AR"/>
              </w:rPr>
              <w:t>Lineamiento 4: Calidad de los procesos y servicios de apoyo.</w:t>
            </w:r>
          </w:p>
        </w:tc>
      </w:tr>
    </w:tbl>
    <w:p w14:paraId="0212D1CB" w14:textId="77777777" w:rsidR="00F2407E" w:rsidRPr="00015CEC" w:rsidRDefault="00F2407E" w:rsidP="00F2407E">
      <w:pPr>
        <w:spacing w:before="120" w:after="120" w:line="240" w:lineRule="auto"/>
        <w:jc w:val="both"/>
        <w:rPr>
          <w:rFonts w:ascii="Times New Roman" w:hAnsi="Times New Roman" w:cs="Times New Roman"/>
          <w:b/>
          <w:bCs/>
          <w:lang w:val="es-AR"/>
        </w:rPr>
      </w:pPr>
      <w:r w:rsidRPr="00015CEC">
        <w:rPr>
          <w:rFonts w:ascii="Times New Roman" w:hAnsi="Times New Roman" w:cs="Times New Roman"/>
          <w:b/>
          <w:bCs/>
          <w:lang w:val="es-AR"/>
        </w:rPr>
        <w:t>5.3. Instrumentalización operativa: El Manual de Aseguramiento de la Calidad (MAC)</w:t>
      </w:r>
    </w:p>
    <w:p w14:paraId="27070927"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La pieza clave para blindar la organización y formalizar las rutinas operativas es la implementación del Manual de Aseguramiento de la Calidad (MAC). Su diseño conceptual responde a las normativas internacionales del marco ISO 9001:2015 y actúa como una interfaz metodológica directa con el Sistema Institucional de Aseguramiento de la Calidad (SIAC-UNSJ), validado bajo la Resolución Ministerial </w:t>
      </w:r>
      <w:proofErr w:type="spellStart"/>
      <w:r w:rsidRPr="00015CEC">
        <w:rPr>
          <w:rFonts w:ascii="Times New Roman" w:hAnsi="Times New Roman" w:cs="Times New Roman"/>
          <w:lang w:val="es-AR"/>
        </w:rPr>
        <w:t>Nº</w:t>
      </w:r>
      <w:proofErr w:type="spellEnd"/>
      <w:r w:rsidRPr="00015CEC">
        <w:rPr>
          <w:rFonts w:ascii="Times New Roman" w:hAnsi="Times New Roman" w:cs="Times New Roman"/>
          <w:lang w:val="es-AR"/>
        </w:rPr>
        <w:t xml:space="preserve"> 2597/2023.</w:t>
      </w:r>
    </w:p>
    <w:p w14:paraId="78633F77" w14:textId="77777777" w:rsidR="00EF3AB9" w:rsidRPr="00EF3AB9" w:rsidRDefault="00EF3AB9" w:rsidP="00EF3AB9">
      <w:pPr>
        <w:spacing w:line="240" w:lineRule="auto"/>
        <w:jc w:val="both"/>
        <w:rPr>
          <w:rFonts w:ascii="Times New Roman" w:hAnsi="Times New Roman" w:cs="Times New Roman"/>
          <w:lang w:val="es-AR"/>
        </w:rPr>
      </w:pPr>
      <w:r w:rsidRPr="00EF3AB9">
        <w:rPr>
          <w:rFonts w:ascii="Times New Roman" w:hAnsi="Times New Roman" w:cs="Times New Roman"/>
          <w:lang w:val="es-AR"/>
        </w:rPr>
        <w:t>La alineación del MAC con esta normativa se traduce en tres ejes de acción:</w:t>
      </w:r>
    </w:p>
    <w:p w14:paraId="1286AE8C" w14:textId="77777777" w:rsidR="00EF3AB9" w:rsidRPr="00EF3AB9" w:rsidRDefault="00EF3AB9" w:rsidP="00EF3AB9">
      <w:pPr>
        <w:pStyle w:val="Prrafodelista"/>
        <w:numPr>
          <w:ilvl w:val="0"/>
          <w:numId w:val="27"/>
        </w:numPr>
        <w:spacing w:line="240" w:lineRule="auto"/>
        <w:ind w:left="284" w:hanging="284"/>
        <w:jc w:val="both"/>
        <w:rPr>
          <w:rFonts w:ascii="Times New Roman" w:hAnsi="Times New Roman" w:cs="Times New Roman"/>
          <w:lang w:val="es-AR"/>
        </w:rPr>
      </w:pPr>
      <w:r w:rsidRPr="00EF3AB9">
        <w:rPr>
          <w:rFonts w:ascii="Times New Roman" w:hAnsi="Times New Roman" w:cs="Times New Roman"/>
          <w:lang w:val="es-AR"/>
        </w:rPr>
        <w:t>Certificación de Procesos: Preparación de los servicios técnicos, instrumental de medición en obra y protocolos metodológicos de relevamiento para auditorías y certificaciones externas.</w:t>
      </w:r>
    </w:p>
    <w:p w14:paraId="53E2DD24" w14:textId="77777777" w:rsidR="00EF3AB9" w:rsidRPr="00EF3AB9" w:rsidRDefault="00EF3AB9" w:rsidP="00EF3AB9">
      <w:pPr>
        <w:pStyle w:val="Prrafodelista"/>
        <w:numPr>
          <w:ilvl w:val="0"/>
          <w:numId w:val="27"/>
        </w:numPr>
        <w:spacing w:line="240" w:lineRule="auto"/>
        <w:ind w:left="284" w:hanging="284"/>
        <w:jc w:val="both"/>
        <w:rPr>
          <w:rFonts w:ascii="Times New Roman" w:hAnsi="Times New Roman" w:cs="Times New Roman"/>
          <w:lang w:val="es-AR"/>
        </w:rPr>
      </w:pPr>
      <w:r w:rsidRPr="00EF3AB9">
        <w:rPr>
          <w:rFonts w:ascii="Times New Roman" w:hAnsi="Times New Roman" w:cs="Times New Roman"/>
          <w:lang w:val="es-AR"/>
        </w:rPr>
        <w:t>Planes de Mejora: Derivación de acciones correctivas y preventivas concretas basadas en auditorías internas de calidad.</w:t>
      </w:r>
    </w:p>
    <w:p w14:paraId="414A9554" w14:textId="77777777" w:rsidR="00EF3AB9" w:rsidRPr="00EF3AB9" w:rsidRDefault="00EF3AB9" w:rsidP="00EF3AB9">
      <w:pPr>
        <w:pStyle w:val="Prrafodelista"/>
        <w:numPr>
          <w:ilvl w:val="0"/>
          <w:numId w:val="27"/>
        </w:numPr>
        <w:spacing w:line="240" w:lineRule="auto"/>
        <w:ind w:left="284" w:hanging="284"/>
        <w:jc w:val="both"/>
        <w:rPr>
          <w:rFonts w:ascii="Times New Roman" w:hAnsi="Times New Roman" w:cs="Times New Roman"/>
          <w:lang w:val="es-AR"/>
        </w:rPr>
      </w:pPr>
      <w:r w:rsidRPr="00EF3AB9">
        <w:rPr>
          <w:rFonts w:ascii="Times New Roman" w:hAnsi="Times New Roman" w:cs="Times New Roman"/>
          <w:lang w:val="es-AR"/>
        </w:rPr>
        <w:t>Transparencia: Publicación sistemática de informes de resultados y producción científica como ejercicio de rendición de cuentas.</w:t>
      </w:r>
    </w:p>
    <w:p w14:paraId="7D4EB689"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Con el MAC, los dictámenes y peritajes técnicos emitidos por el centro dejan de depender de la memoria o del criterio individual del investigador de turno, transformándose en un activo institucionalizado. Ello asegura que el CIRCOT opere bajo procesos validados externamente, elevando la calidad que la Facultad rinde ante la CONEAU. Frente a las restricciones macroeconómicas, el MAC incorpora la gestión del riesgo operativo como </w:t>
      </w:r>
      <w:r w:rsidRPr="00015CEC">
        <w:rPr>
          <w:rFonts w:ascii="Times New Roman" w:hAnsi="Times New Roman" w:cs="Times New Roman"/>
          <w:lang w:val="es-AR"/>
        </w:rPr>
        <w:lastRenderedPageBreak/>
        <w:t>un componente normativo. Esto habilita al centro a estructurar planes de contingencia para la calibración de sus equipos y diversificar sus fuentes de financiamiento a través de canales institucionales regulados, tales como las Unidades de Vinculación Tecnológica (UVT) y la Fundación UNSJ.</w:t>
      </w:r>
    </w:p>
    <w:p w14:paraId="4FBD98DC"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5.4. Sistema de indicadores y metas estratégicas</w:t>
      </w:r>
    </w:p>
    <w:p w14:paraId="379E09C3"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Para evaluar el impacto real del PEI y medir la efectividad del modelo de gestión por procesos, se despliega una matriz de indicadores avanzados que combina variables de causa y efecto: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5"/>
        <w:gridCol w:w="3292"/>
        <w:gridCol w:w="3087"/>
      </w:tblGrid>
      <w:tr w:rsidR="00F2407E" w:rsidRPr="00015CEC" w14:paraId="0027BBE7" w14:textId="77777777" w:rsidTr="00EF3AB9">
        <w:trPr>
          <w:tblHeade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4E94F83"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Dimensión Estratégica</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59C2DFB"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Indicador Específico</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139CC469"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Meta Sugerida (PEI 2026-2030)</w:t>
            </w:r>
          </w:p>
        </w:tc>
      </w:tr>
      <w:tr w:rsidR="00F2407E" w:rsidRPr="00015CEC" w14:paraId="449D9F5B" w14:textId="77777777" w:rsidTr="00EF3AB9">
        <w:trPr>
          <w:tblCellSpacing w:w="15" w:type="dxa"/>
        </w:trPr>
        <w:tc>
          <w:tcPr>
            <w:tcW w:w="0" w:type="auto"/>
            <w:tcMar>
              <w:top w:w="120" w:type="dxa"/>
              <w:left w:w="180" w:type="dxa"/>
              <w:bottom w:w="120" w:type="dxa"/>
              <w:right w:w="180" w:type="dxa"/>
            </w:tcMar>
            <w:vAlign w:val="center"/>
            <w:hideMark/>
          </w:tcPr>
          <w:p w14:paraId="0F603289"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Científico-Tecnológica</w:t>
            </w:r>
          </w:p>
        </w:tc>
        <w:tc>
          <w:tcPr>
            <w:tcW w:w="0" w:type="auto"/>
            <w:tcMar>
              <w:top w:w="120" w:type="dxa"/>
              <w:left w:w="180" w:type="dxa"/>
              <w:bottom w:w="120" w:type="dxa"/>
              <w:right w:w="180" w:type="dxa"/>
            </w:tcMar>
            <w:vAlign w:val="center"/>
            <w:hideMark/>
          </w:tcPr>
          <w:p w14:paraId="787F6C49"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Número de publicaciones en revistas indexadas por investigador equivalente.</w:t>
            </w:r>
          </w:p>
        </w:tc>
        <w:tc>
          <w:tcPr>
            <w:tcW w:w="0" w:type="auto"/>
            <w:tcMar>
              <w:top w:w="120" w:type="dxa"/>
              <w:left w:w="180" w:type="dxa"/>
              <w:bottom w:w="120" w:type="dxa"/>
              <w:right w:w="180" w:type="dxa"/>
            </w:tcMar>
            <w:vAlign w:val="center"/>
            <w:hideMark/>
          </w:tcPr>
          <w:p w14:paraId="4B6A35C5"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Incrementar un 20% la producción respecto al quinquenio anterior.</w:t>
            </w:r>
          </w:p>
        </w:tc>
      </w:tr>
      <w:tr w:rsidR="00F2407E" w:rsidRPr="00015CEC" w14:paraId="34C5344F" w14:textId="77777777" w:rsidTr="00EF3AB9">
        <w:trP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6DF74943"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Transferencia y Vinculación</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2C27C10"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Cantidad de convenios específicos con el sector público y privado para asistencia técnica.</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A1E3ADE"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Establecer al menos 3 nuevos convenios anuales de alto impacto territorial.</w:t>
            </w:r>
          </w:p>
        </w:tc>
      </w:tr>
      <w:tr w:rsidR="00F2407E" w:rsidRPr="00015CEC" w14:paraId="63FE17A4" w14:textId="77777777" w:rsidTr="00EF3AB9">
        <w:trPr>
          <w:tblCellSpacing w:w="15" w:type="dxa"/>
        </w:trPr>
        <w:tc>
          <w:tcPr>
            <w:tcW w:w="0" w:type="auto"/>
            <w:tcMar>
              <w:top w:w="120" w:type="dxa"/>
              <w:left w:w="180" w:type="dxa"/>
              <w:bottom w:w="120" w:type="dxa"/>
              <w:right w:w="180" w:type="dxa"/>
            </w:tcMar>
            <w:vAlign w:val="center"/>
            <w:hideMark/>
          </w:tcPr>
          <w:p w14:paraId="0C74967D"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Recursos Humanos</w:t>
            </w:r>
          </w:p>
        </w:tc>
        <w:tc>
          <w:tcPr>
            <w:tcW w:w="0" w:type="auto"/>
            <w:tcMar>
              <w:top w:w="120" w:type="dxa"/>
              <w:left w:w="180" w:type="dxa"/>
              <w:bottom w:w="120" w:type="dxa"/>
              <w:right w:w="180" w:type="dxa"/>
            </w:tcMar>
            <w:vAlign w:val="center"/>
            <w:hideMark/>
          </w:tcPr>
          <w:p w14:paraId="6FBE0071"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Ratio de mentores fundacionales vs. jóvenes investigadores en programas de mentoría.</w:t>
            </w:r>
          </w:p>
        </w:tc>
        <w:tc>
          <w:tcPr>
            <w:tcW w:w="0" w:type="auto"/>
            <w:tcMar>
              <w:top w:w="120" w:type="dxa"/>
              <w:left w:w="180" w:type="dxa"/>
              <w:bottom w:w="120" w:type="dxa"/>
              <w:right w:w="180" w:type="dxa"/>
            </w:tcMar>
            <w:vAlign w:val="center"/>
            <w:hideMark/>
          </w:tcPr>
          <w:p w14:paraId="6723D061"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Lograr un 100% de cobertura de mentoría para el personal ingresante.</w:t>
            </w:r>
          </w:p>
        </w:tc>
      </w:tr>
      <w:tr w:rsidR="00F2407E" w:rsidRPr="00015CEC" w14:paraId="5E8F5A18" w14:textId="77777777" w:rsidTr="00EF3AB9">
        <w:trP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25DDD8D4"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Calidad de Procesos</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AD40638"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Porcentaje de procedimientos y proyectos con trazabilidad documental auditada bajo el MAC.</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42FF7DF1"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Alcanzar el 95% de trazabilidad procedimental en auditorías de control.</w:t>
            </w:r>
          </w:p>
        </w:tc>
      </w:tr>
      <w:tr w:rsidR="00F2407E" w:rsidRPr="00015CEC" w14:paraId="74E39157" w14:textId="77777777" w:rsidTr="00EF3AB9">
        <w:trP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C8038DD" w14:textId="77777777" w:rsidR="00F2407E" w:rsidRPr="00015CEC" w:rsidRDefault="00F2407E" w:rsidP="004B11D2">
            <w:pPr>
              <w:spacing w:after="0" w:line="240" w:lineRule="auto"/>
              <w:jc w:val="center"/>
              <w:rPr>
                <w:rFonts w:ascii="Times New Roman" w:hAnsi="Times New Roman" w:cs="Times New Roman"/>
                <w:lang w:val="es-AR"/>
              </w:rPr>
            </w:pPr>
            <w:r w:rsidRPr="00015CEC">
              <w:rPr>
                <w:rFonts w:ascii="Times New Roman" w:hAnsi="Times New Roman" w:cs="Times New Roman"/>
                <w:b/>
                <w:bCs/>
                <w:lang w:val="es-AR"/>
              </w:rPr>
              <w:t>Sostenibilidad Financiera</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1E125093"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Porcentaje de recursos propios generados sobre el presupuesto total asignado.</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FA9EC85" w14:textId="77777777" w:rsidR="00F2407E" w:rsidRPr="00015CEC" w:rsidRDefault="00F2407E" w:rsidP="00EF3AB9">
            <w:pPr>
              <w:spacing w:after="0" w:line="240" w:lineRule="auto"/>
              <w:rPr>
                <w:rFonts w:ascii="Times New Roman" w:hAnsi="Times New Roman" w:cs="Times New Roman"/>
                <w:lang w:val="es-AR"/>
              </w:rPr>
            </w:pPr>
            <w:r w:rsidRPr="00015CEC">
              <w:rPr>
                <w:rFonts w:ascii="Times New Roman" w:hAnsi="Times New Roman" w:cs="Times New Roman"/>
                <w:lang w:val="es-AR"/>
              </w:rPr>
              <w:t>Mantener una generación de recursos propios superior al 15% del presupuesto general.</w:t>
            </w:r>
          </w:p>
        </w:tc>
      </w:tr>
    </w:tbl>
    <w:p w14:paraId="594BAD71" w14:textId="77777777" w:rsidR="00F2407E" w:rsidRPr="00015CEC" w:rsidRDefault="00F2407E" w:rsidP="00EF3AB9">
      <w:pPr>
        <w:spacing w:before="120" w:line="240" w:lineRule="auto"/>
        <w:jc w:val="both"/>
        <w:rPr>
          <w:rFonts w:ascii="Times New Roman" w:hAnsi="Times New Roman" w:cs="Times New Roman"/>
          <w:b/>
          <w:bCs/>
          <w:lang w:val="es-AR"/>
        </w:rPr>
      </w:pPr>
      <w:r w:rsidRPr="00015CEC">
        <w:rPr>
          <w:rFonts w:ascii="Times New Roman" w:hAnsi="Times New Roman" w:cs="Times New Roman"/>
          <w:b/>
          <w:bCs/>
          <w:lang w:val="es-AR"/>
        </w:rPr>
        <w:t>6. PLAN ESTRATEGICÓ INSTITUCIONAL DEL CIRCOT 2026-2030</w:t>
      </w:r>
    </w:p>
    <w:p w14:paraId="4749A530"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El PEI del CIRCOT constituye la hoja de ruta para territorializar los lineamientos macro de la FI y la UNSJ, estructurándose en cinco ejes fundamentales:</w:t>
      </w:r>
    </w:p>
    <w:p w14:paraId="6F52F3CF"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6.1. Eje Investigación e Innovación</w:t>
      </w:r>
    </w:p>
    <w:p w14:paraId="5C603014"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Este eje se focaliza en la dimensión científico-tecnológica, priorizando la sustentabilidad, el desarrollo de sistemas constructivos de baja huella de carbono y la optimización de </w:t>
      </w:r>
      <w:r w:rsidRPr="00015CEC">
        <w:rPr>
          <w:rFonts w:ascii="Times New Roman" w:hAnsi="Times New Roman" w:cs="Times New Roman"/>
          <w:lang w:val="es-AR"/>
        </w:rPr>
        <w:lastRenderedPageBreak/>
        <w:t xml:space="preserve">tecnologías no tradicionales —como el </w:t>
      </w:r>
      <w:r w:rsidRPr="00015CEC">
        <w:rPr>
          <w:rFonts w:ascii="Times New Roman" w:hAnsi="Times New Roman" w:cs="Times New Roman"/>
          <w:i/>
          <w:iCs/>
          <w:lang w:val="es-AR"/>
        </w:rPr>
        <w:t>steel frame</w:t>
      </w:r>
      <w:r w:rsidRPr="00015CEC">
        <w:rPr>
          <w:rFonts w:ascii="Times New Roman" w:hAnsi="Times New Roman" w:cs="Times New Roman"/>
          <w:lang w:val="es-AR"/>
        </w:rPr>
        <w:t>— adaptadas específicamente a los desafíos de habitabilidad y confort térmico en zonas áridas y sísmicas. Esta línea de trabajo materializa el compromiso socioambiental de la universidad y amplía su impacto al alinearse con tres Objetivos de Desarrollo Sostenible estratégicos:</w:t>
      </w:r>
    </w:p>
    <w:p w14:paraId="71214E0C" w14:textId="77777777" w:rsidR="00F2407E" w:rsidRPr="00015CEC" w:rsidRDefault="00F2407E" w:rsidP="003538C7">
      <w:pPr>
        <w:numPr>
          <w:ilvl w:val="0"/>
          <w:numId w:val="25"/>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lang w:val="es-AR"/>
        </w:rPr>
        <w:t xml:space="preserve">ODS </w:t>
      </w:r>
      <w:proofErr w:type="spellStart"/>
      <w:r w:rsidRPr="00015CEC">
        <w:rPr>
          <w:rFonts w:ascii="Times New Roman" w:hAnsi="Times New Roman" w:cs="Times New Roman"/>
          <w:lang w:val="es-AR"/>
        </w:rPr>
        <w:t>Nº</w:t>
      </w:r>
      <w:proofErr w:type="spellEnd"/>
      <w:r w:rsidRPr="00015CEC">
        <w:rPr>
          <w:rFonts w:ascii="Times New Roman" w:hAnsi="Times New Roman" w:cs="Times New Roman"/>
          <w:lang w:val="es-AR"/>
        </w:rPr>
        <w:t xml:space="preserve"> 4 (Educación de Calidad): Mediante la transferencia de este conocimiento de vanguardia hacia las aulas de ingeniería.</w:t>
      </w:r>
    </w:p>
    <w:p w14:paraId="25BC19F2" w14:textId="77777777" w:rsidR="00F2407E" w:rsidRPr="00015CEC" w:rsidRDefault="00F2407E" w:rsidP="003538C7">
      <w:pPr>
        <w:numPr>
          <w:ilvl w:val="0"/>
          <w:numId w:val="25"/>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lang w:val="es-AR"/>
        </w:rPr>
        <w:t xml:space="preserve">ODS </w:t>
      </w:r>
      <w:proofErr w:type="spellStart"/>
      <w:r w:rsidRPr="00015CEC">
        <w:rPr>
          <w:rFonts w:ascii="Times New Roman" w:hAnsi="Times New Roman" w:cs="Times New Roman"/>
          <w:lang w:val="es-AR"/>
        </w:rPr>
        <w:t>Nº</w:t>
      </w:r>
      <w:proofErr w:type="spellEnd"/>
      <w:r w:rsidRPr="00015CEC">
        <w:rPr>
          <w:rFonts w:ascii="Times New Roman" w:hAnsi="Times New Roman" w:cs="Times New Roman"/>
          <w:lang w:val="es-AR"/>
        </w:rPr>
        <w:t xml:space="preserve"> 9 (Industria, Innovación e Infraestructura): A través de la innovación tecnológica en materiales y métodos de racionalización constructiva.</w:t>
      </w:r>
    </w:p>
    <w:p w14:paraId="3C3C2EDB" w14:textId="77777777" w:rsidR="00F2407E" w:rsidRPr="00015CEC" w:rsidRDefault="00F2407E" w:rsidP="003538C7">
      <w:pPr>
        <w:numPr>
          <w:ilvl w:val="0"/>
          <w:numId w:val="25"/>
        </w:numPr>
        <w:tabs>
          <w:tab w:val="clear" w:pos="720"/>
        </w:tabs>
        <w:spacing w:line="240" w:lineRule="auto"/>
        <w:ind w:left="284" w:hanging="284"/>
        <w:jc w:val="both"/>
        <w:rPr>
          <w:rFonts w:ascii="Times New Roman" w:hAnsi="Times New Roman" w:cs="Times New Roman"/>
          <w:lang w:val="es-AR"/>
        </w:rPr>
      </w:pPr>
      <w:r w:rsidRPr="00015CEC">
        <w:rPr>
          <w:rFonts w:ascii="Times New Roman" w:hAnsi="Times New Roman" w:cs="Times New Roman"/>
          <w:lang w:val="es-AR"/>
        </w:rPr>
        <w:t xml:space="preserve">ODS </w:t>
      </w:r>
      <w:proofErr w:type="spellStart"/>
      <w:r w:rsidRPr="00015CEC">
        <w:rPr>
          <w:rFonts w:ascii="Times New Roman" w:hAnsi="Times New Roman" w:cs="Times New Roman"/>
          <w:lang w:val="es-AR"/>
        </w:rPr>
        <w:t>Nº</w:t>
      </w:r>
      <w:proofErr w:type="spellEnd"/>
      <w:r w:rsidRPr="00015CEC">
        <w:rPr>
          <w:rFonts w:ascii="Times New Roman" w:hAnsi="Times New Roman" w:cs="Times New Roman"/>
          <w:lang w:val="es-AR"/>
        </w:rPr>
        <w:t xml:space="preserve"> 11 (Ciudades y Comunidades Sostenibles): Mediante el diseño de soluciones habitacionales seguras y sustentables para la región.</w:t>
      </w:r>
    </w:p>
    <w:p w14:paraId="6BDE6E82"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6.2. Eje Transferencia y Vinculación Tecnológica</w:t>
      </w:r>
    </w:p>
    <w:p w14:paraId="4F426118" w14:textId="6C05D928"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Orientado a dinamizar el rol extensionista y potenciar la capacidad de financiamiento autónomo del centro. Se promueve la firma de convenios y la prestación de servicios tecnológicos especializados en </w:t>
      </w:r>
      <w:r w:rsidR="003538C7">
        <w:rPr>
          <w:rFonts w:ascii="Times New Roman" w:hAnsi="Times New Roman" w:cs="Times New Roman"/>
          <w:lang w:val="es-AR"/>
        </w:rPr>
        <w:t xml:space="preserve">procesos constructivos, costos, </w:t>
      </w:r>
      <w:r w:rsidRPr="00015CEC">
        <w:rPr>
          <w:rFonts w:ascii="Times New Roman" w:hAnsi="Times New Roman" w:cs="Times New Roman"/>
          <w:lang w:val="es-AR"/>
        </w:rPr>
        <w:t>control de calidad e inspección de obra tradicional</w:t>
      </w:r>
      <w:r w:rsidR="003538C7">
        <w:rPr>
          <w:rFonts w:ascii="Times New Roman" w:hAnsi="Times New Roman" w:cs="Times New Roman"/>
          <w:lang w:val="es-AR"/>
        </w:rPr>
        <w:t xml:space="preserve"> y no tradicional</w:t>
      </w:r>
      <w:r w:rsidRPr="00015CEC">
        <w:rPr>
          <w:rFonts w:ascii="Times New Roman" w:hAnsi="Times New Roman" w:cs="Times New Roman"/>
          <w:lang w:val="es-AR"/>
        </w:rPr>
        <w:t>. Ello posiciona al CIRCOT como un eslabón estratégico entre el conocimiento académico y el sector socioproductivo, respondiendo a las demandas de los municipios de la provincia y de las cámaras empresariales de la construcción.</w:t>
      </w:r>
    </w:p>
    <w:p w14:paraId="4093B6E7"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6.3. Eje Gestión del Talento Humano y Desarrollo de Recursos Humanos</w:t>
      </w:r>
    </w:p>
    <w:p w14:paraId="7DDC85F2"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Aborda el punto más crítico de la sostenibilidad del centro, articulando la base de investigadores jóvenes con las metas estratégicas de formación avanzada. Combina la implementación formal de programas de mentoría (atendiendo la transferencia de conocimiento de la capa sénior a la junior) con el aprovechamiento de las ofertas formativas del Plan de Formación Docente (FODO) de la UNSJ. El objetivo es lograr que los investigadores en formación adquieran capacidades científicas, pedagógicas y de gestión, preparando a los futuros cuadros directivos del instituto.</w:t>
      </w:r>
    </w:p>
    <w:p w14:paraId="100B8070"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6.4. Eje Infraestructura y Equipamiento</w:t>
      </w:r>
    </w:p>
    <w:p w14:paraId="244B1557"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Orientado a garantizar la vigencia tecnológica del equipamiento informático y los dispositivos de medición de obra frente a la rápida evolución técnica. Ante las restricciones presupuestarias y la coyuntura económica nacional, este eje se autofinancia mediante la potenciación de los servicios técnicos a terceros, peritajes en territorio y el licenciamiento de software especializado (como herramientas BIM). El MAC interviene mediante la obligatoriedad de protocolos estrictos de mantenimiento, calibración y actualización del instrumental, condición indispensable para mantener las acreditaciones de la Facultad ante organismos nacionales e internacionales.</w:t>
      </w:r>
    </w:p>
    <w:p w14:paraId="6F7E7D79"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6.5. Eje Calidad y Mejora Continua</w:t>
      </w:r>
    </w:p>
    <w:p w14:paraId="62A0871D"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Transversal a toda la organización, asegura que cada objetivo y meta del PEI sea monitoreada sistemáticamente a través de auditorías internas vinculadas al SIAC-UNSJ. Promueve una cultura organizacional basada en evidencias donde el desvío de un </w:t>
      </w:r>
      <w:r w:rsidRPr="00015CEC">
        <w:rPr>
          <w:rFonts w:ascii="Times New Roman" w:hAnsi="Times New Roman" w:cs="Times New Roman"/>
          <w:lang w:val="es-AR"/>
        </w:rPr>
        <w:lastRenderedPageBreak/>
        <w:t>indicador activa de inmediato acciones correctivas, consolidando la mejora continua como una práctica institucional permanente.</w:t>
      </w:r>
    </w:p>
    <w:p w14:paraId="436C3CA0"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7. DISCUSIÓN</w:t>
      </w:r>
    </w:p>
    <w:p w14:paraId="2A5E9ED7" w14:textId="3768C559"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 xml:space="preserve">El punto de inflexión más crítico que revela el análisis de los indicadores avanzados radica en la urgente necesidad de gestionar la vulnerabilidad del capital humano del centro. Por un lado, la notable base de investigadores jóvenes (40%) representa una fortaleza y un motor de renovación excepcional. Por el otro, la ausencia total de perfiles doctorales (0%) y la concentración de casi la mitad del plantel en el segmento núcleo y de retiro (45%) exponen al instituto a un riesgo inminente de parálisis científica y de pérdida irreversible del </w:t>
      </w:r>
      <w:r w:rsidRPr="00015CEC">
        <w:rPr>
          <w:rFonts w:ascii="Times New Roman" w:hAnsi="Times New Roman" w:cs="Times New Roman"/>
          <w:i/>
          <w:iCs/>
          <w:lang w:val="es-AR"/>
        </w:rPr>
        <w:t>know-how</w:t>
      </w:r>
      <w:r w:rsidRPr="00015CEC">
        <w:rPr>
          <w:rFonts w:ascii="Times New Roman" w:hAnsi="Times New Roman" w:cs="Times New Roman"/>
          <w:lang w:val="es-AR"/>
        </w:rPr>
        <w:t xml:space="preserve"> acumulado durante más de cuatro décadas.</w:t>
      </w:r>
    </w:p>
    <w:p w14:paraId="0B007A59"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En este escenario, la experiencia analizada demuestra de forma contundente que la disponibilidad de cuadros jóvenes no garantiza por sí sola la continuidad institucional si no existen mecanismos normativos y sistemáticos de formación avanzada, mentoría y transferencia de conocimiento (Nonaka y Takeuchi, 1999; Rojas Dávila y Torres Briones, 2017). Es aquí donde el programa de mentoría intergeneracional propuesto deja de ser una expresión de deseos voluntarista y se instituye, a través del Manual de Aseguramiento de la Calidad (MAC), como un dispositivo de gobernanza obligatorio. Este mecanismo permite codificar y estandarizar el conocimiento tácito de los investigadores experimentados antes de su jubilación, asegurando que el capital intelectual sea un activo permanente de la institución.</w:t>
      </w:r>
    </w:p>
    <w:p w14:paraId="2C624C73"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La respuesta estratégica diseñada a través de las metas SMART introduce objetivos realistas que viabilizan el cambio sin colisionar con las restricciones estructurales de las universidades nacionales argentinas. Fijar metas como el incremento neto del personal con posgrado al 60% para 2030 (priorizando dos doctorados y dos maestrías en el sector joven) o la reconversión de al menos un 33% de los cargos simples a dedicaciones semiexclusivas o exclusivas, demuestra que la planificación no se concibe de forma aislada, sino en estricta coordinación con la Secretaría Académica de la Facultad de Ingeniería y los marcos paritarios docentes. Asimismo, la meta de elevar la regularidad institucional del 40% al 60% para el año 2030, mediante el llamado programado a concursos públicos y regulares, mitiga la precarización horaria de los interinatos y blinda la continuidad de las líneas prioritarias de investigación.</w:t>
      </w:r>
    </w:p>
    <w:p w14:paraId="521BA062"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Por consiguiente, la articulación precisa entre indicadores de gestión, planificación estratégica y aseguramiento de la calidad constituye una condición necesaria y urgente para garantizar la sostenibilidad futura del CIRCOT. El centro no puede operar como una isla de conocimiento desconectada de los procesos de reforma de su propia universidad; por el contrario, debe erigirse como un nodo activo y vanguardista en la red de calidad de la UNSJ. La migración desde esquemas tradicionales basados en la voluntariedad hacia un sistema institucionalizado por procesos auditables dota a la unidad de la resiliencia organizativa indispensable para absorber las tensiones presupuestarias y macroeconómicas externas.</w:t>
      </w:r>
    </w:p>
    <w:p w14:paraId="08E4A9D2" w14:textId="77777777" w:rsidR="00F2407E" w:rsidRPr="00015CEC" w:rsidRDefault="00F2407E" w:rsidP="00F2407E">
      <w:pPr>
        <w:spacing w:line="240" w:lineRule="auto"/>
        <w:jc w:val="both"/>
        <w:rPr>
          <w:rFonts w:ascii="Times New Roman" w:hAnsi="Times New Roman" w:cs="Times New Roman"/>
          <w:b/>
          <w:bCs/>
          <w:lang w:val="es-AR"/>
        </w:rPr>
      </w:pPr>
      <w:r w:rsidRPr="00015CEC">
        <w:rPr>
          <w:rFonts w:ascii="Times New Roman" w:hAnsi="Times New Roman" w:cs="Times New Roman"/>
          <w:b/>
          <w:bCs/>
          <w:lang w:val="es-AR"/>
        </w:rPr>
        <w:t>8. CONCLUSIONES</w:t>
      </w:r>
    </w:p>
    <w:p w14:paraId="47538513"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lastRenderedPageBreak/>
        <w:t>La formalización y el diseño del Plan Estratégico Institucional (PEI) 2026-2030 y del Manual de Aseguramiento de la Calidad (MAC) permitirá al CIRCOT consolidar definitivamente una cultura organizacional basada en la planificación, la evaluación objetiva y la mejora continua. Asimismo, la incorporación sistemática de indicadores avanzados facilitará la toma de decisiones estratégicas, contribuyendo de manera directa a la preservación del capital intelectual acumulado y a la contención de las nuevas generaciones de investigadores.</w:t>
      </w:r>
    </w:p>
    <w:p w14:paraId="6A25150C"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Más allá del caso específico del CIRCOT, los resultados obtenidos permiten sostener que los procesos de profesionalización institucional constituyen una dimensión estratégica para las unidades de investigación universitarias que enfrentan desafíos de recambio generacional, restricciones presupuestarias y crecientes exigencias de evaluación externa. En este sentido, la experiencia desarrollada aporta una metodología de diagnóstico y planificación potencialmente transferible a otros institutos y centros de investigación que busquen fortalecer sus capacidades organizacionales mediante herramientas de gestión basadas en indicadores y mejora continua.</w:t>
      </w:r>
    </w:p>
    <w:p w14:paraId="2BA563D3" w14:textId="77777777" w:rsidR="00F2407E" w:rsidRPr="00015CEC" w:rsidRDefault="00F2407E" w:rsidP="00F2407E">
      <w:pPr>
        <w:spacing w:line="240" w:lineRule="auto"/>
        <w:jc w:val="both"/>
        <w:rPr>
          <w:rFonts w:ascii="Times New Roman" w:hAnsi="Times New Roman" w:cs="Times New Roman"/>
          <w:lang w:val="es-AR"/>
        </w:rPr>
      </w:pPr>
      <w:r w:rsidRPr="00015CEC">
        <w:rPr>
          <w:rFonts w:ascii="Times New Roman" w:hAnsi="Times New Roman" w:cs="Times New Roman"/>
          <w:lang w:val="es-AR"/>
        </w:rPr>
        <w:t>De este modo, la profesionalización de la gestión se presenta como un acto de responsabilidad pública y una herramienta clave para garantizar la autonomía responsable, la calidad académica y la pertinencia social del CIRCOT en el mediano y largo plazo, transformando las debilidades estructurales del presente en vectores de consolidación institucional para el futuro.</w:t>
      </w:r>
    </w:p>
    <w:bookmarkEnd w:id="1"/>
    <w:p w14:paraId="0961BD6B" w14:textId="14D142C2" w:rsidR="00806ADB" w:rsidRPr="00806ADB" w:rsidRDefault="00B1730F" w:rsidP="00806ADB">
      <w:pPr>
        <w:spacing w:line="240" w:lineRule="auto"/>
        <w:rPr>
          <w:rFonts w:ascii="Times New Roman" w:hAnsi="Times New Roman" w:cs="Times New Roman"/>
          <w:b/>
          <w:bCs/>
          <w:lang w:val="es-AR"/>
        </w:rPr>
      </w:pPr>
      <w:r w:rsidRPr="00BA642E">
        <w:rPr>
          <w:rFonts w:ascii="Times New Roman" w:hAnsi="Times New Roman" w:cs="Times New Roman"/>
          <w:b/>
          <w:bCs/>
        </w:rPr>
        <w:t>Referencias Bibliográficas</w:t>
      </w:r>
    </w:p>
    <w:p w14:paraId="54D385AC" w14:textId="65E6C929" w:rsidR="00804FAD" w:rsidRDefault="00804FAD" w:rsidP="00DB3D1B">
      <w:pPr>
        <w:spacing w:line="240" w:lineRule="auto"/>
        <w:jc w:val="both"/>
        <w:rPr>
          <w:rFonts w:ascii="Times New Roman" w:hAnsi="Times New Roman" w:cs="Times New Roman"/>
          <w:lang w:val="es-AR"/>
        </w:rPr>
      </w:pPr>
      <w:r w:rsidRPr="00804FAD">
        <w:rPr>
          <w:rFonts w:ascii="Times New Roman" w:hAnsi="Times New Roman" w:cs="Times New Roman"/>
          <w:lang w:val="es-AR"/>
        </w:rPr>
        <w:t>Aiello, M., Krotsch, L., (2022). La investigación en las universidades argentinas: producción de conocimiento y formación de investigadores. https://www.researchgate.net/publication/361649844_La_investigacion_en_las_universidades_argentinas_produccion_de_conocimiento_y_formacion_de_investigadores</w:t>
      </w:r>
      <w:r>
        <w:rPr>
          <w:rFonts w:ascii="Times New Roman" w:hAnsi="Times New Roman" w:cs="Times New Roman"/>
          <w:lang w:val="es-AR"/>
        </w:rPr>
        <w:t>.</w:t>
      </w:r>
    </w:p>
    <w:p w14:paraId="637A9210" w14:textId="70425AF5" w:rsidR="00E53FE8" w:rsidRPr="00DB3D1B" w:rsidRDefault="00E53FE8" w:rsidP="00E53FE8">
      <w:pPr>
        <w:spacing w:line="240" w:lineRule="auto"/>
        <w:jc w:val="both"/>
        <w:rPr>
          <w:rFonts w:ascii="Times New Roman" w:hAnsi="Times New Roman" w:cs="Times New Roman"/>
          <w:lang w:val="es-AR"/>
        </w:rPr>
      </w:pPr>
      <w:r w:rsidRPr="00DB3D1B">
        <w:rPr>
          <w:rFonts w:ascii="Times New Roman" w:hAnsi="Times New Roman" w:cs="Times New Roman"/>
          <w:lang w:val="es-AR"/>
        </w:rPr>
        <w:t>Facultad de Ingeniería, Universidad Nacional de San Juan. (2024</w:t>
      </w:r>
      <w:r>
        <w:rPr>
          <w:rFonts w:ascii="Times New Roman" w:hAnsi="Times New Roman" w:cs="Times New Roman"/>
          <w:lang w:val="es-AR"/>
        </w:rPr>
        <w:t>a</w:t>
      </w:r>
      <w:r w:rsidRPr="00DB3D1B">
        <w:rPr>
          <w:rFonts w:ascii="Times New Roman" w:hAnsi="Times New Roman" w:cs="Times New Roman"/>
          <w:lang w:val="es-AR"/>
        </w:rPr>
        <w:t xml:space="preserve">). Plan Estratégico Institucional 2024–2028 [Ordenanza </w:t>
      </w:r>
      <w:proofErr w:type="spellStart"/>
      <w:r w:rsidRPr="00DB3D1B">
        <w:rPr>
          <w:rFonts w:ascii="Times New Roman" w:hAnsi="Times New Roman" w:cs="Times New Roman"/>
          <w:lang w:val="es-AR"/>
        </w:rPr>
        <w:t>N.°</w:t>
      </w:r>
      <w:proofErr w:type="spellEnd"/>
      <w:r w:rsidRPr="00DB3D1B">
        <w:rPr>
          <w:rFonts w:ascii="Times New Roman" w:hAnsi="Times New Roman" w:cs="Times New Roman"/>
          <w:lang w:val="es-AR"/>
        </w:rPr>
        <w:t xml:space="preserve"> 14/24-CD]. Facultad de Ingeniería, Universidad Nacional de San Juan.</w:t>
      </w:r>
    </w:p>
    <w:p w14:paraId="032B5E8C" w14:textId="3CA85F77" w:rsidR="00DB3D1B" w:rsidRPr="00DB3D1B" w:rsidRDefault="00DB3D1B" w:rsidP="00DB3D1B">
      <w:pPr>
        <w:spacing w:line="240" w:lineRule="auto"/>
        <w:jc w:val="both"/>
        <w:rPr>
          <w:rFonts w:ascii="Times New Roman" w:hAnsi="Times New Roman" w:cs="Times New Roman"/>
          <w:lang w:val="es-AR"/>
        </w:rPr>
      </w:pPr>
      <w:r w:rsidRPr="00DB3D1B">
        <w:rPr>
          <w:rFonts w:ascii="Times New Roman" w:hAnsi="Times New Roman" w:cs="Times New Roman"/>
          <w:lang w:val="es-AR"/>
        </w:rPr>
        <w:t>Facultad de Ingeniería, Universidad Nacional de San Juan. (2024</w:t>
      </w:r>
      <w:r w:rsidR="00E53FE8">
        <w:rPr>
          <w:rFonts w:ascii="Times New Roman" w:hAnsi="Times New Roman" w:cs="Times New Roman"/>
          <w:lang w:val="es-AR"/>
        </w:rPr>
        <w:t>b</w:t>
      </w:r>
      <w:r w:rsidRPr="00DB3D1B">
        <w:rPr>
          <w:rFonts w:ascii="Times New Roman" w:hAnsi="Times New Roman" w:cs="Times New Roman"/>
          <w:lang w:val="es-AR"/>
        </w:rPr>
        <w:t xml:space="preserve">). Informe anual de unidades de investigación 2024 [Resolución </w:t>
      </w:r>
      <w:proofErr w:type="spellStart"/>
      <w:r w:rsidRPr="00DB3D1B">
        <w:rPr>
          <w:rFonts w:ascii="Times New Roman" w:hAnsi="Times New Roman" w:cs="Times New Roman"/>
          <w:lang w:val="es-AR"/>
        </w:rPr>
        <w:t>N.°</w:t>
      </w:r>
      <w:proofErr w:type="spellEnd"/>
      <w:r w:rsidRPr="00DB3D1B">
        <w:rPr>
          <w:rFonts w:ascii="Times New Roman" w:hAnsi="Times New Roman" w:cs="Times New Roman"/>
          <w:lang w:val="es-AR"/>
        </w:rPr>
        <w:t xml:space="preserve"> 111/24-CD]. Facultad de Ingeniería, Universidad Nacional de San Juan.</w:t>
      </w:r>
    </w:p>
    <w:p w14:paraId="69EC66DA" w14:textId="3BA9B62B" w:rsidR="00E91C9F" w:rsidRDefault="00E91C9F" w:rsidP="00DB3D1B">
      <w:pPr>
        <w:spacing w:line="240" w:lineRule="auto"/>
        <w:jc w:val="both"/>
        <w:rPr>
          <w:rFonts w:ascii="Times New Roman" w:hAnsi="Times New Roman" w:cs="Times New Roman"/>
          <w:lang w:val="es-AR"/>
        </w:rPr>
      </w:pPr>
      <w:r w:rsidRPr="00E91C9F">
        <w:rPr>
          <w:rFonts w:ascii="Times New Roman" w:hAnsi="Times New Roman" w:cs="Times New Roman"/>
          <w:lang w:val="es-AR"/>
        </w:rPr>
        <w:t>Guaglianone</w:t>
      </w:r>
      <w:r>
        <w:rPr>
          <w:rFonts w:ascii="Times New Roman" w:hAnsi="Times New Roman" w:cs="Times New Roman"/>
          <w:lang w:val="es-AR"/>
        </w:rPr>
        <w:t>,</w:t>
      </w:r>
      <w:r w:rsidRPr="00E91C9F">
        <w:rPr>
          <w:rFonts w:ascii="Times New Roman" w:hAnsi="Times New Roman" w:cs="Times New Roman"/>
          <w:lang w:val="es-AR"/>
        </w:rPr>
        <w:t xml:space="preserve"> Ariadna. </w:t>
      </w:r>
      <w:r>
        <w:rPr>
          <w:rFonts w:ascii="Times New Roman" w:hAnsi="Times New Roman" w:cs="Times New Roman"/>
          <w:lang w:val="es-AR"/>
        </w:rPr>
        <w:t>(201</w:t>
      </w:r>
      <w:r w:rsidR="00CC1E0B">
        <w:rPr>
          <w:rFonts w:ascii="Times New Roman" w:hAnsi="Times New Roman" w:cs="Times New Roman"/>
          <w:lang w:val="es-AR"/>
        </w:rPr>
        <w:t>7</w:t>
      </w:r>
      <w:r>
        <w:rPr>
          <w:rFonts w:ascii="Times New Roman" w:hAnsi="Times New Roman" w:cs="Times New Roman"/>
          <w:lang w:val="es-AR"/>
        </w:rPr>
        <w:t>)</w:t>
      </w:r>
      <w:r w:rsidRPr="00E91C9F">
        <w:rPr>
          <w:rFonts w:ascii="Times New Roman" w:hAnsi="Times New Roman" w:cs="Times New Roman"/>
          <w:lang w:val="es-AR"/>
        </w:rPr>
        <w:t>.</w:t>
      </w:r>
      <w:r w:rsidRPr="00E91C9F">
        <w:t xml:space="preserve"> </w:t>
      </w:r>
      <w:r w:rsidRPr="00E91C9F">
        <w:rPr>
          <w:rFonts w:ascii="Times New Roman" w:hAnsi="Times New Roman" w:cs="Times New Roman"/>
          <w:lang w:val="es-AR"/>
        </w:rPr>
        <w:t>Impacto de los procesos de aseguramiento de la calidad en el sistema universitario argentino</w:t>
      </w:r>
      <w:r>
        <w:rPr>
          <w:rFonts w:ascii="Times New Roman" w:hAnsi="Times New Roman" w:cs="Times New Roman"/>
          <w:lang w:val="es-AR"/>
        </w:rPr>
        <w:t>. Revista Argentina de Educación Superior.</w:t>
      </w:r>
    </w:p>
    <w:p w14:paraId="53CFC5F4" w14:textId="77777777" w:rsidR="00FE4C5B" w:rsidRDefault="00FE4C5B" w:rsidP="00DB3D1B">
      <w:pPr>
        <w:spacing w:line="240" w:lineRule="auto"/>
        <w:jc w:val="both"/>
        <w:rPr>
          <w:rFonts w:ascii="Times New Roman" w:hAnsi="Times New Roman" w:cs="Times New Roman"/>
          <w:lang w:val="es-AR"/>
        </w:rPr>
      </w:pPr>
      <w:r w:rsidRPr="00FE4C5B">
        <w:rPr>
          <w:rFonts w:ascii="Times New Roman" w:hAnsi="Times New Roman" w:cs="Times New Roman"/>
          <w:lang w:val="es-AR"/>
        </w:rPr>
        <w:t xml:space="preserve">Kemmis, S.; McTaggart, R., (2014). The </w:t>
      </w:r>
      <w:proofErr w:type="spellStart"/>
      <w:r w:rsidRPr="00FE4C5B">
        <w:rPr>
          <w:rFonts w:ascii="Times New Roman" w:hAnsi="Times New Roman" w:cs="Times New Roman"/>
          <w:lang w:val="es-AR"/>
        </w:rPr>
        <w:t>Action</w:t>
      </w:r>
      <w:proofErr w:type="spellEnd"/>
      <w:r w:rsidRPr="00FE4C5B">
        <w:rPr>
          <w:rFonts w:ascii="Times New Roman" w:hAnsi="Times New Roman" w:cs="Times New Roman"/>
          <w:lang w:val="es-AR"/>
        </w:rPr>
        <w:t xml:space="preserve"> </w:t>
      </w:r>
      <w:proofErr w:type="spellStart"/>
      <w:r w:rsidRPr="00FE4C5B">
        <w:rPr>
          <w:rFonts w:ascii="Times New Roman" w:hAnsi="Times New Roman" w:cs="Times New Roman"/>
          <w:lang w:val="es-AR"/>
        </w:rPr>
        <w:t>Research</w:t>
      </w:r>
      <w:proofErr w:type="spellEnd"/>
      <w:r w:rsidRPr="00FE4C5B">
        <w:rPr>
          <w:rFonts w:ascii="Times New Roman" w:hAnsi="Times New Roman" w:cs="Times New Roman"/>
          <w:lang w:val="es-AR"/>
        </w:rPr>
        <w:t xml:space="preserve"> </w:t>
      </w:r>
      <w:proofErr w:type="spellStart"/>
      <w:r w:rsidRPr="00FE4C5B">
        <w:rPr>
          <w:rFonts w:ascii="Times New Roman" w:hAnsi="Times New Roman" w:cs="Times New Roman"/>
          <w:lang w:val="es-AR"/>
        </w:rPr>
        <w:t>Planner</w:t>
      </w:r>
      <w:proofErr w:type="spellEnd"/>
      <w:r w:rsidRPr="00FE4C5B">
        <w:rPr>
          <w:rFonts w:ascii="Times New Roman" w:hAnsi="Times New Roman" w:cs="Times New Roman"/>
          <w:lang w:val="es-AR"/>
        </w:rPr>
        <w:t xml:space="preserve">. Springer </w:t>
      </w:r>
      <w:proofErr w:type="spellStart"/>
      <w:r w:rsidRPr="00FE4C5B">
        <w:rPr>
          <w:rFonts w:ascii="Times New Roman" w:hAnsi="Times New Roman" w:cs="Times New Roman"/>
          <w:lang w:val="es-AR"/>
        </w:rPr>
        <w:t>Singapore</w:t>
      </w:r>
      <w:proofErr w:type="spellEnd"/>
      <w:r w:rsidRPr="00FE4C5B">
        <w:rPr>
          <w:rFonts w:ascii="Times New Roman" w:hAnsi="Times New Roman" w:cs="Times New Roman"/>
          <w:lang w:val="es-AR"/>
        </w:rPr>
        <w:t xml:space="preserve"> Heidelberg New York </w:t>
      </w:r>
      <w:proofErr w:type="spellStart"/>
      <w:r w:rsidRPr="00FE4C5B">
        <w:rPr>
          <w:rFonts w:ascii="Times New Roman" w:hAnsi="Times New Roman" w:cs="Times New Roman"/>
          <w:lang w:val="es-AR"/>
        </w:rPr>
        <w:t>Dordrecht</w:t>
      </w:r>
      <w:proofErr w:type="spellEnd"/>
      <w:r w:rsidRPr="00FE4C5B">
        <w:rPr>
          <w:rFonts w:ascii="Times New Roman" w:hAnsi="Times New Roman" w:cs="Times New Roman"/>
          <w:lang w:val="es-AR"/>
        </w:rPr>
        <w:t xml:space="preserve"> London.</w:t>
      </w:r>
    </w:p>
    <w:p w14:paraId="30B915F5" w14:textId="40FA0CF4" w:rsidR="00DB3D1B" w:rsidRPr="00DB3D1B" w:rsidRDefault="00DB3D1B" w:rsidP="00DB3D1B">
      <w:pPr>
        <w:spacing w:line="240" w:lineRule="auto"/>
        <w:jc w:val="both"/>
        <w:rPr>
          <w:rFonts w:ascii="Times New Roman" w:hAnsi="Times New Roman" w:cs="Times New Roman"/>
          <w:lang w:val="es-AR"/>
        </w:rPr>
      </w:pPr>
      <w:r w:rsidRPr="00DB3D1B">
        <w:rPr>
          <w:rFonts w:ascii="Times New Roman" w:hAnsi="Times New Roman" w:cs="Times New Roman"/>
          <w:lang w:val="es-AR"/>
        </w:rPr>
        <w:t>Marquina, M., Giménez, G., Rodríguez, W., &amp; Mazzeo, I. (2022). Implicancias del aseguramiento de la calidad en las universidades argentinas. Educación Superior y Sociedad, 34(2), 91–117.</w:t>
      </w:r>
    </w:p>
    <w:p w14:paraId="478C2375" w14:textId="03B14A35" w:rsidR="00DB3D1B" w:rsidRPr="00DB3D1B" w:rsidRDefault="00DB3D1B" w:rsidP="00DB3D1B">
      <w:pPr>
        <w:spacing w:line="240" w:lineRule="auto"/>
        <w:jc w:val="both"/>
        <w:rPr>
          <w:rFonts w:ascii="Times New Roman" w:hAnsi="Times New Roman" w:cs="Times New Roman"/>
          <w:lang w:val="es-AR"/>
        </w:rPr>
      </w:pPr>
      <w:r w:rsidRPr="00DB3D1B">
        <w:rPr>
          <w:rFonts w:ascii="Times New Roman" w:hAnsi="Times New Roman" w:cs="Times New Roman"/>
          <w:lang w:val="es-AR"/>
        </w:rPr>
        <w:lastRenderedPageBreak/>
        <w:t xml:space="preserve">Ministerio de </w:t>
      </w:r>
      <w:r w:rsidR="00CC1E0B">
        <w:rPr>
          <w:rFonts w:ascii="Times New Roman" w:hAnsi="Times New Roman" w:cs="Times New Roman"/>
          <w:lang w:val="es-AR"/>
        </w:rPr>
        <w:t>Educación</w:t>
      </w:r>
      <w:r w:rsidRPr="00DB3D1B">
        <w:rPr>
          <w:rFonts w:ascii="Times New Roman" w:hAnsi="Times New Roman" w:cs="Times New Roman"/>
          <w:lang w:val="es-AR"/>
        </w:rPr>
        <w:t>, Secretaría de Educación. (2023). Resolución 2597/2023. Sistema Institucional de Aseguramiento de la Calidad (SIAC). Boletín Oficial de la República Argentina. https://www.argentina.gob.ar</w:t>
      </w:r>
    </w:p>
    <w:p w14:paraId="663915F8" w14:textId="3FD46BEA" w:rsidR="00DB3D1B" w:rsidRPr="00DB3D1B" w:rsidRDefault="00DB3D1B" w:rsidP="00D26182">
      <w:pPr>
        <w:spacing w:line="240" w:lineRule="auto"/>
        <w:jc w:val="both"/>
        <w:rPr>
          <w:rFonts w:ascii="Times New Roman" w:hAnsi="Times New Roman" w:cs="Times New Roman"/>
          <w:lang w:val="es-AR"/>
        </w:rPr>
      </w:pPr>
      <w:r w:rsidRPr="00DB3D1B">
        <w:rPr>
          <w:rFonts w:ascii="Times New Roman" w:hAnsi="Times New Roman" w:cs="Times New Roman"/>
          <w:lang w:val="es-AR"/>
        </w:rPr>
        <w:t>Nonaka, I., &amp; Takeuchi, H. (199</w:t>
      </w:r>
      <w:r w:rsidR="00D26182">
        <w:rPr>
          <w:rFonts w:ascii="Times New Roman" w:hAnsi="Times New Roman" w:cs="Times New Roman"/>
          <w:lang w:val="es-AR"/>
        </w:rPr>
        <w:t>9</w:t>
      </w:r>
      <w:r w:rsidRPr="00DB3D1B">
        <w:rPr>
          <w:rFonts w:ascii="Times New Roman" w:hAnsi="Times New Roman" w:cs="Times New Roman"/>
          <w:lang w:val="es-AR"/>
        </w:rPr>
        <w:t xml:space="preserve">). </w:t>
      </w:r>
      <w:r w:rsidR="00D26182" w:rsidRPr="00D26182">
        <w:rPr>
          <w:rFonts w:ascii="Times New Roman" w:hAnsi="Times New Roman" w:cs="Times New Roman"/>
          <w:lang w:val="es-AR"/>
        </w:rPr>
        <w:t>la organización creadora</w:t>
      </w:r>
      <w:r w:rsidR="00D26182">
        <w:rPr>
          <w:rFonts w:ascii="Times New Roman" w:hAnsi="Times New Roman" w:cs="Times New Roman"/>
          <w:lang w:val="es-AR"/>
        </w:rPr>
        <w:t xml:space="preserve"> </w:t>
      </w:r>
      <w:r w:rsidR="00D26182" w:rsidRPr="00D26182">
        <w:rPr>
          <w:rFonts w:ascii="Times New Roman" w:hAnsi="Times New Roman" w:cs="Times New Roman"/>
          <w:lang w:val="es-AR"/>
        </w:rPr>
        <w:t>de conocimiento</w:t>
      </w:r>
      <w:r w:rsidRPr="00DB3D1B">
        <w:rPr>
          <w:rFonts w:ascii="Times New Roman" w:hAnsi="Times New Roman" w:cs="Times New Roman"/>
          <w:lang w:val="es-AR"/>
        </w:rPr>
        <w:t xml:space="preserve">: </w:t>
      </w:r>
      <w:r w:rsidR="00D26182" w:rsidRPr="00D26182">
        <w:rPr>
          <w:rFonts w:ascii="Times New Roman" w:hAnsi="Times New Roman" w:cs="Times New Roman"/>
          <w:lang w:val="es-AR"/>
        </w:rPr>
        <w:t>Cómo las compañías japonesas</w:t>
      </w:r>
      <w:r w:rsidR="00D26182">
        <w:rPr>
          <w:rFonts w:ascii="Times New Roman" w:hAnsi="Times New Roman" w:cs="Times New Roman"/>
          <w:lang w:val="es-AR"/>
        </w:rPr>
        <w:t xml:space="preserve"> </w:t>
      </w:r>
      <w:r w:rsidR="00D26182" w:rsidRPr="00D26182">
        <w:rPr>
          <w:rFonts w:ascii="Times New Roman" w:hAnsi="Times New Roman" w:cs="Times New Roman"/>
          <w:lang w:val="es-AR"/>
        </w:rPr>
        <w:t>crean la dinámica de la innovación</w:t>
      </w:r>
      <w:r w:rsidRPr="00DB3D1B">
        <w:rPr>
          <w:rFonts w:ascii="Times New Roman" w:hAnsi="Times New Roman" w:cs="Times New Roman"/>
          <w:lang w:val="es-AR"/>
        </w:rPr>
        <w:t xml:space="preserve">. Oxford </w:t>
      </w:r>
      <w:proofErr w:type="spellStart"/>
      <w:r w:rsidRPr="00DB3D1B">
        <w:rPr>
          <w:rFonts w:ascii="Times New Roman" w:hAnsi="Times New Roman" w:cs="Times New Roman"/>
          <w:lang w:val="es-AR"/>
        </w:rPr>
        <w:t>University</w:t>
      </w:r>
      <w:proofErr w:type="spellEnd"/>
      <w:r w:rsidRPr="00DB3D1B">
        <w:rPr>
          <w:rFonts w:ascii="Times New Roman" w:hAnsi="Times New Roman" w:cs="Times New Roman"/>
          <w:lang w:val="es-AR"/>
        </w:rPr>
        <w:t xml:space="preserve"> Press.</w:t>
      </w:r>
    </w:p>
    <w:p w14:paraId="370CBC76" w14:textId="77777777" w:rsidR="00DB3D1B" w:rsidRPr="00DB3D1B" w:rsidRDefault="00DB3D1B" w:rsidP="00DB3D1B">
      <w:pPr>
        <w:spacing w:line="240" w:lineRule="auto"/>
        <w:jc w:val="both"/>
        <w:rPr>
          <w:rFonts w:ascii="Times New Roman" w:hAnsi="Times New Roman" w:cs="Times New Roman"/>
          <w:lang w:val="es-AR"/>
        </w:rPr>
      </w:pPr>
      <w:r w:rsidRPr="00DB3D1B">
        <w:rPr>
          <w:rFonts w:ascii="Times New Roman" w:hAnsi="Times New Roman" w:cs="Times New Roman"/>
          <w:lang w:val="es-AR"/>
        </w:rPr>
        <w:t>Organización Internacional de Normalización. (2015). ISO 9001:2015. Sistemas de gestión de la calidad: Requisitos. ISO.</w:t>
      </w:r>
    </w:p>
    <w:p w14:paraId="066D62FB" w14:textId="77777777" w:rsidR="00AD1ABD" w:rsidRDefault="00AD1ABD" w:rsidP="00AD1ABD">
      <w:pPr>
        <w:spacing w:line="240" w:lineRule="auto"/>
        <w:jc w:val="both"/>
        <w:rPr>
          <w:rFonts w:ascii="Times New Roman" w:hAnsi="Times New Roman" w:cs="Times New Roman"/>
          <w:lang w:val="es-AR"/>
        </w:rPr>
      </w:pPr>
      <w:proofErr w:type="spellStart"/>
      <w:r w:rsidRPr="007D1C42">
        <w:rPr>
          <w:rFonts w:ascii="Times New Roman" w:hAnsi="Times New Roman" w:cs="Times New Roman"/>
          <w:lang w:val="es-AR"/>
        </w:rPr>
        <w:t>Perez</w:t>
      </w:r>
      <w:proofErr w:type="spellEnd"/>
      <w:r w:rsidRPr="007D1C42">
        <w:rPr>
          <w:rFonts w:ascii="Times New Roman" w:hAnsi="Times New Roman" w:cs="Times New Roman"/>
          <w:lang w:val="es-AR"/>
        </w:rPr>
        <w:t xml:space="preserve"> Centeno</w:t>
      </w:r>
      <w:r>
        <w:rPr>
          <w:rFonts w:ascii="Times New Roman" w:hAnsi="Times New Roman" w:cs="Times New Roman"/>
          <w:lang w:val="es-AR"/>
        </w:rPr>
        <w:t>,</w:t>
      </w:r>
      <w:r w:rsidRPr="007D1C42">
        <w:rPr>
          <w:rFonts w:ascii="Times New Roman" w:hAnsi="Times New Roman" w:cs="Times New Roman"/>
          <w:lang w:val="es-AR"/>
        </w:rPr>
        <w:t xml:space="preserve"> C</w:t>
      </w:r>
      <w:r>
        <w:rPr>
          <w:rFonts w:ascii="Times New Roman" w:hAnsi="Times New Roman" w:cs="Times New Roman"/>
          <w:lang w:val="es-AR"/>
        </w:rPr>
        <w:t xml:space="preserve">., Leal, </w:t>
      </w:r>
      <w:r w:rsidRPr="007D1C42">
        <w:rPr>
          <w:rFonts w:ascii="Times New Roman" w:hAnsi="Times New Roman" w:cs="Times New Roman"/>
          <w:lang w:val="es-AR"/>
        </w:rPr>
        <w:t>M</w:t>
      </w:r>
      <w:r>
        <w:rPr>
          <w:rFonts w:ascii="Times New Roman" w:hAnsi="Times New Roman" w:cs="Times New Roman"/>
          <w:lang w:val="es-AR"/>
        </w:rPr>
        <w:t xml:space="preserve">., (2011). </w:t>
      </w:r>
      <w:r w:rsidRPr="007D1C42">
        <w:rPr>
          <w:rFonts w:ascii="Times New Roman" w:hAnsi="Times New Roman" w:cs="Times New Roman"/>
          <w:lang w:val="es-AR"/>
        </w:rPr>
        <w:t>¿Han funcionado las reformas educativas en América Latina?</w:t>
      </w:r>
      <w:r>
        <w:rPr>
          <w:rFonts w:ascii="Times New Roman" w:hAnsi="Times New Roman" w:cs="Times New Roman"/>
          <w:lang w:val="es-AR"/>
        </w:rPr>
        <w:t xml:space="preserve"> </w:t>
      </w:r>
      <w:r w:rsidRPr="007D1C42">
        <w:rPr>
          <w:rFonts w:ascii="Times New Roman" w:hAnsi="Times New Roman" w:cs="Times New Roman"/>
          <w:lang w:val="es-AR"/>
        </w:rPr>
        <w:t>Un estudio de los casos de Argentina, Brasil y Chile</w:t>
      </w:r>
      <w:r>
        <w:rPr>
          <w:rFonts w:ascii="Times New Roman" w:hAnsi="Times New Roman" w:cs="Times New Roman"/>
          <w:lang w:val="es-AR"/>
        </w:rPr>
        <w:t>. A</w:t>
      </w:r>
      <w:r w:rsidRPr="007D1C42">
        <w:rPr>
          <w:rFonts w:ascii="Times New Roman" w:hAnsi="Times New Roman" w:cs="Times New Roman"/>
          <w:lang w:val="es-AR"/>
        </w:rPr>
        <w:t>rchivos analíticos de</w:t>
      </w:r>
      <w:r>
        <w:rPr>
          <w:rFonts w:ascii="Times New Roman" w:hAnsi="Times New Roman" w:cs="Times New Roman"/>
          <w:lang w:val="es-AR"/>
        </w:rPr>
        <w:t xml:space="preserve"> </w:t>
      </w:r>
      <w:r w:rsidRPr="007D1C42">
        <w:rPr>
          <w:rFonts w:ascii="Times New Roman" w:hAnsi="Times New Roman" w:cs="Times New Roman"/>
          <w:lang w:val="es-AR"/>
        </w:rPr>
        <w:t>políticas educativas</w:t>
      </w:r>
      <w:r>
        <w:rPr>
          <w:rFonts w:ascii="Times New Roman" w:hAnsi="Times New Roman" w:cs="Times New Roman"/>
          <w:lang w:val="es-AR"/>
        </w:rPr>
        <w:t>.</w:t>
      </w:r>
    </w:p>
    <w:p w14:paraId="3D766A44" w14:textId="77777777" w:rsidR="001D0B3D" w:rsidRDefault="001D0B3D" w:rsidP="00DB3D1B">
      <w:pPr>
        <w:spacing w:line="240" w:lineRule="auto"/>
        <w:jc w:val="both"/>
        <w:rPr>
          <w:rFonts w:ascii="Times New Roman" w:hAnsi="Times New Roman" w:cs="Times New Roman"/>
          <w:lang w:val="es-AR"/>
        </w:rPr>
      </w:pPr>
      <w:r w:rsidRPr="001D0B3D">
        <w:rPr>
          <w:rFonts w:ascii="Times New Roman" w:hAnsi="Times New Roman" w:cs="Times New Roman"/>
          <w:lang w:val="es-AR"/>
        </w:rPr>
        <w:t xml:space="preserve">Rojas Dávila, R. S., &amp; Torres Briones, C. L. (2017). La gestión del conocimiento basada en la teoría de Nonaka y Takeuchi. INNOVA </w:t>
      </w:r>
      <w:proofErr w:type="spellStart"/>
      <w:r w:rsidRPr="001D0B3D">
        <w:rPr>
          <w:rFonts w:ascii="Times New Roman" w:hAnsi="Times New Roman" w:cs="Times New Roman"/>
          <w:lang w:val="es-AR"/>
        </w:rPr>
        <w:t>Research</w:t>
      </w:r>
      <w:proofErr w:type="spellEnd"/>
      <w:r w:rsidRPr="001D0B3D">
        <w:rPr>
          <w:rFonts w:ascii="Times New Roman" w:hAnsi="Times New Roman" w:cs="Times New Roman"/>
          <w:lang w:val="es-AR"/>
        </w:rPr>
        <w:t xml:space="preserve"> </w:t>
      </w:r>
      <w:proofErr w:type="spellStart"/>
      <w:r w:rsidRPr="001D0B3D">
        <w:rPr>
          <w:rFonts w:ascii="Times New Roman" w:hAnsi="Times New Roman" w:cs="Times New Roman"/>
          <w:lang w:val="es-AR"/>
        </w:rPr>
        <w:t>Journal</w:t>
      </w:r>
      <w:proofErr w:type="spellEnd"/>
      <w:r w:rsidRPr="001D0B3D">
        <w:rPr>
          <w:rFonts w:ascii="Times New Roman" w:hAnsi="Times New Roman" w:cs="Times New Roman"/>
          <w:lang w:val="es-AR"/>
        </w:rPr>
        <w:t>, 2(10), 30–37.</w:t>
      </w:r>
    </w:p>
    <w:p w14:paraId="60356131" w14:textId="77777777" w:rsidR="00DB3D1B" w:rsidRPr="00DB3D1B" w:rsidRDefault="00DB3D1B" w:rsidP="00DB3D1B">
      <w:pPr>
        <w:spacing w:line="240" w:lineRule="auto"/>
        <w:jc w:val="both"/>
        <w:rPr>
          <w:rFonts w:ascii="Times New Roman" w:hAnsi="Times New Roman" w:cs="Times New Roman"/>
          <w:lang w:val="es-AR"/>
        </w:rPr>
      </w:pPr>
      <w:r w:rsidRPr="00DB3D1B">
        <w:rPr>
          <w:rFonts w:ascii="Times New Roman" w:hAnsi="Times New Roman" w:cs="Times New Roman"/>
          <w:lang w:val="es-AR"/>
        </w:rPr>
        <w:t xml:space="preserve">Universidad Nacional de San Juan. (2024). Plan de Gestión Institucional [Resolución </w:t>
      </w:r>
      <w:proofErr w:type="spellStart"/>
      <w:r w:rsidRPr="00DB3D1B">
        <w:rPr>
          <w:rFonts w:ascii="Times New Roman" w:hAnsi="Times New Roman" w:cs="Times New Roman"/>
          <w:lang w:val="es-AR"/>
        </w:rPr>
        <w:t>N.°</w:t>
      </w:r>
      <w:proofErr w:type="spellEnd"/>
      <w:r w:rsidRPr="00DB3D1B">
        <w:rPr>
          <w:rFonts w:ascii="Times New Roman" w:hAnsi="Times New Roman" w:cs="Times New Roman"/>
          <w:lang w:val="es-AR"/>
        </w:rPr>
        <w:t xml:space="preserve"> 1264/24-R]. Rectorado, Universidad Nacional de San Juan.</w:t>
      </w:r>
    </w:p>
    <w:p w14:paraId="7E83515B" w14:textId="7ADE8C02" w:rsidR="001923DC" w:rsidRDefault="00DB3D1B" w:rsidP="00DB3D1B">
      <w:pPr>
        <w:spacing w:line="240" w:lineRule="auto"/>
        <w:jc w:val="both"/>
        <w:rPr>
          <w:rFonts w:ascii="Times New Roman" w:hAnsi="Times New Roman" w:cs="Times New Roman"/>
          <w:lang w:val="es-AR"/>
        </w:rPr>
      </w:pPr>
      <w:r w:rsidRPr="00DB3D1B">
        <w:rPr>
          <w:rFonts w:ascii="Times New Roman" w:hAnsi="Times New Roman" w:cs="Times New Roman"/>
          <w:lang w:val="es-AR"/>
        </w:rPr>
        <w:t>Universidad Nacional de San Juan. (2025). Creación de la Secretaría de Planificación, Evaluación y Coordinación Institucional (</w:t>
      </w:r>
      <w:proofErr w:type="spellStart"/>
      <w:r w:rsidRPr="00DB3D1B">
        <w:rPr>
          <w:rFonts w:ascii="Times New Roman" w:hAnsi="Times New Roman" w:cs="Times New Roman"/>
          <w:lang w:val="es-AR"/>
        </w:rPr>
        <w:t>SePECI</w:t>
      </w:r>
      <w:proofErr w:type="spellEnd"/>
      <w:r w:rsidRPr="00DB3D1B">
        <w:rPr>
          <w:rFonts w:ascii="Times New Roman" w:hAnsi="Times New Roman" w:cs="Times New Roman"/>
          <w:lang w:val="es-AR"/>
        </w:rPr>
        <w:t xml:space="preserve">) [Ordenanza </w:t>
      </w:r>
      <w:proofErr w:type="spellStart"/>
      <w:r w:rsidRPr="00DB3D1B">
        <w:rPr>
          <w:rFonts w:ascii="Times New Roman" w:hAnsi="Times New Roman" w:cs="Times New Roman"/>
          <w:lang w:val="es-AR"/>
        </w:rPr>
        <w:t>N.°</w:t>
      </w:r>
      <w:proofErr w:type="spellEnd"/>
      <w:r w:rsidRPr="00DB3D1B">
        <w:rPr>
          <w:rFonts w:ascii="Times New Roman" w:hAnsi="Times New Roman" w:cs="Times New Roman"/>
          <w:lang w:val="es-AR"/>
        </w:rPr>
        <w:t xml:space="preserve"> 34/25-CS]. Consejo Superior, Universidad Nacional de San Juan.</w:t>
      </w:r>
    </w:p>
    <w:p w14:paraId="466503B6" w14:textId="77777777" w:rsidR="007D1C42" w:rsidRDefault="007D1C42" w:rsidP="00DB3D1B">
      <w:pPr>
        <w:spacing w:line="240" w:lineRule="auto"/>
        <w:jc w:val="both"/>
        <w:rPr>
          <w:rFonts w:ascii="Times New Roman" w:hAnsi="Times New Roman" w:cs="Times New Roman"/>
          <w:lang w:val="es-AR"/>
        </w:rPr>
      </w:pPr>
    </w:p>
    <w:sectPr w:rsidR="007D1C42"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73C91" w14:textId="77777777" w:rsidR="005D1153" w:rsidRPr="00BA642E" w:rsidRDefault="005D1153" w:rsidP="00C802F5">
      <w:pPr>
        <w:spacing w:after="0" w:line="240" w:lineRule="auto"/>
      </w:pPr>
      <w:r w:rsidRPr="00BA642E">
        <w:separator/>
      </w:r>
    </w:p>
  </w:endnote>
  <w:endnote w:type="continuationSeparator" w:id="0">
    <w:p w14:paraId="282C43A8" w14:textId="77777777" w:rsidR="005D1153" w:rsidRPr="00BA642E" w:rsidRDefault="005D115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ogle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557574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5DD4A" w14:textId="77777777" w:rsidR="005D1153" w:rsidRPr="00BA642E" w:rsidRDefault="005D1153" w:rsidP="00C802F5">
      <w:pPr>
        <w:spacing w:after="0" w:line="240" w:lineRule="auto"/>
      </w:pPr>
      <w:r w:rsidRPr="00BA642E">
        <w:separator/>
      </w:r>
    </w:p>
  </w:footnote>
  <w:footnote w:type="continuationSeparator" w:id="0">
    <w:p w14:paraId="73FA4624" w14:textId="77777777" w:rsidR="005D1153" w:rsidRPr="00BA642E" w:rsidRDefault="005D115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603644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A7F97"/>
    <w:multiLevelType w:val="multilevel"/>
    <w:tmpl w:val="4ED6D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C13BC4"/>
    <w:multiLevelType w:val="multilevel"/>
    <w:tmpl w:val="02F6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448CC"/>
    <w:multiLevelType w:val="multilevel"/>
    <w:tmpl w:val="ABE4DF4C"/>
    <w:lvl w:ilvl="0">
      <w:start w:val="1"/>
      <w:numFmt w:val="decimal"/>
      <w:lvlText w:val="%1."/>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02C6E92"/>
    <w:multiLevelType w:val="multilevel"/>
    <w:tmpl w:val="4E02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E72D3"/>
    <w:multiLevelType w:val="multilevel"/>
    <w:tmpl w:val="94B4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666C1"/>
    <w:multiLevelType w:val="hybridMultilevel"/>
    <w:tmpl w:val="948C615C"/>
    <w:lvl w:ilvl="0" w:tplc="2C0A000F">
      <w:start w:val="1"/>
      <w:numFmt w:val="decimal"/>
      <w:lvlText w:val="%1."/>
      <w:lvlJc w:val="left"/>
      <w:pPr>
        <w:ind w:left="930" w:hanging="360"/>
      </w:pPr>
    </w:lvl>
    <w:lvl w:ilvl="1" w:tplc="2C0A0019" w:tentative="1">
      <w:start w:val="1"/>
      <w:numFmt w:val="lowerLetter"/>
      <w:lvlText w:val="%2."/>
      <w:lvlJc w:val="left"/>
      <w:pPr>
        <w:ind w:left="1650" w:hanging="360"/>
      </w:pPr>
    </w:lvl>
    <w:lvl w:ilvl="2" w:tplc="2C0A001B" w:tentative="1">
      <w:start w:val="1"/>
      <w:numFmt w:val="lowerRoman"/>
      <w:lvlText w:val="%3."/>
      <w:lvlJc w:val="right"/>
      <w:pPr>
        <w:ind w:left="2370" w:hanging="180"/>
      </w:pPr>
    </w:lvl>
    <w:lvl w:ilvl="3" w:tplc="2C0A000F" w:tentative="1">
      <w:start w:val="1"/>
      <w:numFmt w:val="decimal"/>
      <w:lvlText w:val="%4."/>
      <w:lvlJc w:val="left"/>
      <w:pPr>
        <w:ind w:left="3090" w:hanging="360"/>
      </w:pPr>
    </w:lvl>
    <w:lvl w:ilvl="4" w:tplc="2C0A0019" w:tentative="1">
      <w:start w:val="1"/>
      <w:numFmt w:val="lowerLetter"/>
      <w:lvlText w:val="%5."/>
      <w:lvlJc w:val="left"/>
      <w:pPr>
        <w:ind w:left="3810" w:hanging="360"/>
      </w:pPr>
    </w:lvl>
    <w:lvl w:ilvl="5" w:tplc="2C0A001B" w:tentative="1">
      <w:start w:val="1"/>
      <w:numFmt w:val="lowerRoman"/>
      <w:lvlText w:val="%6."/>
      <w:lvlJc w:val="right"/>
      <w:pPr>
        <w:ind w:left="4530" w:hanging="180"/>
      </w:pPr>
    </w:lvl>
    <w:lvl w:ilvl="6" w:tplc="2C0A000F" w:tentative="1">
      <w:start w:val="1"/>
      <w:numFmt w:val="decimal"/>
      <w:lvlText w:val="%7."/>
      <w:lvlJc w:val="left"/>
      <w:pPr>
        <w:ind w:left="5250" w:hanging="360"/>
      </w:pPr>
    </w:lvl>
    <w:lvl w:ilvl="7" w:tplc="2C0A0019" w:tentative="1">
      <w:start w:val="1"/>
      <w:numFmt w:val="lowerLetter"/>
      <w:lvlText w:val="%8."/>
      <w:lvlJc w:val="left"/>
      <w:pPr>
        <w:ind w:left="5970" w:hanging="360"/>
      </w:pPr>
    </w:lvl>
    <w:lvl w:ilvl="8" w:tplc="2C0A001B" w:tentative="1">
      <w:start w:val="1"/>
      <w:numFmt w:val="lowerRoman"/>
      <w:lvlText w:val="%9."/>
      <w:lvlJc w:val="right"/>
      <w:pPr>
        <w:ind w:left="6690" w:hanging="180"/>
      </w:pPr>
    </w:lvl>
  </w:abstractNum>
  <w:abstractNum w:abstractNumId="6" w15:restartNumberingAfterBreak="0">
    <w:nsid w:val="23D26AC6"/>
    <w:multiLevelType w:val="multilevel"/>
    <w:tmpl w:val="F05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33893"/>
    <w:multiLevelType w:val="hybridMultilevel"/>
    <w:tmpl w:val="4ACE467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84C0837"/>
    <w:multiLevelType w:val="multilevel"/>
    <w:tmpl w:val="A370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4292E"/>
    <w:multiLevelType w:val="multilevel"/>
    <w:tmpl w:val="02A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5E580B"/>
    <w:multiLevelType w:val="multilevel"/>
    <w:tmpl w:val="C77A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60C00"/>
    <w:multiLevelType w:val="hybridMultilevel"/>
    <w:tmpl w:val="FADA3D38"/>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2" w15:restartNumberingAfterBreak="0">
    <w:nsid w:val="4EEE55A3"/>
    <w:multiLevelType w:val="multilevel"/>
    <w:tmpl w:val="16FC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373B56"/>
    <w:multiLevelType w:val="multilevel"/>
    <w:tmpl w:val="14AE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9B4622"/>
    <w:multiLevelType w:val="multilevel"/>
    <w:tmpl w:val="A830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E77575"/>
    <w:multiLevelType w:val="multilevel"/>
    <w:tmpl w:val="B576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C56DD"/>
    <w:multiLevelType w:val="hybridMultilevel"/>
    <w:tmpl w:val="43A8E1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5A24D48"/>
    <w:multiLevelType w:val="hybridMultilevel"/>
    <w:tmpl w:val="A272728C"/>
    <w:lvl w:ilvl="0" w:tplc="65D61B10">
      <w:start w:val="1"/>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8" w15:restartNumberingAfterBreak="0">
    <w:nsid w:val="68BD5D99"/>
    <w:multiLevelType w:val="multilevel"/>
    <w:tmpl w:val="ED0A2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757091"/>
    <w:multiLevelType w:val="multilevel"/>
    <w:tmpl w:val="70D8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8B3436"/>
    <w:multiLevelType w:val="multilevel"/>
    <w:tmpl w:val="97DE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94A28"/>
    <w:multiLevelType w:val="multilevel"/>
    <w:tmpl w:val="58BA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9D1564"/>
    <w:multiLevelType w:val="multilevel"/>
    <w:tmpl w:val="92F4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F057B0"/>
    <w:multiLevelType w:val="multilevel"/>
    <w:tmpl w:val="98CA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311A5A"/>
    <w:multiLevelType w:val="multilevel"/>
    <w:tmpl w:val="6B32B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D3509E"/>
    <w:multiLevelType w:val="multilevel"/>
    <w:tmpl w:val="05C6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4D00C2"/>
    <w:multiLevelType w:val="multilevel"/>
    <w:tmpl w:val="7E04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989533">
    <w:abstractNumId w:val="2"/>
  </w:num>
  <w:num w:numId="2" w16cid:durableId="1481119919">
    <w:abstractNumId w:val="5"/>
  </w:num>
  <w:num w:numId="3" w16cid:durableId="1665090561">
    <w:abstractNumId w:val="0"/>
  </w:num>
  <w:num w:numId="4" w16cid:durableId="2142456386">
    <w:abstractNumId w:val="1"/>
  </w:num>
  <w:num w:numId="5" w16cid:durableId="1764257587">
    <w:abstractNumId w:val="11"/>
  </w:num>
  <w:num w:numId="6" w16cid:durableId="1521972322">
    <w:abstractNumId w:val="17"/>
  </w:num>
  <w:num w:numId="7" w16cid:durableId="1735355777">
    <w:abstractNumId w:val="19"/>
  </w:num>
  <w:num w:numId="8" w16cid:durableId="648440585">
    <w:abstractNumId w:val="8"/>
  </w:num>
  <w:num w:numId="9" w16cid:durableId="106970665">
    <w:abstractNumId w:val="25"/>
  </w:num>
  <w:num w:numId="10" w16cid:durableId="1549805072">
    <w:abstractNumId w:val="15"/>
  </w:num>
  <w:num w:numId="11" w16cid:durableId="474882494">
    <w:abstractNumId w:val="14"/>
  </w:num>
  <w:num w:numId="12" w16cid:durableId="297687574">
    <w:abstractNumId w:val="23"/>
  </w:num>
  <w:num w:numId="13" w16cid:durableId="677467512">
    <w:abstractNumId w:val="12"/>
  </w:num>
  <w:num w:numId="14" w16cid:durableId="700060178">
    <w:abstractNumId w:val="4"/>
  </w:num>
  <w:num w:numId="15" w16cid:durableId="6249194">
    <w:abstractNumId w:val="20"/>
  </w:num>
  <w:num w:numId="16" w16cid:durableId="600140122">
    <w:abstractNumId w:val="13"/>
  </w:num>
  <w:num w:numId="17" w16cid:durableId="1643001525">
    <w:abstractNumId w:val="21"/>
  </w:num>
  <w:num w:numId="18" w16cid:durableId="1978335568">
    <w:abstractNumId w:val="24"/>
  </w:num>
  <w:num w:numId="19" w16cid:durableId="1197427392">
    <w:abstractNumId w:val="3"/>
  </w:num>
  <w:num w:numId="20" w16cid:durableId="2113697758">
    <w:abstractNumId w:val="22"/>
  </w:num>
  <w:num w:numId="21" w16cid:durableId="1132401024">
    <w:abstractNumId w:val="10"/>
  </w:num>
  <w:num w:numId="22" w16cid:durableId="557017289">
    <w:abstractNumId w:val="26"/>
  </w:num>
  <w:num w:numId="23" w16cid:durableId="1965308752">
    <w:abstractNumId w:val="6"/>
  </w:num>
  <w:num w:numId="24" w16cid:durableId="1746797882">
    <w:abstractNumId w:val="18"/>
  </w:num>
  <w:num w:numId="25" w16cid:durableId="1127624310">
    <w:abstractNumId w:val="9"/>
  </w:num>
  <w:num w:numId="26" w16cid:durableId="1124159011">
    <w:abstractNumId w:val="16"/>
  </w:num>
  <w:num w:numId="27" w16cid:durableId="71893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2660E"/>
    <w:rsid w:val="00033059"/>
    <w:rsid w:val="000352E1"/>
    <w:rsid w:val="00040950"/>
    <w:rsid w:val="00073F72"/>
    <w:rsid w:val="000A7DB4"/>
    <w:rsid w:val="000B09C7"/>
    <w:rsid w:val="000B6D19"/>
    <w:rsid w:val="000F58B6"/>
    <w:rsid w:val="000F7E2F"/>
    <w:rsid w:val="00114E75"/>
    <w:rsid w:val="00117267"/>
    <w:rsid w:val="00121024"/>
    <w:rsid w:val="00133CDC"/>
    <w:rsid w:val="0013766A"/>
    <w:rsid w:val="001652A6"/>
    <w:rsid w:val="001814B9"/>
    <w:rsid w:val="001816D6"/>
    <w:rsid w:val="00185F5E"/>
    <w:rsid w:val="00187F36"/>
    <w:rsid w:val="001923DC"/>
    <w:rsid w:val="001A7DC6"/>
    <w:rsid w:val="001C48AE"/>
    <w:rsid w:val="001D0B3D"/>
    <w:rsid w:val="001D4D51"/>
    <w:rsid w:val="001D66FE"/>
    <w:rsid w:val="001D6D68"/>
    <w:rsid w:val="001E32FD"/>
    <w:rsid w:val="00203F2B"/>
    <w:rsid w:val="00206E3E"/>
    <w:rsid w:val="002327C3"/>
    <w:rsid w:val="002462CD"/>
    <w:rsid w:val="00256A52"/>
    <w:rsid w:val="0026437A"/>
    <w:rsid w:val="002651E0"/>
    <w:rsid w:val="002A60AB"/>
    <w:rsid w:val="002B760D"/>
    <w:rsid w:val="002C4D5A"/>
    <w:rsid w:val="002D011D"/>
    <w:rsid w:val="002D0B81"/>
    <w:rsid w:val="002E3D2B"/>
    <w:rsid w:val="002E45EB"/>
    <w:rsid w:val="002E47D6"/>
    <w:rsid w:val="0030480B"/>
    <w:rsid w:val="00312392"/>
    <w:rsid w:val="00326D58"/>
    <w:rsid w:val="0034288F"/>
    <w:rsid w:val="003538C7"/>
    <w:rsid w:val="00365D0C"/>
    <w:rsid w:val="003729B9"/>
    <w:rsid w:val="003976DD"/>
    <w:rsid w:val="00397E6E"/>
    <w:rsid w:val="003B1B53"/>
    <w:rsid w:val="003C3CDB"/>
    <w:rsid w:val="003D4A4E"/>
    <w:rsid w:val="003E7117"/>
    <w:rsid w:val="004040C0"/>
    <w:rsid w:val="00437E9C"/>
    <w:rsid w:val="004420CF"/>
    <w:rsid w:val="00447160"/>
    <w:rsid w:val="00453683"/>
    <w:rsid w:val="004605BD"/>
    <w:rsid w:val="0048768D"/>
    <w:rsid w:val="004B11D2"/>
    <w:rsid w:val="004B436B"/>
    <w:rsid w:val="004B74B2"/>
    <w:rsid w:val="004C198F"/>
    <w:rsid w:val="004C32A1"/>
    <w:rsid w:val="004D4AD7"/>
    <w:rsid w:val="004F4163"/>
    <w:rsid w:val="004F65F9"/>
    <w:rsid w:val="00517DA2"/>
    <w:rsid w:val="00550766"/>
    <w:rsid w:val="00555275"/>
    <w:rsid w:val="00556DE3"/>
    <w:rsid w:val="005616C7"/>
    <w:rsid w:val="0057095B"/>
    <w:rsid w:val="00587F2E"/>
    <w:rsid w:val="005957F7"/>
    <w:rsid w:val="005A0F48"/>
    <w:rsid w:val="005C2D4A"/>
    <w:rsid w:val="005C4734"/>
    <w:rsid w:val="005D0C64"/>
    <w:rsid w:val="005D1153"/>
    <w:rsid w:val="005D1BC4"/>
    <w:rsid w:val="005E1720"/>
    <w:rsid w:val="005E3304"/>
    <w:rsid w:val="005F3B2E"/>
    <w:rsid w:val="005F6B04"/>
    <w:rsid w:val="00620B92"/>
    <w:rsid w:val="006508B7"/>
    <w:rsid w:val="00661402"/>
    <w:rsid w:val="00661E67"/>
    <w:rsid w:val="006751CE"/>
    <w:rsid w:val="00693895"/>
    <w:rsid w:val="006B63CB"/>
    <w:rsid w:val="00701F64"/>
    <w:rsid w:val="00711BC5"/>
    <w:rsid w:val="00715851"/>
    <w:rsid w:val="00715980"/>
    <w:rsid w:val="00715D60"/>
    <w:rsid w:val="0072042B"/>
    <w:rsid w:val="00735E57"/>
    <w:rsid w:val="00737DBB"/>
    <w:rsid w:val="007434CB"/>
    <w:rsid w:val="00765B1C"/>
    <w:rsid w:val="00787557"/>
    <w:rsid w:val="007B5B5F"/>
    <w:rsid w:val="007C1C1D"/>
    <w:rsid w:val="007D1C42"/>
    <w:rsid w:val="007D233B"/>
    <w:rsid w:val="007E464F"/>
    <w:rsid w:val="00803EB1"/>
    <w:rsid w:val="00804FAD"/>
    <w:rsid w:val="00806ADB"/>
    <w:rsid w:val="008207EC"/>
    <w:rsid w:val="008433B6"/>
    <w:rsid w:val="0085070B"/>
    <w:rsid w:val="00854181"/>
    <w:rsid w:val="00871A4D"/>
    <w:rsid w:val="00872A85"/>
    <w:rsid w:val="00895353"/>
    <w:rsid w:val="00897250"/>
    <w:rsid w:val="008A3653"/>
    <w:rsid w:val="008A422C"/>
    <w:rsid w:val="008F2D1B"/>
    <w:rsid w:val="008F656C"/>
    <w:rsid w:val="00934F57"/>
    <w:rsid w:val="00937B0E"/>
    <w:rsid w:val="009722C6"/>
    <w:rsid w:val="0097786E"/>
    <w:rsid w:val="009865B7"/>
    <w:rsid w:val="009D57B8"/>
    <w:rsid w:val="009D6558"/>
    <w:rsid w:val="00A01E3B"/>
    <w:rsid w:val="00A04A75"/>
    <w:rsid w:val="00A17247"/>
    <w:rsid w:val="00A72209"/>
    <w:rsid w:val="00A76957"/>
    <w:rsid w:val="00A86340"/>
    <w:rsid w:val="00A93DE9"/>
    <w:rsid w:val="00AA40C5"/>
    <w:rsid w:val="00AC07EC"/>
    <w:rsid w:val="00AC51DC"/>
    <w:rsid w:val="00AD1ABD"/>
    <w:rsid w:val="00B0000D"/>
    <w:rsid w:val="00B15611"/>
    <w:rsid w:val="00B1730F"/>
    <w:rsid w:val="00B25807"/>
    <w:rsid w:val="00B32FF5"/>
    <w:rsid w:val="00B36E8A"/>
    <w:rsid w:val="00B55766"/>
    <w:rsid w:val="00B675E3"/>
    <w:rsid w:val="00B867FA"/>
    <w:rsid w:val="00BA642E"/>
    <w:rsid w:val="00BB2267"/>
    <w:rsid w:val="00BC236F"/>
    <w:rsid w:val="00BD0724"/>
    <w:rsid w:val="00BE1DF5"/>
    <w:rsid w:val="00C003B9"/>
    <w:rsid w:val="00C005CE"/>
    <w:rsid w:val="00C21D8E"/>
    <w:rsid w:val="00C41CA8"/>
    <w:rsid w:val="00C7465E"/>
    <w:rsid w:val="00C75330"/>
    <w:rsid w:val="00C802F5"/>
    <w:rsid w:val="00C82C8D"/>
    <w:rsid w:val="00C96B2C"/>
    <w:rsid w:val="00CB2237"/>
    <w:rsid w:val="00CB7BEB"/>
    <w:rsid w:val="00CC04C1"/>
    <w:rsid w:val="00CC1E0B"/>
    <w:rsid w:val="00CD096A"/>
    <w:rsid w:val="00CD3963"/>
    <w:rsid w:val="00CD7561"/>
    <w:rsid w:val="00CE40CE"/>
    <w:rsid w:val="00CE5CC7"/>
    <w:rsid w:val="00D054CF"/>
    <w:rsid w:val="00D20023"/>
    <w:rsid w:val="00D26182"/>
    <w:rsid w:val="00D64ECA"/>
    <w:rsid w:val="00D7626A"/>
    <w:rsid w:val="00D843EC"/>
    <w:rsid w:val="00D87604"/>
    <w:rsid w:val="00DA1CE6"/>
    <w:rsid w:val="00DA3A34"/>
    <w:rsid w:val="00DA67E0"/>
    <w:rsid w:val="00DB2FBC"/>
    <w:rsid w:val="00DB3D1B"/>
    <w:rsid w:val="00DB46E5"/>
    <w:rsid w:val="00DD6AB6"/>
    <w:rsid w:val="00DF395F"/>
    <w:rsid w:val="00E37FE3"/>
    <w:rsid w:val="00E4066D"/>
    <w:rsid w:val="00E52224"/>
    <w:rsid w:val="00E53FE8"/>
    <w:rsid w:val="00E66FA6"/>
    <w:rsid w:val="00E84CAC"/>
    <w:rsid w:val="00E869C6"/>
    <w:rsid w:val="00E91C9F"/>
    <w:rsid w:val="00EB139A"/>
    <w:rsid w:val="00EC501E"/>
    <w:rsid w:val="00ED79A7"/>
    <w:rsid w:val="00EF3AB9"/>
    <w:rsid w:val="00EF7696"/>
    <w:rsid w:val="00F2407E"/>
    <w:rsid w:val="00F35043"/>
    <w:rsid w:val="00F37330"/>
    <w:rsid w:val="00F40291"/>
    <w:rsid w:val="00F453B4"/>
    <w:rsid w:val="00F61E74"/>
    <w:rsid w:val="00F80C4B"/>
    <w:rsid w:val="00F85A1D"/>
    <w:rsid w:val="00F85A6E"/>
    <w:rsid w:val="00F91E16"/>
    <w:rsid w:val="00FE096A"/>
    <w:rsid w:val="00FE4C5B"/>
    <w:rsid w:val="00FF37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1CE"/>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Hipervnculovisitado">
    <w:name w:val="FollowedHyperlink"/>
    <w:basedOn w:val="Fuentedeprrafopredeter"/>
    <w:uiPriority w:val="99"/>
    <w:semiHidden/>
    <w:unhideWhenUsed/>
    <w:rsid w:val="00365D0C"/>
    <w:rPr>
      <w:color w:val="954F72" w:themeColor="followedHyperlink"/>
      <w:u w:val="single"/>
    </w:rPr>
  </w:style>
  <w:style w:type="character" w:styleId="Refdecomentario">
    <w:name w:val="annotation reference"/>
    <w:basedOn w:val="Fuentedeprrafopredeter"/>
    <w:uiPriority w:val="99"/>
    <w:semiHidden/>
    <w:unhideWhenUsed/>
    <w:rsid w:val="00C003B9"/>
    <w:rPr>
      <w:sz w:val="16"/>
      <w:szCs w:val="16"/>
    </w:rPr>
  </w:style>
  <w:style w:type="paragraph" w:styleId="Textocomentario">
    <w:name w:val="annotation text"/>
    <w:basedOn w:val="Normal"/>
    <w:link w:val="TextocomentarioCar"/>
    <w:uiPriority w:val="99"/>
    <w:semiHidden/>
    <w:unhideWhenUsed/>
    <w:rsid w:val="00C003B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03B9"/>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C003B9"/>
    <w:rPr>
      <w:b/>
      <w:bCs/>
    </w:rPr>
  </w:style>
  <w:style w:type="character" w:customStyle="1" w:styleId="AsuntodelcomentarioCar">
    <w:name w:val="Asunto del comentario Car"/>
    <w:basedOn w:val="TextocomentarioCar"/>
    <w:link w:val="Asuntodelcomentario"/>
    <w:uiPriority w:val="99"/>
    <w:semiHidden/>
    <w:rsid w:val="00C003B9"/>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oridl@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anavadiaz87@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aunavas@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5833</Words>
  <Characters>35993</Characters>
  <Application>Microsoft Office Word</Application>
  <DocSecurity>0</DocSecurity>
  <Lines>749</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RAUL FRANCISCO NAVAS</cp:lastModifiedBy>
  <cp:revision>2</cp:revision>
  <dcterms:created xsi:type="dcterms:W3CDTF">2026-06-26T12:20:00Z</dcterms:created>
  <dcterms:modified xsi:type="dcterms:W3CDTF">2026-06-26T12:20:00Z</dcterms:modified>
</cp:coreProperties>
</file>