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spacing w:after="0" w:line="240" w:lineRule="auto"/>
      </w:pPr>
      <w:r>
        <w:rPr>
          <w:rFonts w:ascii="Times New Roman" w:hAnsi="Times New Roman" w:cs="Times New Roman"/>
          <w:sz w:val="24"/>
          <w:szCs w:val="24"/>
          <w:b/>
          <w:bCs/>
        </w:rPr>
        <w:t xml:space="preserve">Geografías de la promesa: trayectorias estudiantiles y justicia espacial en la Patagonia Austral</w:t>
      </w:r>
    </w:p>
    <w:p>
      <w:pPr>
        <w:spacing w:after="0" w:line="240" w:lineRule="auto"/>
      </w:pPr>
    </w:p>
    <w:p>
      <w:pPr>
        <w:jc w:val="center"/>
        <w:spacing w:after="0" w:line="240" w:lineRule="auto"/>
      </w:pPr>
      <w:r>
        <w:rPr>
          <w:rFonts w:ascii="Times New Roman" w:hAnsi="Times New Roman" w:cs="Times New Roman"/>
          <w:sz w:val="24"/>
          <w:szCs w:val="24"/>
        </w:rPr>
        <w:t xml:space="preserve">Sotelo, Lucrecia Agustina</w:t>
      </w:r>
    </w:p>
    <w:p>
      <w:pPr>
        <w:jc w:val="center"/>
        <w:spacing w:after="0" w:line="240" w:lineRule="auto"/>
      </w:pPr>
      <w:r>
        <w:rPr>
          <w:rFonts w:ascii="Times New Roman" w:hAnsi="Times New Roman" w:cs="Times New Roman"/>
          <w:sz w:val="24"/>
          <w:szCs w:val="24"/>
        </w:rPr>
        <w:t xml:space="preserve">Universidad Nacional de la Patagonia Austral (UNPA)</w:t>
      </w:r>
    </w:p>
    <w:p>
      <w:pPr>
        <w:jc w:val="center"/>
        <w:spacing w:after="0" w:line="240" w:lineRule="auto"/>
      </w:pPr>
      <w:r>
        <w:rPr>
          <w:rFonts w:ascii="Times New Roman" w:hAnsi="Times New Roman" w:cs="Times New Roman"/>
          <w:sz w:val="24"/>
          <w:szCs w:val="24"/>
        </w:rPr>
        <w:t xml:space="preserve">lucreciasotelo@gmail.com | ORCID: 0000-0003-0602-5199</w:t>
      </w:r>
    </w:p>
    <w:p>
      <w:pPr>
        <w:spacing w:after="0" w:line="240" w:lineRule="auto"/>
      </w:pPr>
    </w:p>
    <w:p>
      <w:pPr>
        <w:jc w:val="both"/>
        <w:spacing w:after="0" w:line="240" w:lineRule="auto"/>
      </w:pPr>
      <w:r>
        <w:rPr>
          <w:rFonts w:ascii="Times New Roman" w:hAnsi="Times New Roman" w:cs="Times New Roman"/>
          <w:sz w:val="24"/>
          <w:szCs w:val="24"/>
          <w:b/>
          <w:bCs/>
        </w:rPr>
        <w:t xml:space="preserve">Resumen: </w:t>
      </w:r>
      <w:r>
        <w:rPr>
          <w:rFonts w:ascii="Times New Roman" w:hAnsi="Times New Roman" w:cs="Times New Roman"/>
          <w:sz w:val="24"/>
          <w:szCs w:val="24"/>
        </w:rPr>
        <w:t xml:space="preserve">El presente trabajo analiza las trayectorias de los y las estudiantes de la Universidad Nacional de la Patagonia Austral (UNPA) en la provincia de Santa Cruz bajo la lente de la justicia espacial, sosteniendo que la discontinuidad de dichas trayectorias no responde a fallas vocacionales individuales sino a una fricción sistémica entre los tiempos institucionales rígidos y los tiempos territoriales fluidos e inciertos propios de una geografía organizada bajo la lógica del enclave extractivista. Metodológicamente, se implementó un diseño de caso múltiple de corte cualitativo que incluyó talleres biográficos con veinticinco estudiantes bajo criterios de máxima variación y análisis documental, desplegado entre 2024 y 2025 sobre un territorio de 240.000 km². El marco teórico articula el campo de los Inicios a la Vida Universitaria (IVU) con la geografía crítica, recuperando las categorías de afiliación institucional, inclusión excluyente y justicia espacial para interrogar cómo la distribución geográfica de los recursos configura escenarios de privilegio o postergación. Los resultados evidencian tres núcleos críticos: la lógica de la distancia como zona de expulsión, la figura del sujeto inesperado como portador de rupturas del habitus de clase, y la UNPA como tecnología de hospitalidad y ciudadanía ampliada tensionada por una brecha digital profundamente material. La perspectiva de género e interseccional revela que la pobreza de tiempo constituye un componente estructural de la desigualdad educativa que afecta de manera específica a las mujeres. Se concluye que la justicia educativa efectiva en contextos de baja densidad exige reconocer la cronopolítica como factor de estratificación, validar la biografía como capital de ingreso legítimo e institucionalizar infraestructuras de hospitalidad material.</w:t>
      </w:r>
    </w:p>
    <w:p>
      <w:pPr>
        <w:spacing w:after="0" w:line="240" w:lineRule="auto"/>
      </w:pPr>
    </w:p>
    <w:p>
      <w:pPr>
        <w:jc w:val="both"/>
        <w:spacing w:after="0" w:line="240" w:lineRule="auto"/>
      </w:pPr>
      <w:r>
        <w:rPr>
          <w:rFonts w:ascii="Times New Roman" w:hAnsi="Times New Roman" w:cs="Times New Roman"/>
          <w:sz w:val="24"/>
          <w:szCs w:val="24"/>
          <w:b/>
          <w:bCs/>
        </w:rPr>
        <w:t xml:space="preserve">Palabras clave: </w:t>
      </w:r>
      <w:r>
        <w:rPr>
          <w:rFonts w:ascii="Times New Roman" w:hAnsi="Times New Roman" w:cs="Times New Roman"/>
          <w:sz w:val="24"/>
          <w:szCs w:val="24"/>
        </w:rPr>
        <w:t xml:space="preserve">trayectorias estudiantiles; justicia espacial; desigualdad territorial; inicios a la vida universitaria; género; enclave extractivista.</w:t>
      </w:r>
    </w:p>
    <w:p>
      <w:pPr>
        <w:spacing w:after="0" w:line="240" w:lineRule="auto"/>
      </w:pPr>
    </w:p>
    <w:p>
      <w:pPr>
        <w:jc w:val="both"/>
        <w:spacing w:after="0" w:line="240" w:lineRule="auto"/>
      </w:pPr>
      <w:r>
        <w:rPr>
          <w:rFonts w:ascii="Times New Roman" w:hAnsi="Times New Roman" w:cs="Times New Roman"/>
          <w:sz w:val="24"/>
          <w:szCs w:val="24"/>
          <w:b/>
          <w:bCs/>
        </w:rPr>
        <w:t xml:space="preserve">Introducción</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provincia de Santa Cruz ocupa 243.943 km² en el extremo sur de la Argentina, alberga poco más de 400.000 habitantes dispersos en catorce cabeceras urbanas separadas por extensiones de estepa patagónica, y organiza su economía en torno a la extracción de petróleo, gas, carbón y el desarrollo de la minería. En este territorio, la Universidad Nacional de la Patagonia Austral (UNPA), creada en 1995 con cuatro unidades académicas en Caleta Olivia, Río Gallegos, San Julián y Río Turbio, constituye la única institución pública de educación superior de alcance provincial. Para una proporción significativa de sus estudiantes, estudiar en la UNPA no es una elección entre opciones equivalentes: es la única opción materialmente posible.</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investigación educativa sobre trayectorias universitarias ha tendido a localizar las causas de la discontinuidad en variables individuales —la vocación, la preparación académica previa, la motivación—, o en variables institucionales —la calidad de la enseñanza, los sistemas de tutoría, la oferta curricular—. Este trabajo propone un desplazamiento analítico: sostiene que la discontinuidad de las trayectorias estudiantiles en contextos como el santacruceño no responde primariamente a ninguna de esas variables, sino a una fricción sistémica entre los tiempos institucionales rígidos que la universidad reproduce —calendarios, correlatividades, plazos, modalidades de evaluación— y los tiempos territoriales fluidos e inciertos que el enclave extractivista impone a quienes lo habitan: tiempos de la migración laboral, tiempos del trabajo informal, tiempos de las emergencias climáticas y las rutas cortadas, tiempos del cuidado no remunerado.</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concepto de justicia espacial (Soja, 2010; Harvey, 1973; Massey, 2005) proporciona la lente analítica central. La justicia espacial no es una categoría geográfica descriptiva: es una categoría política que interroga cómo la distribución desigual de los recursos en el espacio produce y reproduce desigualdades sociales. Aplicada al campo educativo, la justicia espacial interroga no sólo quién accede a la educación superior, sino bajo qué condiciones territoriales ese acceso se produce, qué costos ocultos impone y qué capacidades diferenciales de afiliación genera.</w:t>
      </w:r>
    </w:p>
    <w:p>
      <w:pPr>
        <w:spacing w:after="0" w:line="240" w:lineRule="auto"/>
      </w:pPr>
    </w:p>
    <w:p>
      <w:pPr>
        <w:jc w:val="both"/>
        <w:spacing w:after="0" w:line="240" w:lineRule="auto"/>
        <w:ind w:firstLine="709"/>
      </w:pPr>
      <w:r>
        <w:rPr>
          <w:rFonts w:ascii="Times New Roman" w:hAnsi="Times New Roman" w:cs="Times New Roman"/>
          <w:sz w:val="24"/>
          <w:szCs w:val="24"/>
        </w:rPr>
        <w:t xml:space="preserve">Este desplazamiento analítico se inscribe en un programa de investigación más amplio desarrollado desde el campo de los Inicios a la Vida Universitaria (Sotelo, 2024, 2025b), orientado a visibilizar las condiciones territoriales que estructuran las posibilidades de afiliación universitaria en contextos periféricos. En trabajos previos se reconstruyeron las representaciones sociales que los y las estudiantes del espacio social santacruceño elaboran sobre la educación superior (Sotelo, 2025a) y se analizaron los efectos de la virtualización forzada durante la pandemia sobre el ingreso a la universidad pública (Sotelo, 2025c). La presente ponencia completa esa secuencia al abordar las trayectorias efectivas —el durante del proceso de afiliación— desde una perspectiva que articula la justicia espacial con la perspectiva de género e interseccional.</w:t>
      </w:r>
    </w:p>
    <w:p>
      <w:pPr>
        <w:jc w:val="both"/>
        <w:spacing w:after="0" w:line="240" w:lineRule="auto"/>
        <w:ind w:firstLine="709"/>
      </w:pPr>
      <w:r>
        <w:rPr>
          <w:rFonts w:ascii="Times New Roman" w:hAnsi="Times New Roman" w:cs="Times New Roman"/>
          <w:sz w:val="24"/>
          <w:szCs w:val="24"/>
        </w:rPr>
        <w:t xml:space="preserve">La ponencia organiza el argumento en tres secciones. La introducción presenta el problema de investigación y los marcos conceptuales que articulan el campo emergente de los Inicios a la Vida Universitaria (IVU) con la geografía crítica y la perspectiva de género interseccional. El desarrollo expone el diseño metodológico y los tres núcleos críticos identificados en el corpus empírico. Las conclusiones formulan implicaciones orientadas a la política universitaria en contextos de baja densidad poblacional.</w:t>
      </w:r>
    </w:p>
    <w:p>
      <w:pPr>
        <w:spacing w:after="0" w:line="240" w:lineRule="auto"/>
      </w:pPr>
    </w:p>
    <w:p>
      <w:pPr>
        <w:jc w:val="both"/>
        <w:spacing w:after="0" w:line="240" w:lineRule="auto"/>
      </w:pPr>
      <w:r>
        <w:rPr>
          <w:rFonts w:ascii="Times New Roman" w:hAnsi="Times New Roman" w:cs="Times New Roman"/>
          <w:sz w:val="24"/>
          <w:szCs w:val="24"/>
          <w:b/>
          <w:bCs/>
        </w:rPr>
        <w:t xml:space="preserve">Desarrollo</w:t>
      </w:r>
    </w:p>
    <w:p>
      <w:pPr>
        <w:spacing w:after="0" w:line="240" w:lineRule="auto"/>
      </w:pPr>
    </w:p>
    <w:p>
      <w:pPr>
        <w:jc w:val="both"/>
        <w:spacing w:after="0" w:line="240" w:lineRule="auto"/>
      </w:pPr>
      <w:r>
        <w:rPr>
          <w:rFonts w:ascii="Times New Roman" w:hAnsi="Times New Roman" w:cs="Times New Roman"/>
          <w:sz w:val="24"/>
          <w:szCs w:val="24"/>
          <w:b/>
          <w:bCs/>
        </w:rPr>
        <w:t xml:space="preserve">El campo de los inicios a la vida universitaria y la dimensión territorial</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campo de los Inicios a la Vida Universitaria propone trascender la concepción administrativa del ingreso —entendido como acto puntual de matriculación— para concebir la primera vinculación universitaria como un proceso multidimensional, temporalmente extendido y atravesado por múltiples desigualdades (Sotelo, 2024, 2025a, 2025b). Esta perspectiva, que dialoga con los desarrollos sobre acceso, persistencia y afiliación institucional (Coulon, 1997, 2017; Mancovsky y Más Rocha, 2019; Ezcurra, 2011; Pogré et al., 2018), ha producido aportes sustantivos para comprender qué ocurre cuando los sujetos atraviesan el umbral institucional de la universidad.</w:t>
      </w:r>
    </w:p>
    <w:p>
      <w:pPr>
        <w:spacing w:after="0" w:line="240" w:lineRule="auto"/>
      </w:pPr>
    </w:p>
    <w:p>
      <w:pPr>
        <w:jc w:val="both"/>
        <w:spacing w:after="0" w:line="240" w:lineRule="auto"/>
        <w:ind w:firstLine="709"/>
      </w:pPr>
      <w:r>
        <w:rPr>
          <w:rFonts w:ascii="Times New Roman" w:hAnsi="Times New Roman" w:cs="Times New Roman"/>
          <w:sz w:val="24"/>
          <w:szCs w:val="24"/>
        </w:rPr>
        <w:t xml:space="preserve">Sin embargo, el campo presenta una vacancia analítica que el presente trabajo busca tematizar: la dimensión territorial como condición estructurante de las trayectorias estudiantiles. Estudiar en la UNPA no es la misma experiencia que estudiar en la Universidad de Buenos Aires o en la Universidad Nacional de Córdoba, no sólo porque los recursos institucionales difieren, sino porque el espacio social donde se inserta la institución impone condiciones de accesibilidad, movilidad, conectividad y temporalidad que son cualitativamente distintas y que producen efectos específicos sobre la afiliación y la persistencia. La geografía no es un decorado del proceso educativo: es una variable constitutiva de las posibilidades de ser estudiante.</w:t>
      </w:r>
    </w:p>
    <w:p>
      <w:pPr>
        <w:spacing w:after="0" w:line="240" w:lineRule="auto"/>
      </w:pPr>
    </w:p>
    <w:p>
      <w:pPr>
        <w:jc w:val="both"/>
        <w:spacing w:after="0" w:line="240" w:lineRule="auto"/>
        <w:ind w:firstLine="709"/>
      </w:pPr>
      <w:r>
        <w:rPr>
          <w:rFonts w:ascii="Times New Roman" w:hAnsi="Times New Roman" w:cs="Times New Roman"/>
          <w:sz w:val="24"/>
          <w:szCs w:val="24"/>
        </w:rPr>
        <w:t xml:space="preserve">En un trabajo previo (Sotelo, 2025a) se avanzó en esta dirección al reconstruir las representaciones sociales sobre la educación superior que construyen estudiantes del espacio social santacruceño, identificando cuatro dimensiones —el deseo familiar instituyente, la accesibilidad bimodal de la institución, la limitación geográfica de las elecciones formativas y la universidad como apertura simbólica del territorio— como matrices de sentido que configuran la primera vinculación antes de la matriculación. La presente ponencia avanza un paso más: si en aquel trabajo se reconstruyó el antes del ingreso desde la perspectiva simbólica, en el presente se analiza el durante —las trayectorias efectivas— desde la perspectiva de la justicia espacial.</w:t>
      </w:r>
    </w:p>
    <w:p>
      <w:pPr>
        <w:spacing w:after="0" w:line="240" w:lineRule="auto"/>
      </w:pPr>
    </w:p>
    <w:p>
      <w:pPr>
        <w:jc w:val="both"/>
        <w:spacing w:after="0" w:line="240" w:lineRule="auto"/>
      </w:pPr>
      <w:r>
        <w:rPr>
          <w:rFonts w:ascii="Times New Roman" w:hAnsi="Times New Roman" w:cs="Times New Roman"/>
          <w:sz w:val="24"/>
          <w:szCs w:val="24"/>
          <w:b/>
          <w:bCs/>
        </w:rPr>
        <w:t xml:space="preserve">Justicia espacial, enclave extractivista y geografía de la educación</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geografía crítica ha producido en las últimas décadas un arsenal conceptual potente para analizar la relación entre espacio, poder y desigualdad. Soja (2010) formuló el concepto de justicia espacial como categoría política que interroga cómo la organización del espacio produce ventajas para algunos y desventajas para otros, reproduciendo desigualdades que se naturalizan como inevitables. Harvey (1973, 2012) articuló la justicia social con la producción capitalista del espacio, mostrando cómo los procesos de acumulación por desposesión generan geografías de la pobreza. Massey (2005) añadió la dimensión del tiempo al análisis espacial, argumentando que el espacio no es una superficie estática sino una trama dinámica de relaciones simultáneas en permanente devenir.</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concepto de enclave extractivista, desarrollado por la economía política latinoamericana (Svampa, 2017; Giarracca y Teubal, 2013), designa una modalidad de organización territorial en la que la actividad económica dominante —la extracción de recursos naturales— se orienta hacia los mercados globales sin articularse con el desarrollo local, produciendo enclaves de riqueza en territorios de pobreza relativa y generando mercados laborales segmentados con alta rotación. Para la educación superior, el enclave extractivista produce efectos específicos: movilidades laborales que interrumpen los cursados, estructuras salariales que desvalorizan la credencial educativa frente al salario extractivo inmediato, y una economía del tiempo que convierte la dedicación académica en un lujo difícilmente sostenible.</w:t>
      </w:r>
    </w:p>
    <w:p>
      <w:pPr>
        <w:spacing w:after="0" w:line="240" w:lineRule="auto"/>
      </w:pPr>
    </w:p>
    <w:p>
      <w:pPr>
        <w:jc w:val="both"/>
        <w:spacing w:after="0" w:line="240" w:lineRule="auto"/>
        <w:ind w:firstLine="709"/>
      </w:pPr>
      <w:r>
        <w:rPr>
          <w:rFonts w:ascii="Times New Roman" w:hAnsi="Times New Roman" w:cs="Times New Roman"/>
          <w:sz w:val="24"/>
          <w:szCs w:val="24"/>
        </w:rPr>
        <w:t xml:space="preserve">Santos (2010) ofreció el concepto de sociología de las ausencias para designar el proceso mediante el cual las experiencias y prácticas de quienes habitan los territorios periféricos se vuelven invisibles para el saber hegemónico. Aplicado al campo educativo, la sociología de las ausencias interroga qué experiencias y qué sujetos quedan fuera del radar de las políticas universitarias diseñadas desde los centros académicos metropolitanos y qué conocimiento se perdería si esas experiencias no fueran recuperadas como objeto de investigación situado.</w:t>
      </w:r>
    </w:p>
    <w:p>
      <w:pPr>
        <w:spacing w:after="0" w:line="240" w:lineRule="auto"/>
      </w:pPr>
    </w:p>
    <w:p>
      <w:pPr>
        <w:jc w:val="both"/>
        <w:spacing w:after="0" w:line="240" w:lineRule="auto"/>
      </w:pPr>
      <w:r>
        <w:rPr>
          <w:rFonts w:ascii="Times New Roman" w:hAnsi="Times New Roman" w:cs="Times New Roman"/>
          <w:sz w:val="24"/>
          <w:szCs w:val="24"/>
          <w:b/>
          <w:bCs/>
        </w:rPr>
        <w:t xml:space="preserve">Perspectiva de género, pobreza de tiempo e interseccionalidad</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perspectiva de género e interseccional atraviesa transversalmente el análisis. El concepto de pobreza de tiempo (Hochschild, 2003; Razavi, 2007; Esquivel, 2011) designa la condición de quienes disponen de menos tiempo libre que el promedio social como resultado de la sobrecarga de trabajo remunerado y no remunerado. En el contexto del enclave extractivista santacruceño, la pobreza de tiempo afecta de manera específica y diferencial a las mujeres: las cargas de cuidado —que el sistema patriarcal asigna desproporcionadamente a las mujeres— se combinan con las exigencias de presencialidad y sincronía institucional, produciendo una imposibilidad estructural de cumplir con los cronogramas universitarios convencionales que no es atribuible a la falta de motivación sino a la distribución inequitativa del trabajo reproductivo.</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interseccionalidad (Crenshaw, 1991; Hill Collins, 2000; Lugones, 2008) añade una dimensión adicional: las experiencias de las mujeres no son homogéneas. Género, clase, condición migrante, pertenencia étnico-cultural y posición en el territorio se articulan en configuraciones específicas que producen desigualdades múltiples y simultáneas. Una estudiante madre, migrante interna, trabajadora informal, residente en una localidad pequeña sin cibereducativo propio enfrenta una constelación de desventajas que ninguna política universitaria sectorial —dirigida a un único eje de desigualdad— puede resolver de manera integral.</w:t>
      </w:r>
    </w:p>
    <w:p>
      <w:pPr>
        <w:spacing w:after="0" w:line="240" w:lineRule="auto"/>
      </w:pPr>
    </w:p>
    <w:p>
      <w:pPr>
        <w:jc w:val="both"/>
        <w:spacing w:after="0" w:line="240" w:lineRule="auto"/>
        <w:ind w:firstLine="709"/>
      </w:pPr>
      <w:r>
        <w:rPr>
          <w:rFonts w:ascii="Times New Roman" w:hAnsi="Times New Roman" w:cs="Times New Roman"/>
          <w:sz w:val="24"/>
          <w:szCs w:val="24"/>
        </w:rPr>
        <w:t xml:space="preserve">Por último, el concepto de hospitalidad material (Mancovsky y Más Rocha, 2019; Ahmed, 2014) designa el conjunto de dispositivos institucionales que efectivamente dan la bienvenida a quienes llegan, reconocen sus trayectorias biográficas como capital legítimo y crean las condiciones para que la afiliación sea posible. La hospitalidad material no es retórica ni simbólica: incluye disponibilidad de dispositivos tecnológicos, conectividad real, servicios de cuidado, flexibilidad de cronogramas y prácticas pedagógicas sensibles a la temporalidad fragmentada de las y los estudiantes del enclave.</w:t>
      </w:r>
    </w:p>
    <w:p>
      <w:pPr>
        <w:spacing w:after="0" w:line="240" w:lineRule="auto"/>
      </w:pPr>
    </w:p>
    <w:p>
      <w:pPr>
        <w:jc w:val="both"/>
        <w:spacing w:after="0" w:line="240" w:lineRule="auto"/>
      </w:pPr>
      <w:r>
        <w:rPr>
          <w:rFonts w:ascii="Times New Roman" w:hAnsi="Times New Roman" w:cs="Times New Roman"/>
          <w:sz w:val="24"/>
          <w:szCs w:val="24"/>
          <w:b/>
          <w:bCs/>
        </w:rPr>
        <w:t xml:space="preserve">Diseño metodológico</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investigación se inscribe en un diseño de caso múltiple de corte cualitativo (Stake, 1995; Vasilachis de Gialdino, 2006). Se desarrolló entre 2024 y 2025 en las cuatro unidades académicas de la UNPA: Caleta Olivia, Río Gallegos, San Julián y Río Turbio, sobre un territorio de 240.000 km². La selección territorial responde a la lógica del análisis espacial: dado que el argumento sostiene que el territorio es una variable constitutiva de las trayectorias, el corpus debía cubrir el rango completo del espacio social provincial, incluyendo localidades de distintos tamaños, distintas distancias de las cabeceras y distintos grados de integración a las dinámicas extractivistas.</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estrategia metodológica central consistió en talleres biográficos grupales con veinticinco estudiantes seleccionados y seleccionadas mediante muestreo de máxima variación (Miles et al., 2014). La variación se maximizó en los siguientes ejes: unidad académica de pertenencia, género, situación laboral (estudiante sólo/a; trabajador o trabajadora y estudiante), condición parental (con/sin hijos o hijas a cargo), trayectoria migratoria (nacida/o en la provincia; migrante interna/o; hija/o de migrantes), primera generación universitaria (sí/no) y carrera de cursada (campos de las ciencias sociales, exactas y aplicadas). La máxima variación buscó capturar la heterogeneidad real del estudiantado de la UNPA, evitando la construcción de una figura estudiantil homogénea que oculte las diferencias internas al colectivo.</w:t>
      </w:r>
    </w:p>
    <w:p>
      <w:pPr>
        <w:spacing w:after="0" w:line="240" w:lineRule="auto"/>
      </w:pPr>
    </w:p>
    <w:p>
      <w:pPr>
        <w:jc w:val="both"/>
        <w:spacing w:after="0" w:line="240" w:lineRule="auto"/>
        <w:ind w:firstLine="709"/>
      </w:pPr>
      <w:r>
        <w:rPr>
          <w:rFonts w:ascii="Times New Roman" w:hAnsi="Times New Roman" w:cs="Times New Roman"/>
          <w:sz w:val="24"/>
          <w:szCs w:val="24"/>
        </w:rPr>
        <w:t xml:space="preserve">Los talleres biográficos combinaron técnicas narrativas (líneas de vida, mapas territoriales, relatos de momentos bisagra en la trayectoria educativa) con instancias de discusión colectiva. El dispositivo del taller, a diferencia de la entrevista individual, permite observar la producción colectiva del sentido: cómo los sujetos negocian sus experiencias en diálogo con otras experiencias, cómo emergen los acuerdos y las discrepancias, cómo se construye un relato compartido sobre lo que significa estudiar en la UNPA. El análisis del corpus se realizó mediante codificación abductiva (Peirce; Alvesson y Sköldberg, 2009), articulando categorías teóricas predefinidas con categorías emergentes del material. El proceso incluyó triangulación entre los talleres biográficos y el análisis documental de normativa institucional, estadísticas de matrícula y permanencia, y registros de la Red de Cibereducativos. Las consideraciones éticas incluyeron consentimiento informado y anonimización mediante códigos compuestos (unidad académica + género + ordinal). Cabe señalar que la decisión de trabajar con talleres biográficos y no con entrevistas individuales responde a una opción epistemológica deliberada: en un territorio donde la experiencia de estudiar suele vivirse como problema individual —“no me da el tiempo”, “no puedo organizarme”—, el dispositivo grupal permite que emerja la dimensión colectiva y estructural de las dificultades. Cuando una estudiante de San Julián descubre que una compañera de Río Turbio enfrenta exactamente los mismos obstáculos, el problema deja de ser personal y se revela como territorial. Esa transición del relato individual al reconocimiento colectivo constituye, en sí misma, un hallazgo metodológico relevante para la investigación sobre trayectorias en contextos periféricos.</w:t>
      </w:r>
    </w:p>
    <w:p>
      <w:pPr>
        <w:spacing w:after="0" w:line="240" w:lineRule="auto"/>
      </w:pPr>
    </w:p>
    <w:p>
      <w:pPr>
        <w:jc w:val="both"/>
        <w:spacing w:after="0" w:line="240" w:lineRule="auto"/>
      </w:pPr>
      <w:r>
        <w:rPr>
          <w:rFonts w:ascii="Times New Roman" w:hAnsi="Times New Roman" w:cs="Times New Roman"/>
          <w:sz w:val="24"/>
          <w:szCs w:val="24"/>
          <w:b/>
          <w:bCs/>
        </w:rPr>
        <w:t xml:space="preserve">Resultados: tres núcleos críticos</w:t>
      </w:r>
    </w:p>
    <w:p>
      <w:pPr>
        <w:spacing w:after="0" w:line="240" w:lineRule="auto"/>
      </w:pPr>
    </w:p>
    <w:p>
      <w:pPr>
        <w:jc w:val="both"/>
        <w:spacing w:after="0" w:line="240" w:lineRule="auto"/>
      </w:pPr>
      <w:r>
        <w:rPr>
          <w:rFonts w:ascii="Times New Roman" w:hAnsi="Times New Roman" w:cs="Times New Roman"/>
          <w:sz w:val="24"/>
          <w:szCs w:val="24"/>
          <w:b/>
          <w:bCs/>
        </w:rPr>
        <w:t xml:space="preserve">La lógica de la distancia como zona de expulsión</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primer núcleo crítico surge con fuerza en todos los talleres: la distancia no es sólo un dato geográfico, sino una fuerza política que organiza el acceso a la educación superior. El territorio funciona como antagonista activo, imponiendo costos que filtran el acceso más allá de los mecanismos formales de admisión. Estos costos son al mismo tiempo económicos, temporales y corporales.</w:t>
      </w:r>
    </w:p>
    <w:p>
      <w:pPr>
        <w:spacing w:after="0" w:line="240" w:lineRule="auto"/>
      </w:pPr>
    </w:p>
    <w:p>
      <w:pPr>
        <w:jc w:val="both"/>
        <w:spacing w:after="0" w:line="240" w:lineRule="auto"/>
        <w:ind w:firstLine="709"/>
      </w:pPr>
      <w:r>
        <w:rPr>
          <w:rFonts w:ascii="Times New Roman" w:hAnsi="Times New Roman" w:cs="Times New Roman"/>
          <w:sz w:val="24"/>
          <w:szCs w:val="24"/>
        </w:rPr>
        <w:t xml:space="preserve">Los costos económicos son los más visibles. Una estudiante de San Julián que necesita asistir a exámenes presenciales en Caleta Olivia o Río Gallegos afronta pasajes de ómnibus de larga distancia —entre cuatro y seis horas de viaje cada tramo—, estadías en ciudades donde los alquileres son elevados y pérdidas de jornadas laborales que no siempre pueden ser compensadas. Para una trabajadora informal o un trabajador estacional, estos costos son literalmente inasumibles. La distancia produce lo que en este trabajo se propone denominar una matrícula oculta: un conjunto de erogaciones económicas que no aparecen en ningún reglamento de aranceles pero que funcionan como filtros reales de acceso, más allá del ingreso irrestricto formalmente garantizado por la Ley N° 27.204/2015.</w:t>
      </w:r>
    </w:p>
    <w:p>
      <w:pPr>
        <w:spacing w:after="0" w:line="240" w:lineRule="auto"/>
      </w:pPr>
    </w:p>
    <w:p>
      <w:pPr>
        <w:spacing w:after="0" w:line="240" w:lineRule="auto"/>
        <w:ind w:left="709" w:right="709"/>
        <w:jc w:val="both"/>
      </w:pPr>
      <w:r>
        <w:rPr>
          <w:rFonts w:ascii="Times New Roman" w:hAnsi="Times New Roman" w:cs="Times New Roman"/>
          <w:sz w:val="22"/>
          <w:szCs w:val="22"/>
          <w:i/>
          <w:iCs/>
        </w:rPr>
        <w:t xml:space="preserve">No es que no quiera venir a los parciales. Es que si vengo, no como. El pasaje a Río Gallegos son como seis horas y el precio es una locura. Y si me quedo, pierdo el día de trabajo. No hay plata para las dos cosas. (T-SJ-02, mujer, trabajadora, 28 años)</w:t>
      </w:r>
    </w:p>
    <w:p>
      <w:pPr>
        <w:spacing w:after="0" w:line="240" w:lineRule="auto"/>
      </w:pPr>
    </w:p>
    <w:p>
      <w:pPr>
        <w:jc w:val="both"/>
        <w:spacing w:after="0" w:line="240" w:lineRule="auto"/>
        <w:ind w:firstLine="709"/>
      </w:pPr>
      <w:r>
        <w:rPr>
          <w:rFonts w:ascii="Times New Roman" w:hAnsi="Times New Roman" w:cs="Times New Roman"/>
          <w:sz w:val="24"/>
          <w:szCs w:val="24"/>
        </w:rPr>
        <w:t xml:space="preserve">Los costos temporales son menos visibles pero igualmente estructurantes. El tiempo de viaje sustrae horas de estudio, de trabajo y de cuidado que los cronogramas institucionales no contemplan. Los plazos de entrega de trabajos prácticos, los horarios de consulta, los turnos de examen, la sincronía de las clases virtuales: todos estos dispositivos fueron diseñados para un/a estudiante que habita a distancia razonable de un campus, con conectividad estable y una distribución del tiempo relativamente libre. Ese sujeto es, en la UNPA, la excepción más que la regla.</w:t>
      </w:r>
    </w:p>
    <w:p>
      <w:pPr>
        <w:spacing w:after="0" w:line="240" w:lineRule="auto"/>
      </w:pPr>
    </w:p>
    <w:p>
      <w:pPr>
        <w:jc w:val="both"/>
        <w:spacing w:after="0" w:line="240" w:lineRule="auto"/>
        <w:ind w:firstLine="709"/>
      </w:pPr>
      <w:r>
        <w:rPr>
          <w:rFonts w:ascii="Times New Roman" w:hAnsi="Times New Roman" w:cs="Times New Roman"/>
          <w:sz w:val="24"/>
          <w:szCs w:val="24"/>
        </w:rPr>
        <w:t xml:space="preserve">Los costos corporales, finalmente, son los menos tematizados en la literatura sobre trayectorias universitarias: el desgaste físico del viaje prolongado, el agotamiento de quien combina turnos laborales con clases nocturnas, el deterioro de la salud en localidades sin servicios médicos especializados. Estos costos se distribuyen de manera diferencial: afectan más a quienes tienen menos recursos para mitigarlos y, en particular, a las mujeres, cuya doble jornada —laboral y de cuidado— convierte cada hora de estudio en una hora sustraída de un tiempo ya insuficiente.</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análisis documental complementa estas experiencias con datos estructurales. Las estadísticas de matrícula de la UNPA muestran tasas de abandono en el primer año de estudio superiores al 40% en varias carreras, con concentración significativa en las unidades académicas de San Julián y Río Turbio, que son precisamente las más pequeñas y las más alejadas de los centros de servicios. La discontinuidad de las trayectorias en estas unidades no responde a una menor motivación de sus estudiantes sino a una mayor fricción territorial que la institución no ha logrado —ni, se argumenta, ha diseñado políticas suficientes para— resolver.</w:t>
      </w:r>
    </w:p>
    <w:p>
      <w:pPr>
        <w:spacing w:after="0" w:line="240" w:lineRule="auto"/>
      </w:pPr>
    </w:p>
    <w:p>
      <w:pPr>
        <w:jc w:val="both"/>
        <w:spacing w:after="0" w:line="240" w:lineRule="auto"/>
      </w:pPr>
      <w:r>
        <w:rPr>
          <w:rFonts w:ascii="Times New Roman" w:hAnsi="Times New Roman" w:cs="Times New Roman"/>
          <w:sz w:val="24"/>
          <w:szCs w:val="24"/>
          <w:b/>
          <w:bCs/>
        </w:rPr>
        <w:t xml:space="preserve">El sujeto inesperado: rupturas del habitus y reparación histórica</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segundo núcleo crítico emergió con una potencia analítica que el diseño inicial no anticipaba: la figura del sujeto inesperado. Los talleres biográficos pusieron de manifiesto que una proporción significativa de las y los estudiantes de la UNPA no encaja en el perfil del/la ingresante que la gramática universitaria convencional imagina: el/la joven de entre 17 y 22 años que termina el secundario y se matricula en continuidad biográfica natural con su trayectoria escolar. Los sujetos inesperados son, en cambio, trabajadoras y trabajadores que estudian entre turnos, madres que cursan durante la siesta de sus hijos, migrantes que llegaron para quedarse y que encuentran en la universidad una herramienta de arraigo, adultos y adultas que retoman estudios interrumpidos hace décadas.</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figura del sujeto inesperado opera en varios planos. En el plano biográfico, condensa trayectorias que representan rupturas del habitus de clase: el hijo de un trabajador petrolero sin título secundario que se matricula en ingeniería; la hija de migrantes bolivianos que estudia derecho con el mandato explícito de no depender del capataz; la mujer de 45 años que dejó de estudiar a los 20 para trabajar y ahora regresa con sus hijos ya criados. Estas rupturas del habitus no son actos individuales de voluntad: son búsquedas de reparación histórica intergeneracional (Soja, 2010), intentos de transformar en la propia generación lo que el territorio y la clase no permitieron en las anteriores.</w:t>
      </w:r>
    </w:p>
    <w:p>
      <w:pPr>
        <w:spacing w:after="0" w:line="240" w:lineRule="auto"/>
      </w:pPr>
    </w:p>
    <w:p>
      <w:pPr>
        <w:spacing w:after="0" w:line="240" w:lineRule="auto"/>
        <w:ind w:left="709" w:right="709"/>
        <w:jc w:val="both"/>
      </w:pPr>
      <w:r>
        <w:rPr>
          <w:rFonts w:ascii="Times New Roman" w:hAnsi="Times New Roman" w:cs="Times New Roman"/>
          <w:sz w:val="22"/>
          <w:szCs w:val="22"/>
          <w:i/>
          <w:iCs/>
        </w:rPr>
        <w:t xml:space="preserve">Mi viejo laburó toda la vida en el petróleo y nunca pudo estudiar. Me dijo que si yo podía, tenía que hacerlo por los dos. No es solo por mí que estudio. Es por él, que no pudo. (T-CO-07, varón, trabajador, 31 años)</w:t>
      </w:r>
    </w:p>
    <w:p>
      <w:pPr>
        <w:spacing w:after="0" w:line="240" w:lineRule="auto"/>
      </w:pPr>
    </w:p>
    <w:p>
      <w:pPr>
        <w:spacing w:after="0" w:line="240" w:lineRule="auto"/>
        <w:ind w:left="709" w:right="709"/>
        <w:jc w:val="both"/>
      </w:pPr>
      <w:r>
        <w:rPr>
          <w:rFonts w:ascii="Times New Roman" w:hAnsi="Times New Roman" w:cs="Times New Roman"/>
          <w:sz w:val="22"/>
          <w:szCs w:val="22"/>
          <w:i/>
          <w:iCs/>
        </w:rPr>
        <w:t xml:space="preserve">Yo soy boliviana. Vine acá a trabajar, me quedé. Mis hijos nacieron acá. Yo quiero que mis hijos vean que su mamá estudió. Que no importa de dónde venís. Que podés. (T-RG-04, mujer, migrante, 38 años)</w:t>
      </w:r>
    </w:p>
    <w:p>
      <w:pPr>
        <w:spacing w:after="0" w:line="240" w:lineRule="auto"/>
      </w:pPr>
    </w:p>
    <w:p>
      <w:pPr>
        <w:jc w:val="both"/>
        <w:spacing w:after="0" w:line="240" w:lineRule="auto"/>
        <w:ind w:firstLine="709"/>
      </w:pPr>
      <w:r>
        <w:rPr>
          <w:rFonts w:ascii="Times New Roman" w:hAnsi="Times New Roman" w:cs="Times New Roman"/>
          <w:sz w:val="24"/>
          <w:szCs w:val="24"/>
        </w:rPr>
        <w:t xml:space="preserve">En el plano institucional, el sujeto inesperado interpela a la universidad con una pregunta que ésta frecuentemente no tiene preparada para responder: ¿para quién fue diseñada esta institución? Los horarios de atención administrativa concentrados en el horario laboral, los sistemas de correlatividades que asumen una dedicación exclusiva al estudio, la evaluación mediante parciales presenciales únicamente, los sistemas de correo institucional que presuponen habilidades digitales adquiridas en la trayectoria escolar: todos estos dispositivos fueron construidos para el sujeto esperado, el/la joven de tiempo libre disponible, y funcionan como barreras invisibles para el sujeto inesperado.</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perspectiva de género agudiza este análisis. Las mujeres que constituyen sujetos inesperados enfrentan una dificultad adicional: la naturalización social de su rol de cuidado las convierte en las primeras sacrificables cuando los cronogramas entran en conflicto. En las discusiones de los talleres, fue recurrente la narrativa de la mujer que tiene que elegir entre estudiar y cuidar —elección que el sistema patriarcal presenta como personal pero que es estructuralmente inducida:</w:t>
      </w:r>
    </w:p>
    <w:p>
      <w:pPr>
        <w:spacing w:after="0" w:line="240" w:lineRule="auto"/>
      </w:pPr>
    </w:p>
    <w:p>
      <w:pPr>
        <w:spacing w:after="0" w:line="240" w:lineRule="auto"/>
        <w:ind w:left="709" w:right="709"/>
        <w:jc w:val="both"/>
      </w:pPr>
      <w:r>
        <w:rPr>
          <w:rFonts w:ascii="Times New Roman" w:hAnsi="Times New Roman" w:cs="Times New Roman"/>
          <w:sz w:val="22"/>
          <w:szCs w:val="22"/>
          <w:i/>
          <w:iCs/>
        </w:rPr>
        <w:t xml:space="preserve">Cuando mi hijo se enferma, se cancela todo. El parcial, la clase, la reunión. Porque no hay nadie más. No hay sala maternal en la universidad. No hay nada. Sos vos o nadie. (T-CO-11, mujer, madre soltera, 34 años)</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ausencia de servicios de cuidado en los campus universitarios —guarderías, salas maternales, jardines de infantes de horario extendido— no es una omisión menor: es una política (en el sentido de que sus consecuencias son previsibles y sus costos se distribuyen de manera diferencial). Su corrección no depende de la buena voluntad de las autoridades institucionales sino de la decisión política de reconocer que la universidad inclusiva no puede serlo si sólo incluye a quienes no tienen personas a cargo.</w:t>
      </w:r>
    </w:p>
    <w:p>
      <w:pPr>
        <w:spacing w:after="0" w:line="240" w:lineRule="auto"/>
      </w:pPr>
    </w:p>
    <w:p>
      <w:pPr>
        <w:jc w:val="both"/>
        <w:spacing w:after="0" w:line="240" w:lineRule="auto"/>
      </w:pPr>
      <w:r>
        <w:rPr>
          <w:rFonts w:ascii="Times New Roman" w:hAnsi="Times New Roman" w:cs="Times New Roman"/>
          <w:sz w:val="24"/>
          <w:szCs w:val="24"/>
          <w:b/>
          <w:bCs/>
        </w:rPr>
        <w:t xml:space="preserve">La UNPA como tecnología de hospitalidad: latencia, ciudadanía ampliada y brecha digital material</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tercer núcleo crítico presenta una tensión interna que el análisis no puede resolver unilateralmente: la UNPA aparece en el corpus, simultáneamente, como una tecnología de hospitalidad y como una institución limitada por una brecha digital profundamente material que convierte la promesa de la accesibilidad bimodal en una promesa incumplida para los sectores más vulnerables.</w:t>
      </w:r>
    </w:p>
    <w:p>
      <w:pPr>
        <w:spacing w:after="0" w:line="240" w:lineRule="auto"/>
      </w:pPr>
    </w:p>
    <w:p>
      <w:pPr>
        <w:jc w:val="both"/>
        <w:spacing w:after="0" w:line="240" w:lineRule="auto"/>
        <w:ind w:firstLine="709"/>
      </w:pPr>
      <w:r>
        <w:rPr>
          <w:rFonts w:ascii="Times New Roman" w:hAnsi="Times New Roman" w:cs="Times New Roman"/>
          <w:sz w:val="24"/>
          <w:szCs w:val="24"/>
        </w:rPr>
        <w:t xml:space="preserve">En su dimensión de tecnología de hospitalidad, la UNPA produce dispositivos que contrarrestan activamente la sociología de las ausencias propia del enclave extractivista. El más significativo es la Red de Cibereducativos: una infraestructura de puntos de acceso físico a plataformas de educación virtual distribuidos en localidades que de otro modo carecerían de conectividad adecuada. La Red, construida en articulación con municipios y organismos estatales provinciales, funciona como infraestructura de hospitalidad material: no es suficiente con declarar que la educación superior es un derecho si no se garantizan las condiciones materiales para su ejercicio efectivo.</w:t>
      </w:r>
    </w:p>
    <w:p>
      <w:pPr>
        <w:spacing w:after="0" w:line="240" w:lineRule="auto"/>
      </w:pPr>
    </w:p>
    <w:p>
      <w:pPr>
        <w:spacing w:after="0" w:line="240" w:lineRule="auto"/>
        <w:ind w:left="709" w:right="709"/>
        <w:jc w:val="both"/>
      </w:pPr>
      <w:r>
        <w:rPr>
          <w:rFonts w:ascii="Times New Roman" w:hAnsi="Times New Roman" w:cs="Times New Roman"/>
          <w:sz w:val="22"/>
          <w:szCs w:val="22"/>
          <w:i/>
          <w:iCs/>
        </w:rPr>
        <w:t xml:space="preserve">Sin el cibereducativo, yo no estudio. Punto. En mi casa no hay internet. Acá vengo, me conecto, curso. El cibereducativo es la universidad para mí. (T-SJ-06, varón, primera generación, 23 años)</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función de ciudadanía ampliada emerge con claridad en los relatos: la universidad no es sólo un espacio de formación profesional. Es un espacio de construcción de subjetividad política, de ampliación del horizonte de lo pensable, de contacto con el saber sistemático que el enclave extractivista tiende a obturar. Estudiantes de Río Turbio —una localidad minera de 7.000 habitantes, a 245 km de Río Gallegos y a 2.600 km de Buenos Aires— describen la universidad como el único espacio donde acceden a debates de ideas que exceden los ritmos de la producción carbonífera.</w:t>
      </w:r>
    </w:p>
    <w:p>
      <w:pPr>
        <w:spacing w:after="0" w:line="240" w:lineRule="auto"/>
      </w:pPr>
    </w:p>
    <w:p>
      <w:pPr>
        <w:jc w:val="both"/>
        <w:spacing w:after="0" w:line="240" w:lineRule="auto"/>
        <w:ind w:firstLine="709"/>
      </w:pPr>
      <w:r>
        <w:rPr>
          <w:rFonts w:ascii="Times New Roman" w:hAnsi="Times New Roman" w:cs="Times New Roman"/>
          <w:sz w:val="24"/>
          <w:szCs w:val="24"/>
        </w:rPr>
        <w:t xml:space="preserve">Sin embargo, la hospitalidad de la UNPA está tensionada por una brecha digital que tiene un carácter profundamente material, no meramente tecnológico. La brecha no consiste sólo en la falta de dispositivos —aunque también— sino en una constelación de restricciones que incluyen la calidad de la conexión (que en muchas localidades de Santa Cruz es insuficiente para sostener videoconferencias estables), el tipo de dispositivo (el celular, que es frecuentemente el único dispositivo disponible, impone limitaciones cognitivas y ergonómicas significativas para el estudio académico), las habilidades digitales (que no se distribuyen igualitariamente ni por clase, ni por edad, ni por género), y los contextos domésticos (la sobrepoblación del hogar, la falta de espacio silencioso, las interrupciones del cuidado).</w:t>
      </w:r>
    </w:p>
    <w:p>
      <w:pPr>
        <w:spacing w:after="0" w:line="240" w:lineRule="auto"/>
      </w:pPr>
    </w:p>
    <w:p>
      <w:pPr>
        <w:jc w:val="both"/>
        <w:spacing w:after="0" w:line="240" w:lineRule="auto"/>
        <w:ind w:firstLine="709"/>
      </w:pPr>
      <w:r>
        <w:rPr>
          <w:rFonts w:ascii="Times New Roman" w:hAnsi="Times New Roman" w:cs="Times New Roman"/>
          <w:sz w:val="24"/>
          <w:szCs w:val="24"/>
        </w:rPr>
        <w:t xml:space="preserve">Se propone denominar temporalidad de la latencia al modo específico en que estas condiciones configuran la experiencia de estudio del estudiantado periférico. La latencia designa el estado de quien está conectado pero en condiciones de conexión degradada, de quien descarga los materiales pero no puede ver los videos, de quien participa en el foro pero con un retraso que desincroniza su intervención de la discusión en curso. La temporalidad de la latencia es la temporalidad del que llega tarde no por voluntad sino por infraestructura: el que envía el trabajo fuera de término porque la conexión falló en el momento de subir el archivo, el que no pudo asistir al examen virtual porque la plataforma colapsó en su nodo de conectividad regional.</w:t>
      </w:r>
    </w:p>
    <w:p>
      <w:pPr>
        <w:spacing w:after="0" w:line="240" w:lineRule="auto"/>
      </w:pPr>
    </w:p>
    <w:p>
      <w:pPr>
        <w:jc w:val="both"/>
        <w:spacing w:after="0" w:line="240" w:lineRule="auto"/>
        <w:ind w:firstLine="709"/>
      </w:pPr>
      <w:r>
        <w:rPr>
          <w:rFonts w:ascii="Times New Roman" w:hAnsi="Times New Roman" w:cs="Times New Roman"/>
          <w:sz w:val="24"/>
          <w:szCs w:val="24"/>
        </w:rPr>
        <w:t xml:space="preserve">Esta temporalidad de la latencia produce efectos sobre la afiliación que el dispositivo de calificación convencional no distingue del abandono voluntario. Cuando un/a estudiante desaparece del campus virtual durante dos o tres semanas, la institución no sabe si está en una zona sin cobertura por las rutas cortadas, si su dispositivo se rompió, si el cibereducativo de su localidad estuvo cerrado por falta de personal, o si decidió dejar de estudiar. La respuesta institucional a esta invisibilidad tiende a ser el sancionatorio: aplica las correlatividades, cierra los plazos, no habilita el reingreso. Así, la temporalidad de la latencia se convierte en temporalidad del rezago, y el rezago se convierte en abandono formal. Los tres núcleos críticos analizados —la distancia como zona de expulsión, el sujeto inesperado y la tensión entre hospitalidad y brecha digital— convergen en un hallazgo transversal: la desigualdad educativa en la Patagonia Austral no se explica por las características de los sujetos que la padecen sino por las características del territorio que la produce. Esta distinción es decisiva porque desplaza la responsabilidad del fracaso desde el individuo hacia las condiciones estructurales, y en consecuencia desplaza también el horizonte de las intervenciones posibles: de la tutoría compensatoria individual al rediseño institucional sistémico.</w:t>
      </w:r>
    </w:p>
    <w:p>
      <w:pPr>
        <w:spacing w:after="0" w:line="240" w:lineRule="auto"/>
      </w:pPr>
    </w:p>
    <w:p>
      <w:pPr>
        <w:jc w:val="both"/>
        <w:spacing w:after="0" w:line="240" w:lineRule="auto"/>
      </w:pPr>
      <w:r>
        <w:rPr>
          <w:rFonts w:ascii="Times New Roman" w:hAnsi="Times New Roman" w:cs="Times New Roman"/>
          <w:sz w:val="24"/>
          <w:szCs w:val="24"/>
          <w:b/>
          <w:bCs/>
        </w:rPr>
        <w:t xml:space="preserve">Conclusiones</w:t>
      </w:r>
    </w:p>
    <w:p>
      <w:pPr>
        <w:spacing w:after="0" w:line="240" w:lineRule="auto"/>
      </w:pPr>
    </w:p>
    <w:p>
      <w:pPr>
        <w:jc w:val="both"/>
        <w:spacing w:after="0" w:line="240" w:lineRule="auto"/>
        <w:ind w:firstLine="709"/>
      </w:pPr>
      <w:r>
        <w:rPr>
          <w:rFonts w:ascii="Times New Roman" w:hAnsi="Times New Roman" w:cs="Times New Roman"/>
          <w:sz w:val="24"/>
          <w:szCs w:val="24"/>
        </w:rPr>
        <w:t xml:space="preserve">El análisis desarrollado permite formular tres conclusiones que tienen implicaciones directas para la política universitaria en contextos de baja densidad poblacional.</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primera conclusión es que la cronopolítica constituye un factor de estratificación no reconocido. El concepto de cronopolítica (Wajcman, 2015) designa las relaciones de poder que se inscriben en la organización del tiempo. La universidad convencional ejerce cronopolítica cuando organiza sus ritmos —calendarios, plazos, horarios, sincronías— en función del sujeto esperado y penaliza a quienes no pueden adaptarse a esos ritmos. Reconocer la cronopolítica como factor de estratificación implica asumir que el problema no es que los y las estudiantes del enclave extractivista sean incapaces de gestionar su tiempo, sino que el tiempo que la institución les asigna no contempla el tiempo que el territorio les sustrae. La respuesta política no es la comprensión individual caso a caso, sino el rediseño institucional de los sistemas de correlatividades, plazos y modalidades de evaluación para que sean compatibles con las condiciones de vida reales de la matrícula efectiva.</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segunda conclusión es que la biografía debe ser reconocida como capital de ingreso legítimo. Los sujetos inesperados —trabajadoras y trabajadores, madres, migrantes, adultas y adultos— llegan a la universidad con capitales que la institución no reconoce como tales: la experiencia laboral, el conocimiento territorial, las redes de socialización comunitaria, las trayectorias de resistencia. Ignorar estos capitales es una forma de violencia simbólica que refuerza la desigualdad de origen en lugar de compensarla. Las políticas de validación de trayectorias y de reconocimiento de saberes previos no son concesiones benevolentes: son condiciones de la hospitalidad efectiva y del derecho a la educación superior como derecho real.</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tercera conclusión es que las infraestructuras de hospitalidad material constituyen una condición indisociable del derecho a la educación superior en territorios periféricos. Esto incluye: la expansión y el mantenimiento activo de la Red de Cibereducativos con personal estable, equipamiento actualizado y conectividad garantizada; la creación de servicios de cuidado en los campus y cibereducativos que permitan a las madres y padres con responsabilidades de cuidado cursar sin sacrificar el bienestar de sus hijas e hijos; el diseño de sistemas de evaluación flexibles que contemplen la temporalidad de la latencia y no la equiparen al abandono voluntario; y la revisión de los cronogramas institucionales para hacerlos compatibles con las condiciones laborales de quienes trabajan mientras estudian.</w:t>
      </w:r>
    </w:p>
    <w:p>
      <w:pPr>
        <w:spacing w:after="0" w:line="240" w:lineRule="auto"/>
      </w:pPr>
    </w:p>
    <w:p>
      <w:pPr>
        <w:jc w:val="both"/>
        <w:spacing w:after="0" w:line="240" w:lineRule="auto"/>
        <w:ind w:firstLine="709"/>
      </w:pPr>
      <w:r>
        <w:rPr>
          <w:rFonts w:ascii="Times New Roman" w:hAnsi="Times New Roman" w:cs="Times New Roman"/>
          <w:sz w:val="24"/>
          <w:szCs w:val="24"/>
        </w:rPr>
        <w:t xml:space="preserve">La promesa de la universidad como derecho humano universal (Ley N° 27.204/2015; CRES Cartagena, 1998) no se cumple en la distancia entre la norma y la experiencia concreta de estudiar en Santa Cruz. Esa distancia tiene nombre: es la fricción sistémica entre los tiempos institucionales rígidos y los tiempos territoriales fluidos del enclave extractivista. Nombrarla es el primer paso para transformarla. Las geografías de la promesa —los territorios donde la educación superior es formalmente un derecho pero materialmente un privilegio— exigen investigación situada, política universitaria sensible al territorio y una concepción de la hospitalidad que reconozca a las y los sujetos inesperados no como problema a gestionar sino como portadores de las historias que la universidad pública tiene la responsabilidad y la posibilidad de honrar.</w:t>
      </w:r>
    </w:p>
    <w:p>
      <w:pPr>
        <w:spacing w:after="0" w:line="240" w:lineRule="auto"/>
      </w:pPr>
    </w:p>
    <w:p>
      <w:pPr>
        <w:jc w:val="both"/>
        <w:spacing w:after="0" w:line="240" w:lineRule="auto"/>
      </w:pPr>
      <w:r>
        <w:rPr>
          <w:rFonts w:ascii="Times New Roman" w:hAnsi="Times New Roman" w:cs="Times New Roman"/>
          <w:sz w:val="24"/>
          <w:szCs w:val="24"/>
          <w:b/>
          <w:bCs/>
        </w:rPr>
        <w:t xml:space="preserve">Referencias Bibliográficas</w:t>
      </w:r>
    </w:p>
    <w:p>
      <w:pPr>
        <w:spacing w:after="0" w:line="240" w:lineRule="auto"/>
      </w:pPr>
    </w:p>
    <w:p>
      <w:pPr>
        <w:spacing w:after="0" w:line="240" w:lineRule="auto"/>
        <w:ind w:left="709" w:hanging="709"/>
        <w:jc w:val="both"/>
      </w:pPr>
      <w:r>
        <w:rPr>
          <w:rFonts w:ascii="Times New Roman" w:hAnsi="Times New Roman" w:cs="Times New Roman"/>
          <w:sz w:val="24"/>
          <w:szCs w:val="24"/>
        </w:rPr>
        <w:t xml:space="preserve">Ahmed, S. (2014). Willful Subjects. Duke University Press.</w:t>
      </w:r>
    </w:p>
    <w:p>
      <w:pPr>
        <w:spacing w:after="0" w:line="240" w:lineRule="auto"/>
        <w:ind w:left="709" w:hanging="709"/>
        <w:jc w:val="both"/>
      </w:pPr>
      <w:r>
        <w:rPr>
          <w:rFonts w:ascii="Times New Roman" w:hAnsi="Times New Roman" w:cs="Times New Roman"/>
          <w:sz w:val="24"/>
          <w:szCs w:val="24"/>
        </w:rPr>
        <w:t xml:space="preserve">Alvesson, M., y Sköldberg, K. (2009). Reflexive methodology: New vistas for qualitative research (2.ª ed.). SAGE.</w:t>
      </w:r>
    </w:p>
    <w:p>
      <w:pPr>
        <w:spacing w:after="0" w:line="240" w:lineRule="auto"/>
        <w:ind w:left="709" w:hanging="709"/>
        <w:jc w:val="both"/>
      </w:pPr>
      <w:r>
        <w:rPr>
          <w:rFonts w:ascii="Times New Roman" w:hAnsi="Times New Roman" w:cs="Times New Roman"/>
          <w:sz w:val="24"/>
          <w:szCs w:val="24"/>
        </w:rPr>
        <w:t xml:space="preserve">Bombini, G., y Labeur, P. (Eds.). (2017). Leer y escribir en las zonas de pasaje: Articulaciones entre la escuela secundaria y el nivel superior. Biblos.</w:t>
      </w:r>
    </w:p>
    <w:p>
      <w:pPr>
        <w:spacing w:after="0" w:line="240" w:lineRule="auto"/>
        <w:ind w:left="709" w:hanging="709"/>
        <w:jc w:val="both"/>
      </w:pPr>
      <w:r>
        <w:rPr>
          <w:rFonts w:ascii="Times New Roman" w:hAnsi="Times New Roman" w:cs="Times New Roman"/>
          <w:sz w:val="24"/>
          <w:szCs w:val="24"/>
        </w:rPr>
        <w:t xml:space="preserve">Coulon, A. (1997). Le métier d'étudiant: L'entrée dans la vie universitaire. Presses Universitaires de France.</w:t>
      </w:r>
    </w:p>
    <w:p>
      <w:pPr>
        <w:spacing w:after="0" w:line="240" w:lineRule="auto"/>
        <w:ind w:left="709" w:hanging="709"/>
        <w:jc w:val="both"/>
      </w:pPr>
      <w:r>
        <w:rPr>
          <w:rFonts w:ascii="Times New Roman" w:hAnsi="Times New Roman" w:cs="Times New Roman"/>
          <w:sz w:val="24"/>
          <w:szCs w:val="24"/>
        </w:rPr>
        <w:t xml:space="preserve">Coulon, A. (2017). El oficio de estudiante: La entrada en la vida universitaria. Educação e Pesquisa, 43(4), 1239-1250.</w:t>
      </w:r>
    </w:p>
    <w:p>
      <w:pPr>
        <w:spacing w:after="0" w:line="240" w:lineRule="auto"/>
        <w:ind w:left="709" w:hanging="709"/>
        <w:jc w:val="both"/>
      </w:pPr>
      <w:r>
        <w:rPr>
          <w:rFonts w:ascii="Times New Roman" w:hAnsi="Times New Roman" w:cs="Times New Roman"/>
          <w:sz w:val="24"/>
          <w:szCs w:val="24"/>
        </w:rPr>
        <w:t xml:space="preserve">Crenshaw, K. (1991). Mapping the margins: Intersectionality, identity politics, and violence against women of color. Stanford Law Review, 43(6), 1241-1299.</w:t>
      </w:r>
    </w:p>
    <w:p>
      <w:pPr>
        <w:spacing w:after="0" w:line="240" w:lineRule="auto"/>
        <w:ind w:left="709" w:hanging="709"/>
        <w:jc w:val="both"/>
      </w:pPr>
      <w:r>
        <w:rPr>
          <w:rFonts w:ascii="Times New Roman" w:hAnsi="Times New Roman" w:cs="Times New Roman"/>
          <w:sz w:val="24"/>
          <w:szCs w:val="24"/>
        </w:rPr>
        <w:t xml:space="preserve">Esquivel, V. (2011). La economía del cuidado en América Latina: Poniendo a los cuidados en el centro de la agenda. PNUD-ONU Mujeres.</w:t>
      </w:r>
    </w:p>
    <w:p>
      <w:pPr>
        <w:spacing w:after="0" w:line="240" w:lineRule="auto"/>
        <w:ind w:left="709" w:hanging="709"/>
        <w:jc w:val="both"/>
      </w:pPr>
      <w:r>
        <w:rPr>
          <w:rFonts w:ascii="Times New Roman" w:hAnsi="Times New Roman" w:cs="Times New Roman"/>
          <w:sz w:val="24"/>
          <w:szCs w:val="24"/>
        </w:rPr>
        <w:t xml:space="preserve">Ezcurra, A. M. (2011). Igualdad en educación superior: Un desafío mundial. IEC-CONADU/UNGS.</w:t>
      </w:r>
    </w:p>
    <w:p>
      <w:pPr>
        <w:spacing w:after="0" w:line="240" w:lineRule="auto"/>
        <w:ind w:left="709" w:hanging="709"/>
        <w:jc w:val="both"/>
      </w:pPr>
      <w:r>
        <w:rPr>
          <w:rFonts w:ascii="Times New Roman" w:hAnsi="Times New Roman" w:cs="Times New Roman"/>
          <w:sz w:val="24"/>
          <w:szCs w:val="24"/>
        </w:rPr>
        <w:t xml:space="preserve">Giarracca, N., y Teubal, M. (2013). Actividades extractivas en expansión: ¿Reprimarización de la economía argentina? Antropofagia.</w:t>
      </w:r>
    </w:p>
    <w:p>
      <w:pPr>
        <w:spacing w:after="0" w:line="240" w:lineRule="auto"/>
        <w:ind w:left="709" w:hanging="709"/>
        <w:jc w:val="both"/>
      </w:pPr>
      <w:r>
        <w:rPr>
          <w:rFonts w:ascii="Times New Roman" w:hAnsi="Times New Roman" w:cs="Times New Roman"/>
          <w:sz w:val="24"/>
          <w:szCs w:val="24"/>
        </w:rPr>
        <w:t xml:space="preserve">Harvey, D. (1973). Social justice and the city. Johns Hopkins University Press.</w:t>
      </w:r>
    </w:p>
    <w:p>
      <w:pPr>
        <w:spacing w:after="0" w:line="240" w:lineRule="auto"/>
        <w:ind w:left="709" w:hanging="709"/>
        <w:jc w:val="both"/>
      </w:pPr>
      <w:r>
        <w:rPr>
          <w:rFonts w:ascii="Times New Roman" w:hAnsi="Times New Roman" w:cs="Times New Roman"/>
          <w:sz w:val="24"/>
          <w:szCs w:val="24"/>
        </w:rPr>
        <w:t xml:space="preserve">Harvey, D. (2012). Rebel cities: From the right to the city to the urban revolution. Verso.</w:t>
      </w:r>
    </w:p>
    <w:p>
      <w:pPr>
        <w:spacing w:after="0" w:line="240" w:lineRule="auto"/>
        <w:ind w:left="709" w:hanging="709"/>
        <w:jc w:val="both"/>
      </w:pPr>
      <w:r>
        <w:rPr>
          <w:rFonts w:ascii="Times New Roman" w:hAnsi="Times New Roman" w:cs="Times New Roman"/>
          <w:sz w:val="24"/>
          <w:szCs w:val="24"/>
        </w:rPr>
        <w:t xml:space="preserve">Hill Collins, P. (2000). Black feminist thought: Knowledge, consciousness, and the politics of empowerment (2.ª ed.). Routledge.</w:t>
      </w:r>
    </w:p>
    <w:p>
      <w:pPr>
        <w:spacing w:after="0" w:line="240" w:lineRule="auto"/>
        <w:ind w:left="709" w:hanging="709"/>
        <w:jc w:val="both"/>
      </w:pPr>
      <w:r>
        <w:rPr>
          <w:rFonts w:ascii="Times New Roman" w:hAnsi="Times New Roman" w:cs="Times New Roman"/>
          <w:sz w:val="24"/>
          <w:szCs w:val="24"/>
        </w:rPr>
        <w:t xml:space="preserve">Hochschild, A. R. (2003). The second shift: Working families and the revolution at home. Penguin Books.</w:t>
      </w:r>
    </w:p>
    <w:p>
      <w:pPr>
        <w:spacing w:after="0" w:line="240" w:lineRule="auto"/>
        <w:ind w:left="709" w:hanging="709"/>
        <w:jc w:val="both"/>
      </w:pPr>
      <w:r>
        <w:rPr>
          <w:rFonts w:ascii="Times New Roman" w:hAnsi="Times New Roman" w:cs="Times New Roman"/>
          <w:sz w:val="24"/>
          <w:szCs w:val="24"/>
        </w:rPr>
        <w:t xml:space="preserve">Lugones, M. (2008). Colonialidad y género. Tabula Rasa, (9), 73-101.</w:t>
      </w:r>
    </w:p>
    <w:p>
      <w:pPr>
        <w:spacing w:after="0" w:line="240" w:lineRule="auto"/>
        <w:ind w:left="709" w:hanging="709"/>
        <w:jc w:val="both"/>
      </w:pPr>
      <w:r>
        <w:rPr>
          <w:rFonts w:ascii="Times New Roman" w:hAnsi="Times New Roman" w:cs="Times New Roman"/>
          <w:sz w:val="24"/>
          <w:szCs w:val="24"/>
        </w:rPr>
        <w:t xml:space="preserve">Mancovsky, V., y Más Rocha, S. M. (2019). Por una pedagogía de "los inicios": más allá del ingreso a la vida universitaria. Biblos.</w:t>
      </w:r>
    </w:p>
    <w:p>
      <w:pPr>
        <w:spacing w:after="0" w:line="240" w:lineRule="auto"/>
        <w:ind w:left="709" w:hanging="709"/>
        <w:jc w:val="both"/>
      </w:pPr>
      <w:r>
        <w:rPr>
          <w:rFonts w:ascii="Times New Roman" w:hAnsi="Times New Roman" w:cs="Times New Roman"/>
          <w:sz w:val="24"/>
          <w:szCs w:val="24"/>
        </w:rPr>
        <w:t xml:space="preserve">Massey, D. (2005). For Space. SAGE.</w:t>
      </w:r>
    </w:p>
    <w:p>
      <w:pPr>
        <w:spacing w:after="0" w:line="240" w:lineRule="auto"/>
        <w:ind w:left="709" w:hanging="709"/>
        <w:jc w:val="both"/>
      </w:pPr>
      <w:r>
        <w:rPr>
          <w:rFonts w:ascii="Times New Roman" w:hAnsi="Times New Roman" w:cs="Times New Roman"/>
          <w:sz w:val="24"/>
          <w:szCs w:val="24"/>
        </w:rPr>
        <w:t xml:space="preserve">Miles, M. B., Huberman, A. M., y Saldaña, J. (2014). Qualitative data analysis: A methods sourcebook (3.ª ed.). SAGE.</w:t>
      </w:r>
    </w:p>
    <w:p>
      <w:pPr>
        <w:spacing w:after="0" w:line="240" w:lineRule="auto"/>
        <w:ind w:left="709" w:hanging="709"/>
        <w:jc w:val="both"/>
      </w:pPr>
      <w:r>
        <w:rPr>
          <w:rFonts w:ascii="Times New Roman" w:hAnsi="Times New Roman" w:cs="Times New Roman"/>
          <w:sz w:val="24"/>
          <w:szCs w:val="24"/>
        </w:rPr>
        <w:t xml:space="preserve">Pierella, M. P. (2019). La autoridad en la universidad: Vínculos y experiencias entre estudiantes, profesores y saberes. Paidós.</w:t>
      </w:r>
    </w:p>
    <w:p>
      <w:pPr>
        <w:spacing w:after="0" w:line="240" w:lineRule="auto"/>
        <w:ind w:left="709" w:hanging="709"/>
        <w:jc w:val="both"/>
      </w:pPr>
      <w:r>
        <w:rPr>
          <w:rFonts w:ascii="Times New Roman" w:hAnsi="Times New Roman" w:cs="Times New Roman"/>
          <w:sz w:val="24"/>
          <w:szCs w:val="24"/>
        </w:rPr>
        <w:t xml:space="preserve">Pogré, P., De Gatica, A., García, A. L., y Krichesky, G. (2018). Los inicios de la vida universitaria: políticas, prácticas y estrategias para garantizar el derecho a la educación superior (Vol. 1). Teseo.</w:t>
      </w:r>
    </w:p>
    <w:p>
      <w:pPr>
        <w:spacing w:after="0" w:line="240" w:lineRule="auto"/>
        <w:ind w:left="709" w:hanging="709"/>
        <w:jc w:val="both"/>
      </w:pPr>
      <w:r>
        <w:rPr>
          <w:rFonts w:ascii="Times New Roman" w:hAnsi="Times New Roman" w:cs="Times New Roman"/>
          <w:sz w:val="24"/>
          <w:szCs w:val="24"/>
        </w:rPr>
        <w:t xml:space="preserve">Razavi, S. (2007). The political and social economy of care in a development context. UNRISD.</w:t>
      </w:r>
    </w:p>
    <w:p>
      <w:pPr>
        <w:spacing w:after="0" w:line="240" w:lineRule="auto"/>
        <w:ind w:left="709" w:hanging="709"/>
        <w:jc w:val="both"/>
      </w:pPr>
      <w:r>
        <w:rPr>
          <w:rFonts w:ascii="Times New Roman" w:hAnsi="Times New Roman" w:cs="Times New Roman"/>
          <w:sz w:val="24"/>
          <w:szCs w:val="24"/>
        </w:rPr>
        <w:t xml:space="preserve">Santos, B. de S. (2010). Descolonizar el saber, reinventar el poder. Trilce.</w:t>
      </w:r>
    </w:p>
    <w:p>
      <w:pPr>
        <w:spacing w:after="0" w:line="240" w:lineRule="auto"/>
        <w:ind w:left="709" w:hanging="709"/>
        <w:jc w:val="both"/>
      </w:pPr>
      <w:r>
        <w:rPr>
          <w:rFonts w:ascii="Times New Roman" w:hAnsi="Times New Roman" w:cs="Times New Roman"/>
          <w:sz w:val="24"/>
          <w:szCs w:val="24"/>
        </w:rPr>
        <w:t xml:space="preserve">Soja, E. W. (2010). Seeking spatial justice. University of Minnesota Press.</w:t>
      </w:r>
    </w:p>
    <w:p>
      <w:pPr>
        <w:spacing w:after="0" w:line="240" w:lineRule="auto"/>
        <w:ind w:left="709" w:hanging="709"/>
        <w:jc w:val="both"/>
      </w:pPr>
      <w:r>
        <w:rPr>
          <w:rFonts w:ascii="Times New Roman" w:hAnsi="Times New Roman" w:cs="Times New Roman"/>
          <w:sz w:val="24"/>
          <w:szCs w:val="24"/>
        </w:rPr>
        <w:t xml:space="preserve">Sotelo, L. A. (2024). Los inicios a la vida universitaria. Un campo de estudio en construcción. Journal of the Academy, 11, 5-32. https://doi.org/10.47058/joa11.2</w:t>
      </w:r>
    </w:p>
    <w:p>
      <w:pPr>
        <w:spacing w:after="0" w:line="240" w:lineRule="auto"/>
        <w:ind w:left="709" w:hanging="709"/>
        <w:jc w:val="both"/>
      </w:pPr>
      <w:r>
        <w:rPr>
          <w:rFonts w:ascii="Times New Roman" w:hAnsi="Times New Roman" w:cs="Times New Roman"/>
          <w:sz w:val="24"/>
          <w:szCs w:val="24"/>
        </w:rPr>
        <w:t xml:space="preserve">Sotelo, L. A. (2025a). Representaciones sociales sobre la educación superior en territorios periféricos: anclaje simbólico, espacio social y mediación biográfica en los inicios universitarios santacruceños. Revista Argentina de Educación Superior (RAES). [En prensa].</w:t>
      </w:r>
    </w:p>
    <w:p>
      <w:pPr>
        <w:spacing w:after="0" w:line="240" w:lineRule="auto"/>
        <w:ind w:left="709" w:hanging="709"/>
        <w:jc w:val="both"/>
      </w:pPr>
      <w:r>
        <w:rPr>
          <w:rFonts w:ascii="Times New Roman" w:hAnsi="Times New Roman" w:cs="Times New Roman"/>
          <w:sz w:val="24"/>
          <w:szCs w:val="24"/>
        </w:rPr>
        <w:t xml:space="preserve">Sotelo, L. A. (2025b). Los Inicios a la Vida Universitaria en Argentina: hacia la construcción del campo de estudios. Espacios en Blanco, 2(35), 233-243. https://doi.org/10.37177/UNICEN/EB35-442</w:t>
      </w:r>
    </w:p>
    <w:p>
      <w:pPr>
        <w:spacing w:after="0" w:line="240" w:lineRule="auto"/>
        <w:ind w:left="709" w:hanging="709"/>
        <w:jc w:val="both"/>
      </w:pPr>
      <w:r>
        <w:rPr>
          <w:rFonts w:ascii="Times New Roman" w:hAnsi="Times New Roman" w:cs="Times New Roman"/>
          <w:sz w:val="24"/>
          <w:szCs w:val="24"/>
        </w:rPr>
        <w:t xml:space="preserve">Sotelo, L. A. (2025c). Desigualdad digital y virtualización forzada: el ingreso a la universidad pública argentina en pandemia. Revista IRICE, 48, e2030. https://doi.org/10.35305/revistairice.vi48.2030</w:t>
      </w:r>
    </w:p>
    <w:p>
      <w:pPr>
        <w:spacing w:after="0" w:line="240" w:lineRule="auto"/>
        <w:ind w:left="709" w:hanging="709"/>
        <w:jc w:val="both"/>
      </w:pPr>
      <w:r>
        <w:rPr>
          <w:rFonts w:ascii="Times New Roman" w:hAnsi="Times New Roman" w:cs="Times New Roman"/>
          <w:sz w:val="24"/>
          <w:szCs w:val="24"/>
        </w:rPr>
        <w:t xml:space="preserve">Stake, R. E. (1995). The art of case study research. SAGE.</w:t>
      </w:r>
    </w:p>
    <w:p>
      <w:pPr>
        <w:spacing w:after="0" w:line="240" w:lineRule="auto"/>
        <w:ind w:left="709" w:hanging="709"/>
        <w:jc w:val="both"/>
      </w:pPr>
      <w:r>
        <w:rPr>
          <w:rFonts w:ascii="Times New Roman" w:hAnsi="Times New Roman" w:cs="Times New Roman"/>
          <w:sz w:val="24"/>
          <w:szCs w:val="24"/>
        </w:rPr>
        <w:t xml:space="preserve">Svampa, M. (2017). Del cambio de época al fin de ciclo: Gobiernos progresistas, extractivismo y movimientos sociales en América Latina. Edhasa.</w:t>
      </w:r>
    </w:p>
    <w:p>
      <w:pPr>
        <w:spacing w:after="0" w:line="240" w:lineRule="auto"/>
        <w:ind w:left="709" w:hanging="709"/>
        <w:jc w:val="both"/>
      </w:pPr>
      <w:r>
        <w:rPr>
          <w:rFonts w:ascii="Times New Roman" w:hAnsi="Times New Roman" w:cs="Times New Roman"/>
          <w:sz w:val="24"/>
          <w:szCs w:val="24"/>
        </w:rPr>
        <w:t xml:space="preserve">Vasilachis de Gialdino, I. (Coord.). (2006). Estrategias de investigación cualitativa. Gedisa.</w:t>
      </w:r>
    </w:p>
    <w:p>
      <w:pPr>
        <w:spacing w:after="0" w:line="240" w:lineRule="auto"/>
        <w:ind w:left="709" w:hanging="709"/>
        <w:jc w:val="both"/>
      </w:pPr>
      <w:r>
        <w:rPr>
          <w:rFonts w:ascii="Times New Roman" w:hAnsi="Times New Roman" w:cs="Times New Roman"/>
          <w:sz w:val="24"/>
          <w:szCs w:val="24"/>
        </w:rPr>
        <w:t xml:space="preserve">Vercellino, S., y Pogré, P. (2023). Transiciones: Instituciones y subjetividades en los inicios de los estudios universitarios. Editorial UNRN.</w:t>
      </w:r>
    </w:p>
    <w:p>
      <w:pPr>
        <w:spacing w:after="0" w:line="240" w:lineRule="auto"/>
        <w:ind w:left="709" w:hanging="709"/>
        <w:jc w:val="both"/>
      </w:pPr>
      <w:r>
        <w:rPr>
          <w:rFonts w:ascii="Times New Roman" w:hAnsi="Times New Roman" w:cs="Times New Roman"/>
          <w:sz w:val="24"/>
          <w:szCs w:val="24"/>
        </w:rPr>
        <w:t xml:space="preserve">Wajcman, J. (2015). Pressed for time: The acceleration of life in digital capitalism. University of Chicago Press.</w:t>
      </w:r>
    </w:p>
    <w:sectPr>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550766"/>
    <w:rsid w:val="005F3B2E"/>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37/15969-0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572</Words>
  <Characters>3151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Pablo Daniel Garcia</cp:lastModifiedBy>
  <cp:revision>4</cp:revision>
  <dcterms:created xsi:type="dcterms:W3CDTF">2026-03-14T03:50:00Z</dcterms:created>
  <dcterms:modified xsi:type="dcterms:W3CDTF">2026-04-20T16:42:00Z</dcterms:modified>
</cp:coreProperties>
</file>