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B3483" w14:textId="77777777" w:rsidR="00C802F5" w:rsidRPr="00BA642E" w:rsidRDefault="00C802F5" w:rsidP="001923DC">
      <w:pPr>
        <w:jc w:val="center"/>
        <w:rPr>
          <w:rFonts w:ascii="Times New Roman" w:hAnsi="Times New Roman" w:cs="Times New Roman"/>
        </w:rPr>
      </w:pPr>
    </w:p>
    <w:p w14:paraId="1DABD42B" w14:textId="632C3540" w:rsidR="001923DC" w:rsidRPr="00BA642E" w:rsidRDefault="008473D8" w:rsidP="001923DC">
      <w:pPr>
        <w:jc w:val="center"/>
        <w:rPr>
          <w:rFonts w:ascii="Times New Roman" w:hAnsi="Times New Roman" w:cs="Times New Roman"/>
          <w:b/>
          <w:bCs/>
        </w:rPr>
      </w:pPr>
      <w:r w:rsidRPr="008473D8">
        <w:rPr>
          <w:rFonts w:ascii="Times New Roman" w:hAnsi="Times New Roman" w:cs="Times New Roman"/>
          <w:b/>
          <w:bCs/>
        </w:rPr>
        <w:t>Las Prácticas Profesionales Supervisadas como escenario de aprendizaje situado y desarrollo de competencias profesionales</w:t>
      </w:r>
    </w:p>
    <w:p w14:paraId="43C49479" w14:textId="77777777" w:rsidR="005F3B2E" w:rsidRPr="00BA642E" w:rsidRDefault="005F3B2E" w:rsidP="001923DC">
      <w:pPr>
        <w:jc w:val="center"/>
        <w:rPr>
          <w:rFonts w:ascii="Times New Roman" w:hAnsi="Times New Roman" w:cs="Times New Roman"/>
        </w:rPr>
      </w:pPr>
    </w:p>
    <w:p w14:paraId="4E738780" w14:textId="782862D7"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Apellido y Nombre Autor 1</w:t>
      </w:r>
      <w:r w:rsidR="008473D8">
        <w:rPr>
          <w:rFonts w:ascii="Times New Roman" w:hAnsi="Times New Roman" w:cs="Times New Roman"/>
        </w:rPr>
        <w:t xml:space="preserve"> Gallardo, Guillermo</w:t>
      </w:r>
    </w:p>
    <w:p w14:paraId="29606759" w14:textId="0205A36E" w:rsidR="00A74B1B"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Pertenencia Institucional Autor</w:t>
      </w:r>
      <w:r w:rsidR="00A74B1B">
        <w:rPr>
          <w:rFonts w:ascii="Times New Roman" w:hAnsi="Times New Roman" w:cs="Times New Roman"/>
        </w:rPr>
        <w:t xml:space="preserve"> 1</w:t>
      </w:r>
      <w:r w:rsidRPr="00BA642E">
        <w:rPr>
          <w:rFonts w:ascii="Times New Roman" w:hAnsi="Times New Roman" w:cs="Times New Roman"/>
        </w:rPr>
        <w:t xml:space="preserve"> </w:t>
      </w:r>
      <w:r w:rsidR="00A74B1B" w:rsidRPr="00A74B1B">
        <w:rPr>
          <w:rFonts w:ascii="Times New Roman" w:hAnsi="Times New Roman" w:cs="Times New Roman"/>
        </w:rPr>
        <w:t>Universidad Juan Agustín Maza. Observatorio de Educación Superior, Argentina</w:t>
      </w:r>
    </w:p>
    <w:p w14:paraId="7D0026CD" w14:textId="5B1E02DB"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 Autor 1</w:t>
      </w:r>
      <w:r w:rsidR="008473D8">
        <w:rPr>
          <w:rFonts w:ascii="Times New Roman" w:hAnsi="Times New Roman" w:cs="Times New Roman"/>
        </w:rPr>
        <w:t>gallardo.guillermo@gmail.com</w:t>
      </w:r>
    </w:p>
    <w:p w14:paraId="1FA0F857" w14:textId="77777777" w:rsidR="005F3B2E" w:rsidRPr="00BA642E" w:rsidRDefault="005F3B2E" w:rsidP="005F3B2E">
      <w:pPr>
        <w:rPr>
          <w:rFonts w:ascii="Times New Roman" w:hAnsi="Times New Roman" w:cs="Times New Roman"/>
        </w:rPr>
      </w:pPr>
    </w:p>
    <w:p w14:paraId="1275A9C7" w14:textId="3802B14C"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Apellido y Nombre Autor 2</w:t>
      </w:r>
      <w:r w:rsidR="008473D8">
        <w:rPr>
          <w:rFonts w:ascii="Times New Roman" w:hAnsi="Times New Roman" w:cs="Times New Roman"/>
        </w:rPr>
        <w:t xml:space="preserve"> Pulvirenti, María de Belén</w:t>
      </w:r>
    </w:p>
    <w:p w14:paraId="25190BF1" w14:textId="77777777" w:rsidR="00A74B1B" w:rsidRDefault="005F3B2E" w:rsidP="00A74B1B">
      <w:pPr>
        <w:spacing w:after="0" w:line="240" w:lineRule="auto"/>
        <w:jc w:val="right"/>
        <w:rPr>
          <w:rFonts w:ascii="Times New Roman" w:hAnsi="Times New Roman" w:cs="Times New Roman"/>
        </w:rPr>
      </w:pPr>
      <w:r w:rsidRPr="00BA642E">
        <w:rPr>
          <w:rFonts w:ascii="Times New Roman" w:hAnsi="Times New Roman" w:cs="Times New Roman"/>
        </w:rPr>
        <w:t>Pertenencia Institucional Autor 2</w:t>
      </w:r>
      <w:r w:rsidR="008473D8">
        <w:rPr>
          <w:rFonts w:ascii="Times New Roman" w:hAnsi="Times New Roman" w:cs="Times New Roman"/>
        </w:rPr>
        <w:t xml:space="preserve"> </w:t>
      </w:r>
      <w:r w:rsidR="00A74B1B" w:rsidRPr="00A74B1B">
        <w:rPr>
          <w:rFonts w:ascii="Times New Roman" w:hAnsi="Times New Roman" w:cs="Times New Roman"/>
        </w:rPr>
        <w:t>Universidad Juan Agustín Maza. Observatorio de Educación Superior, Argentina</w:t>
      </w:r>
    </w:p>
    <w:p w14:paraId="46FEEBE4" w14:textId="4CEBE06F" w:rsidR="005F3B2E" w:rsidRPr="00BA642E" w:rsidRDefault="005F3B2E" w:rsidP="005F3B2E">
      <w:pPr>
        <w:spacing w:after="0" w:line="240" w:lineRule="auto"/>
        <w:jc w:val="right"/>
        <w:rPr>
          <w:rFonts w:ascii="Times New Roman" w:hAnsi="Times New Roman" w:cs="Times New Roman"/>
        </w:rPr>
      </w:pPr>
    </w:p>
    <w:p w14:paraId="3CAC774D" w14:textId="4F4F4918"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 Autor 2</w:t>
      </w:r>
      <w:r w:rsidR="008473D8">
        <w:rPr>
          <w:rFonts w:ascii="Times New Roman" w:hAnsi="Times New Roman" w:cs="Times New Roman"/>
        </w:rPr>
        <w:t xml:space="preserve"> mariabelenpulvirenti@gmail.com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39FBEDDE" w:rsidR="005F3B2E" w:rsidRPr="00BA642E" w:rsidRDefault="00C802F5" w:rsidP="008473D8">
      <w:pPr>
        <w:tabs>
          <w:tab w:val="center" w:pos="4252"/>
          <w:tab w:val="right" w:pos="8504"/>
        </w:tabs>
        <w:spacing w:after="0" w:line="240" w:lineRule="auto"/>
        <w:jc w:val="right"/>
        <w:rPr>
          <w:rFonts w:ascii="Times New Roman" w:hAnsi="Times New Roman" w:cs="Times New Roman"/>
        </w:rPr>
      </w:pPr>
      <w:r w:rsidRPr="00BA642E">
        <w:rPr>
          <w:rFonts w:ascii="Times New Roman" w:hAnsi="Times New Roman" w:cs="Times New Roman"/>
        </w:rPr>
        <w:tab/>
      </w:r>
      <w:r w:rsidR="005F3B2E" w:rsidRPr="00BA642E">
        <w:rPr>
          <w:rFonts w:ascii="Times New Roman" w:hAnsi="Times New Roman" w:cs="Times New Roman"/>
        </w:rPr>
        <w:t>Apellido y Nombre Autor 3</w:t>
      </w:r>
      <w:r w:rsidR="008473D8">
        <w:rPr>
          <w:rFonts w:ascii="Times New Roman" w:hAnsi="Times New Roman" w:cs="Times New Roman"/>
        </w:rPr>
        <w:t xml:space="preserve"> Conti, Mariángeles</w:t>
      </w:r>
    </w:p>
    <w:p w14:paraId="3D4A44CD" w14:textId="77777777" w:rsidR="00A74B1B"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Pertenencia Institucional Autor 3</w:t>
      </w:r>
      <w:r w:rsidR="008473D8">
        <w:rPr>
          <w:rFonts w:ascii="Times New Roman" w:hAnsi="Times New Roman" w:cs="Times New Roman"/>
        </w:rPr>
        <w:t xml:space="preserve"> </w:t>
      </w:r>
      <w:r w:rsidR="00A74B1B" w:rsidRPr="00A74B1B">
        <w:rPr>
          <w:rFonts w:ascii="Times New Roman" w:hAnsi="Times New Roman" w:cs="Times New Roman"/>
        </w:rPr>
        <w:t>Universidad Juan Agustín Maza. Observatorio de Educación Superior, Argentina</w:t>
      </w:r>
      <w:r w:rsidR="00A74B1B" w:rsidRPr="00BA642E">
        <w:rPr>
          <w:rFonts w:ascii="Times New Roman" w:hAnsi="Times New Roman" w:cs="Times New Roman"/>
        </w:rPr>
        <w:t xml:space="preserve"> </w:t>
      </w:r>
    </w:p>
    <w:p w14:paraId="3D73DB11" w14:textId="05D45194"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 Autor 3</w:t>
      </w:r>
      <w:r w:rsidR="008473D8">
        <w:rPr>
          <w:rFonts w:ascii="Times New Roman" w:hAnsi="Times New Roman" w:cs="Times New Roman"/>
        </w:rPr>
        <w:t xml:space="preserve"> licgelesconti@gmail.com</w:t>
      </w:r>
    </w:p>
    <w:p w14:paraId="1DB631BE" w14:textId="7CED1D1D" w:rsidR="008473D8" w:rsidRDefault="00BA642E" w:rsidP="00134F0E">
      <w:pPr>
        <w:spacing w:after="120" w:line="240" w:lineRule="auto"/>
        <w:jc w:val="both"/>
        <w:rPr>
          <w:rFonts w:ascii="Times New Roman" w:hAnsi="Times New Roman" w:cs="Times New Roman"/>
          <w:b/>
          <w:bCs/>
          <w:lang w:val="es-ES_tradnl"/>
        </w:rPr>
      </w:pPr>
      <w:r w:rsidRPr="008473D8">
        <w:rPr>
          <w:rFonts w:ascii="Times New Roman" w:hAnsi="Times New Roman" w:cs="Times New Roman"/>
          <w:b/>
          <w:bCs/>
          <w:lang w:val="es-ES_tradnl"/>
        </w:rPr>
        <w:t>Resumen</w:t>
      </w:r>
    </w:p>
    <w:p w14:paraId="08E6BBFC" w14:textId="156D5081" w:rsidR="008473D8" w:rsidRPr="008473D8" w:rsidRDefault="008473D8" w:rsidP="00134F0E">
      <w:pPr>
        <w:spacing w:after="120" w:line="240" w:lineRule="auto"/>
        <w:jc w:val="both"/>
        <w:rPr>
          <w:rFonts w:ascii="Times New Roman" w:hAnsi="Times New Roman" w:cs="Times New Roman"/>
          <w:lang w:val="es-ES_tradnl"/>
        </w:rPr>
      </w:pPr>
      <w:r w:rsidRPr="008473D8">
        <w:rPr>
          <w:rFonts w:ascii="Times New Roman" w:hAnsi="Times New Roman" w:cs="Times New Roman"/>
          <w:lang w:val="es-ES_tradnl"/>
        </w:rPr>
        <w:t>La investigación “Prácticas Profesionales Supervisadas (PPS) como promotoras de competencias”, se orientó a analizar el papel de las PPS en la formación de competencias profesionales en los estudiantes de la Licenciatura en Kinesiología y Fisioterapia, y parte del supuesto de que las PPS son el espacio pedagógico donde las y los estudiantes logran transferir los conocimientos teóricos a la práctica real, enmarcando su actuación en valores éticos y en el trabajo interdisciplinario. El objetivo general consistió en dar cuenta de las competencias que los estudiantes desarrollan y reconocen durante las PPS. Entre los objetivos específicos, se propone describir las competencias priorizadas, identificar las promovidas por los tutores, y elaborar un Manual de Tutores de PPS que sirva como herramienta orientadora para la mejora de los procesos formativos.</w:t>
      </w:r>
    </w:p>
    <w:p w14:paraId="133D9A4C" w14:textId="77777777" w:rsidR="008473D8" w:rsidRDefault="008473D8" w:rsidP="00134F0E">
      <w:pPr>
        <w:spacing w:after="120" w:line="240" w:lineRule="auto"/>
        <w:jc w:val="both"/>
        <w:rPr>
          <w:rFonts w:ascii="Times New Roman" w:hAnsi="Times New Roman" w:cs="Times New Roman"/>
          <w:lang w:val="en-US"/>
        </w:rPr>
      </w:pPr>
      <w:r w:rsidRPr="008473D8">
        <w:rPr>
          <w:rFonts w:ascii="Times New Roman" w:hAnsi="Times New Roman" w:cs="Times New Roman"/>
          <w:lang w:val="es-ES_tradnl"/>
        </w:rPr>
        <w:t xml:space="preserve">La metodología combina un enfoque cuantitativo y cualitativo, sustentado en la triangulación de datos mediante encuestas estructuradas y entrevistas cualitativas. Las entrevistas cualitativas permitieron comprender las percepciones y experiencias, identificar dimensiones y ajustar el lenguaje del futuro cuestionario, cumpliendo una función exploratoria para el diseño y la aplicación del instrumento cuantitativo. Las encuestas se aplicaron a una muestra no probabilística de 32 estudiantes que realizaron sus PPS en instituciones de salud del Gran Mendoza, Este y Valle de </w:t>
      </w:r>
      <w:proofErr w:type="spellStart"/>
      <w:r w:rsidRPr="008473D8">
        <w:rPr>
          <w:rFonts w:ascii="Times New Roman" w:hAnsi="Times New Roman" w:cs="Times New Roman"/>
          <w:lang w:val="es-ES_tradnl"/>
        </w:rPr>
        <w:t>Uco</w:t>
      </w:r>
      <w:proofErr w:type="spellEnd"/>
      <w:r w:rsidRPr="008473D8">
        <w:rPr>
          <w:rFonts w:ascii="Times New Roman" w:hAnsi="Times New Roman" w:cs="Times New Roman"/>
          <w:lang w:val="es-ES_tradnl"/>
        </w:rPr>
        <w:t xml:space="preserve">. Indagaron percepciones sobre la adquisición de competencias clínicas, comunicativas, éticas, técnicas y cognitivas. Los resultados evidencian diferencias significativas en los niveles de apropiación de competencias. El 82% de las y los estudiantes manifestó haber fortalecido las competencias clínicas vinculadas al diagnóstico, la intervención y la </w:t>
      </w:r>
      <w:r w:rsidRPr="008473D8">
        <w:rPr>
          <w:rFonts w:ascii="Times New Roman" w:hAnsi="Times New Roman" w:cs="Times New Roman"/>
          <w:lang w:val="es-ES_tradnl"/>
        </w:rPr>
        <w:lastRenderedPageBreak/>
        <w:t>evaluación de pacientes; el 76% reconoció mejoras sustanciales en las competencias comunicativas, especialmente en la relación terapéutica y el trabajo interdisciplinario, y el 68% valoró el desarrollo de competencias éticas y de responsabilidad profesional. No obstante, las competencias técnicas y cognitivas obtuvieron los porcentajes más altos de apropiación (88% y 84% respectivamente), mientras que las competencias actitudinales —asociadas a la empatía, la autorregulación y el trabajo colaborativo— alcanzaron solo el 61%, evidenciando la necesidad de fortalecer esta dimensión en la formación profesional. El estudio demuestra que las PPS constituyen un dispositivo clave para la consolidación de competencias profesionales complejas, y revela la necesidad de equilibrar las dimensiones técnica, cognitiva y actitudinal. Los resultados obtenidos sustentan la propuesta de rediseño curricular con enfoque de competencias y la elaboración de un Manual para Tutores de PPS, orientado a fortalecer las prácticas formativas desde una perspectiva reflexiva, ética y socialmente comprometida</w:t>
      </w:r>
      <w:r w:rsidRPr="008473D8">
        <w:rPr>
          <w:rFonts w:ascii="Times New Roman" w:hAnsi="Times New Roman" w:cs="Times New Roman"/>
          <w:lang w:val="en-US"/>
        </w:rPr>
        <w:t>.</w:t>
      </w:r>
    </w:p>
    <w:p w14:paraId="4B2660E4" w14:textId="77777777" w:rsidR="008473D8" w:rsidRDefault="00BA642E" w:rsidP="00134F0E">
      <w:pPr>
        <w:spacing w:after="120"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p>
    <w:p w14:paraId="2994BAB3" w14:textId="6A55F6FE" w:rsidR="00BA642E"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Prácticas profesionales supervisadas, Competencias, Educación superior</w:t>
      </w:r>
    </w:p>
    <w:p w14:paraId="6A5547A1" w14:textId="3920B679" w:rsidR="00BA642E" w:rsidRDefault="00BA642E" w:rsidP="00134F0E">
      <w:pPr>
        <w:spacing w:after="120" w:line="240" w:lineRule="auto"/>
        <w:jc w:val="both"/>
        <w:rPr>
          <w:rFonts w:ascii="Times New Roman" w:hAnsi="Times New Roman" w:cs="Times New Roman"/>
          <w:b/>
          <w:bCs/>
        </w:rPr>
      </w:pPr>
      <w:r w:rsidRPr="007B5B5F">
        <w:rPr>
          <w:rFonts w:ascii="Times New Roman" w:hAnsi="Times New Roman" w:cs="Times New Roman"/>
          <w:b/>
          <w:bCs/>
        </w:rPr>
        <w:t>Introducción</w:t>
      </w:r>
    </w:p>
    <w:p w14:paraId="011B65B6" w14:textId="77777777" w:rsidR="00F871E8" w:rsidRDefault="00F871E8" w:rsidP="00134F0E">
      <w:pPr>
        <w:pStyle w:val="isselectedend"/>
        <w:spacing w:before="0" w:beforeAutospacing="0" w:after="120" w:afterAutospacing="0"/>
        <w:jc w:val="both"/>
      </w:pPr>
      <w:r>
        <w:t>La relación entre educación y trabajo constituye uno de los campos de estudio más relevantes de las ciencias sociales contemporáneas debido a que en ella convergen procesos económicos, políticos, culturales e institucionales que inciden directamente en las trayectorias de formación y de inserción laboral de las personas. Lejos de configurarse como una relación lineal, estable o exclusivamente funcional, se trata de un vínculo dinámico, históricamente construido y permanentemente tensionado por las transformaciones de los sistemas educativos, las demandas del mundo del trabajo, las políticas públicas y las propias expectativas de quienes transitan los procesos formativos. Comprender esta relación supone reconocer que tanto la educación como el trabajo son prácticas sociales atravesadas por disputas de sentido, intereses diversos y múltiples formas de producción de conocimiento, por lo que su articulación requiere ser analizada desde perspectivas capaces de integrar dimensiones estructurales, institucionales y subjetivas.</w:t>
      </w:r>
    </w:p>
    <w:p w14:paraId="13199BFC" w14:textId="77777777" w:rsidR="00F871E8" w:rsidRDefault="00F871E8" w:rsidP="00134F0E">
      <w:pPr>
        <w:pStyle w:val="isselectedend"/>
        <w:spacing w:before="0" w:beforeAutospacing="0" w:after="120" w:afterAutospacing="0"/>
        <w:jc w:val="both"/>
      </w:pPr>
      <w:r>
        <w:t xml:space="preserve">Durante las últimas décadas, las profundas transformaciones experimentadas por las sociedades contemporáneas han modificado significativamente los modos en que se produce, </w:t>
      </w:r>
      <w:proofErr w:type="gramStart"/>
      <w:r>
        <w:t>circula</w:t>
      </w:r>
      <w:proofErr w:type="gramEnd"/>
      <w:r>
        <w:t xml:space="preserve"> y legitima el conocimiento profesional. Los acelerados avances tecnológicos, las nuevas formas de organización del trabajo, la creciente complejidad de los problemas sociales, los cambios demográficos y epidemiológicos, así como la expansión de economías basadas en el conocimiento, han generado escenarios caracterizados por elevados niveles de incertidumbre e imprevisibilidad. En este contexto, las instituciones de educación superior enfrentan el desafío de formar profesionales capaces no solo de dominar conocimientos disciplinares sólidos, sino también de desarrollar capacidades para aprender de manera permanente, resolver problemas inéditos, trabajar colaborativamente y responder éticamente a situaciones cada vez más complejas.</w:t>
      </w:r>
    </w:p>
    <w:p w14:paraId="5881D41C" w14:textId="77777777" w:rsidR="00F871E8" w:rsidRDefault="00F871E8" w:rsidP="00134F0E">
      <w:pPr>
        <w:pStyle w:val="isselectedend"/>
        <w:spacing w:before="0" w:beforeAutospacing="0" w:after="120" w:afterAutospacing="0"/>
        <w:jc w:val="both"/>
      </w:pPr>
      <w:r>
        <w:lastRenderedPageBreak/>
        <w:t xml:space="preserve">Estas transformaciones adquieren características particulares en el contexto argentino actual, atravesado por una </w:t>
      </w:r>
      <w:proofErr w:type="spellStart"/>
      <w:r>
        <w:t>policrisis</w:t>
      </w:r>
      <w:proofErr w:type="spellEnd"/>
      <w:r>
        <w:t xml:space="preserve"> que combina procesos económicos, sociales, institucionales y políticos de elevada complejidad. La persistencia de escenarios de inestabilidad económica, las modificaciones en el rol del Estado, las transformaciones del mercado laboral, la profundización de desigualdades sociales y las tensiones en torno al acceso efectivo a derechos configuran un panorama que interpela de manera directa a las instituciones educativas y a los procesos de formación profesional. En este marco, la relación entre educación y trabajo deja de constituir únicamente un problema vinculado a la empleabilidad para convertirse en una cuestión estratégica relacionada con la formación de profesionales capaces de desenvolverse críticamente en contextos caracterizados por la incertidumbre, la diversidad y el cambio permanente.</w:t>
      </w:r>
    </w:p>
    <w:p w14:paraId="07B3190B" w14:textId="77777777" w:rsidR="00F871E8" w:rsidRDefault="00F871E8" w:rsidP="00134F0E">
      <w:pPr>
        <w:pStyle w:val="isselectedend"/>
        <w:spacing w:before="0" w:beforeAutospacing="0" w:after="120" w:afterAutospacing="0"/>
        <w:jc w:val="both"/>
      </w:pPr>
      <w:r>
        <w:t>Frente a este escenario, las universidades se encuentran convocadas a revisar permanentemente la pertinencia de sus propuestas formativas y la manera en que articulan los saberes académicos con las prácticas profesionales. Esta discusión resulta especialmente significativa en las carreras del campo de la salud, donde el ejercicio profesional implica intervenir sobre problemáticas humanas complejas, tomar decisiones en contextos de incertidumbre y desarrollar competencias técnicas, éticas, comunicacionales y relacionales que exceden ampliamente la adquisición de conocimientos teóricos. En consecuencia, la formación universitaria requiere generar dispositivos pedagógicos capaces de favorecer la integración progresiva entre teoría y práctica, promoviendo experiencias que permitan construir aprendizajes situados y desarrollar una comprensión profunda de los contextos donde posteriormente se ejercerá la profesión.</w:t>
      </w:r>
    </w:p>
    <w:p w14:paraId="7CD47523" w14:textId="77777777" w:rsidR="00F871E8" w:rsidRDefault="00F871E8" w:rsidP="00134F0E">
      <w:pPr>
        <w:pStyle w:val="isselectedend"/>
        <w:spacing w:before="0" w:beforeAutospacing="0" w:after="120" w:afterAutospacing="0"/>
        <w:jc w:val="both"/>
      </w:pPr>
      <w:r>
        <w:t>En este marco adquieren especial relevancia las Prácticas Profesionales Supervisadas (PPS), entendidas como dispositivos curriculares destinados a favorecer la aproximación progresiva de las y los estudiantes a los escenarios reales de desempeño profesional. Las PPS representan mucho más que una instancia de aplicación de contenidos previamente aprendidos; constituyen espacios de formación donde se articulan conocimientos disciplinares, habilidades prácticas, valores profesionales, procesos reflexivos y experiencias de socialización que contribuyen decisivamente a la construcción de la identidad profesional. Su potencial pedagógico radica precisamente en la posibilidad de poner en diálogo los saberes desarrollados durante la formación académica con las demandas, incertidumbres y desafíos propios de la práctica cotidiana.</w:t>
      </w:r>
    </w:p>
    <w:p w14:paraId="7D9EBE1E" w14:textId="77777777" w:rsidR="00F871E8" w:rsidRDefault="00F871E8" w:rsidP="00134F0E">
      <w:pPr>
        <w:pStyle w:val="isselectedend"/>
        <w:spacing w:before="0" w:beforeAutospacing="0" w:after="120" w:afterAutospacing="0"/>
        <w:jc w:val="both"/>
      </w:pPr>
      <w:r>
        <w:t>Particularmente en la formación de profesionales de la Kinesiología y la Fisioterapia, las PPS ocupan un lugar central dentro del currículo. La naturaleza eminentemente práctica de la disciplina hace que gran parte de las competencias necesarias para el ejercicio profesional se desarrollen en contacto directo con personas, instituciones y equipos interdisciplinarios. El aprendizaje de procedimientos técnicos, la evaluación clínica, la planificación de intervenciones terapéuticas, la comunicación con pacientes y familias, la toma de decisiones y la actuación ética requieren experiencias que solo pueden consolidarse plenamente mediante la participación activa en escenarios reales de práctica. En consecuencia, las PPS constituyen uno de los principales espacios donde las y los estudiantes comienzan a transitar el pasaje desde el rol de estudiantes hacia el de profesionales en formación.</w:t>
      </w:r>
    </w:p>
    <w:p w14:paraId="4DF06F39" w14:textId="77777777" w:rsidR="00F871E8" w:rsidRDefault="00F871E8" w:rsidP="00134F0E">
      <w:pPr>
        <w:pStyle w:val="isselectedend"/>
        <w:spacing w:before="0" w:beforeAutospacing="0" w:after="120" w:afterAutospacing="0"/>
        <w:jc w:val="both"/>
      </w:pPr>
      <w:r>
        <w:lastRenderedPageBreak/>
        <w:t>No obstante, reconocer la importancia de las prácticas no implica asumir que todas ellas producen aprendizajes equivalentes ni que sus resultados se encuentran garantizados por su sola incorporación al plan de estudios. Diversas investigaciones han mostrado que la calidad de los aprendizajes desarrollados durante las PPS depende de múltiples factores, entre ellos las características de las instituciones receptoras, las modalidades de supervisión, las oportunidades efectivas de participación, la complejidad de las experiencias ofrecidas y el acompañamiento brindado por tutores y equipos profesionales. En consecuencia, comprender el verdadero potencial formativo de las prácticas exige analizar no solo su diseño curricular, sino también las condiciones concretas en que se desarrollan.</w:t>
      </w:r>
    </w:p>
    <w:p w14:paraId="1BE7ADF5" w14:textId="77777777" w:rsidR="00F871E8" w:rsidRDefault="00F871E8" w:rsidP="00134F0E">
      <w:pPr>
        <w:pStyle w:val="isselectedend"/>
        <w:spacing w:before="0" w:beforeAutospacing="0" w:after="120" w:afterAutospacing="0"/>
        <w:jc w:val="both"/>
      </w:pPr>
      <w:r>
        <w:t>En este contexto se inscribe la presente investigación, cuyo propósito consiste en comprender cómo se configuran, jerarquizan y apropian las competencias profesionales durante las Prácticas Profesionales Supervisadas en estudiantes de la carrera de Kinesiología y Fisioterapia. Más específicamente, el estudio procura analizar de qué manera las experiencias desarrolladas en escenarios reales de trabajo favorecen —o limitan— la construcción de competencias profesionales, la articulación entre teoría y práctica y el desarrollo progresivo de la identidad profesional.</w:t>
      </w:r>
    </w:p>
    <w:p w14:paraId="22095816" w14:textId="77777777" w:rsidR="00F871E8" w:rsidRDefault="00F871E8" w:rsidP="00134F0E">
      <w:pPr>
        <w:pStyle w:val="isselectedend"/>
        <w:spacing w:before="0" w:beforeAutospacing="0" w:after="120" w:afterAutospacing="0"/>
        <w:jc w:val="both"/>
      </w:pPr>
      <w:r>
        <w:t>El problema de investigación se expresa mediante el siguiente interrogante: ¿cómo se configuran, jerarquizan y apropian las competencias profesionales en estudiantes de Kinesiología durante las Prácticas Profesionales Supervisadas, en el marco de la relación educación–trabajo?</w:t>
      </w:r>
    </w:p>
    <w:p w14:paraId="5B8513CA" w14:textId="77777777" w:rsidR="00F871E8" w:rsidRDefault="00F871E8" w:rsidP="00134F0E">
      <w:pPr>
        <w:pStyle w:val="isselectedend"/>
        <w:spacing w:before="0" w:beforeAutospacing="0" w:after="120" w:afterAutospacing="0"/>
        <w:jc w:val="both"/>
      </w:pPr>
      <w:r>
        <w:t>Este interrogante no surge únicamente de una inquietud académica, sino también de una preocupación institucional vinculada con la calidad de la formación universitaria. En un contexto donde los perfiles de egreso enfatizan el desarrollo de competencias complejas, pensamiento crítico, trabajo interdisciplinario y compromiso ético, resulta pertinente analizar hasta qué punto las experiencias de práctica efectivamente favorecen dichos aprendizajes y cuáles son las tensiones que emergen entre las intenciones curriculares y las experiencias concretas vividas por las y los estudiantes.</w:t>
      </w:r>
    </w:p>
    <w:p w14:paraId="1B551762" w14:textId="77777777" w:rsidR="00F871E8" w:rsidRDefault="00F871E8" w:rsidP="00134F0E">
      <w:pPr>
        <w:pStyle w:val="isselectedend"/>
        <w:spacing w:before="0" w:beforeAutospacing="0" w:after="120" w:afterAutospacing="0"/>
        <w:jc w:val="both"/>
      </w:pPr>
      <w:r>
        <w:t>Desde esta perspectiva, el estudio se distancia de aquellas concepciones que reducen la relación entre educación y trabajo a una lógica exclusivamente adaptativa respecto de las necesidades del mercado laboral. Por el contrario, se parte del supuesto de que la formación profesional constituye un proceso complejo de construcción de saberes, identidades y capacidades críticas que trascienden ampliamente la mera adquisición de destrezas técnicas. En este sentido, la universidad no solo forma para desempeñar una profesión, sino también para comprender críticamente los contextos donde dicha profesión se ejerce y contribuir a su transformación.</w:t>
      </w:r>
    </w:p>
    <w:p w14:paraId="2A6ECCC4" w14:textId="77777777" w:rsidR="00F871E8" w:rsidRDefault="00F871E8" w:rsidP="00134F0E">
      <w:pPr>
        <w:pStyle w:val="isselectedend"/>
        <w:spacing w:before="0" w:beforeAutospacing="0" w:after="120" w:afterAutospacing="0"/>
        <w:jc w:val="both"/>
      </w:pPr>
      <w:r>
        <w:t xml:space="preserve">El marco teórico que orienta esta investigación recupera diversos aportes provenientes del campo de los estudios sobre educación, trabajo y formación profesional. En particular, se asume la perspectiva desarrollada por Claude </w:t>
      </w:r>
      <w:proofErr w:type="spellStart"/>
      <w:r>
        <w:t>Dubar</w:t>
      </w:r>
      <w:proofErr w:type="spellEnd"/>
      <w:r>
        <w:t xml:space="preserve"> (2001), quien plantea que las identidades profesionales no son atributos previamente definidos, sino construcciones sociales que se elaboran mediante procesos continuos de socialización e interacción. Desde este enfoque, las Prácticas Profesionales Supervisadas constituyen espacios privilegiados donde las y los estudiantes comienzan a reconocerse como integrantes de </w:t>
      </w:r>
      <w:r>
        <w:lastRenderedPageBreak/>
        <w:t>una comunidad profesional, apropiándose progresivamente de sus valores, lenguajes y formas de actuación.</w:t>
      </w:r>
    </w:p>
    <w:p w14:paraId="77B23D96" w14:textId="77777777" w:rsidR="00F871E8" w:rsidRDefault="00F871E8" w:rsidP="00134F0E">
      <w:pPr>
        <w:pStyle w:val="isselectedend"/>
        <w:spacing w:before="0" w:beforeAutospacing="0" w:after="120" w:afterAutospacing="0"/>
        <w:jc w:val="both"/>
      </w:pPr>
      <w:r>
        <w:t xml:space="preserve">Asimismo, los aportes de Stephen </w:t>
      </w:r>
      <w:proofErr w:type="spellStart"/>
      <w:r>
        <w:t>Billett</w:t>
      </w:r>
      <w:proofErr w:type="spellEnd"/>
      <w:r>
        <w:t xml:space="preserve"> permiten comprender que el aprendizaje profesional se desarrolla fundamentalmente mediante la participación activa en prácticas sociales situadas. El autor sostiene que el aprendizaje en el trabajo constituye uno de los principales mecanismos de construcción del conocimiento profesional, ya que las personas aprenden interactuando con problemas reales, observando a profesionales experimentados, participando progresivamente en actividades complejas y reflexionando sobre sus propias intervenciones. Desde esta perspectiva, las PPS representan auténticas comunidades de práctica donde el conocimiento no se transmite de manera unidireccional, sino que se construye colectivamente mediante la experiencia compartida.</w:t>
      </w:r>
    </w:p>
    <w:p w14:paraId="0BF1A127" w14:textId="77777777" w:rsidR="00F871E8" w:rsidRDefault="00F871E8" w:rsidP="00134F0E">
      <w:pPr>
        <w:pStyle w:val="isselectedend"/>
        <w:spacing w:before="0" w:beforeAutospacing="0" w:after="120" w:afterAutospacing="0"/>
        <w:jc w:val="both"/>
      </w:pPr>
      <w:r>
        <w:t>Complementariamente, las contribuciones de Ronald Barnett, Lucie Tanguy, Claudia Jacinto y María de Ibarrola permiten comprender que la formación profesional se encuentra atravesada por múltiples tensiones derivadas de las relaciones entre universidad, trabajo, políticas públicas y organización social. Estas perspectivas coinciden en señalar que la formación basada en competencias no puede reducirse a una preparación técnica para responder a demandas productivas, sino que debe promover capacidades para interpretar críticamente los problemas, actuar responsablemente y desenvolverse en contextos caracterizados por la incertidumbre.</w:t>
      </w:r>
    </w:p>
    <w:p w14:paraId="4FBFF9CF" w14:textId="77777777" w:rsidR="00F871E8" w:rsidRDefault="00F871E8" w:rsidP="00134F0E">
      <w:pPr>
        <w:pStyle w:val="isselectedend"/>
        <w:spacing w:before="0" w:beforeAutospacing="0" w:after="120" w:afterAutospacing="0"/>
        <w:jc w:val="both"/>
      </w:pPr>
      <w:r>
        <w:t>Desde el punto de vista académico, esta investigación busca contribuir al campo de estudios sobre educación superior y formación profesional mediante el análisis situado de un dispositivo curricular que ocupa un lugar estratégico dentro de las carreras del área de la salud. Al mismo tiempo, procura aportar evidencia empírica que permita fortalecer los procesos de diseño, implementación y evaluación de las Prácticas Profesionales Supervisadas, ofreciendo elementos para la mejora continua de los dispositivos institucionales de formación.</w:t>
      </w:r>
    </w:p>
    <w:p w14:paraId="12DF4D39" w14:textId="00FF2A2B" w:rsidR="00F871E8" w:rsidRDefault="00134F0E" w:rsidP="00134F0E">
      <w:pPr>
        <w:pStyle w:val="NormalWeb"/>
        <w:spacing w:before="0" w:beforeAutospacing="0" w:after="120" w:afterAutospacing="0"/>
        <w:jc w:val="both"/>
      </w:pPr>
      <w:r>
        <w:t>Es</w:t>
      </w:r>
      <w:r w:rsidR="00F871E8">
        <w:t xml:space="preserve">te trabajo se propone contribuir a una comprensión más amplia de la relación entre educación y trabajo en contextos de </w:t>
      </w:r>
      <w:proofErr w:type="spellStart"/>
      <w:r w:rsidR="00F871E8">
        <w:t>policrisis</w:t>
      </w:r>
      <w:proofErr w:type="spellEnd"/>
      <w:r w:rsidR="00F871E8">
        <w:t>, reconociendo que la calidad de la formación profesional no depende exclusivamente del diseño curricular, sino también de las experiencias concretas que las y los estudiantes construyen durante sus trayectorias formativas. Analizar las PPS desde esta perspectiva implica reconocerlas como escenarios privilegiados donde convergen procesos de aprendizaje, construcción identitaria, socialización profesional y desarrollo de competencias, cuyo fortalecimiento resulta fundamental para la formación de profesionales capaces de responder con solvencia técnica, compromiso ético y sensibilidad social a los desafíos contemporáneos.</w:t>
      </w:r>
    </w:p>
    <w:p w14:paraId="2FD138AD" w14:textId="64BAC3F4" w:rsidR="005F3B2E" w:rsidRDefault="005F3B2E" w:rsidP="00134F0E">
      <w:pPr>
        <w:spacing w:after="120" w:line="240" w:lineRule="auto"/>
        <w:jc w:val="both"/>
        <w:rPr>
          <w:rFonts w:ascii="Times New Roman" w:hAnsi="Times New Roman" w:cs="Times New Roman"/>
          <w:b/>
          <w:bCs/>
        </w:rPr>
      </w:pPr>
      <w:r w:rsidRPr="007B5B5F">
        <w:rPr>
          <w:rFonts w:ascii="Times New Roman" w:hAnsi="Times New Roman" w:cs="Times New Roman"/>
          <w:b/>
          <w:bCs/>
        </w:rPr>
        <w:t>Desarrollo</w:t>
      </w:r>
    </w:p>
    <w:p w14:paraId="227B8AE4" w14:textId="242F6348" w:rsidR="008473D8" w:rsidRPr="00A74B1B" w:rsidRDefault="008473D8" w:rsidP="00134F0E">
      <w:pPr>
        <w:spacing w:after="120" w:line="240" w:lineRule="auto"/>
        <w:jc w:val="both"/>
        <w:rPr>
          <w:rFonts w:ascii="Times New Roman" w:hAnsi="Times New Roman" w:cs="Times New Roman"/>
          <w:b/>
          <w:bCs/>
        </w:rPr>
      </w:pPr>
      <w:r w:rsidRPr="00A74B1B">
        <w:rPr>
          <w:rFonts w:ascii="Times New Roman" w:hAnsi="Times New Roman" w:cs="Times New Roman"/>
          <w:b/>
          <w:bCs/>
        </w:rPr>
        <w:t>Aspectos teórico-metodológicos</w:t>
      </w:r>
    </w:p>
    <w:p w14:paraId="788C132F"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El estudio se inscribe en una postura epistemológica interpretativa–constructivista, que concibe la realidad social como una construcción intersubjetiva mediada por prácticas, discursos y contextos. Desde esta perspectiva, las competencias no son atributos individuales estáticos, sino configuraciones dinámicas que emergen en la interacción entre sujetos, saberes y situaciones.</w:t>
      </w:r>
    </w:p>
    <w:p w14:paraId="30C8E16B" w14:textId="77777777" w:rsidR="008473D8" w:rsidRPr="008473D8" w:rsidRDefault="008473D8" w:rsidP="00134F0E">
      <w:pPr>
        <w:spacing w:after="120" w:line="240" w:lineRule="auto"/>
        <w:jc w:val="both"/>
        <w:rPr>
          <w:rFonts w:ascii="Times New Roman" w:hAnsi="Times New Roman" w:cs="Times New Roman"/>
        </w:rPr>
      </w:pPr>
      <w:proofErr w:type="spellStart"/>
      <w:r w:rsidRPr="008473D8">
        <w:rPr>
          <w:rFonts w:ascii="Times New Roman" w:hAnsi="Times New Roman" w:cs="Times New Roman"/>
        </w:rPr>
        <w:lastRenderedPageBreak/>
        <w:t>Dubar</w:t>
      </w:r>
      <w:proofErr w:type="spellEnd"/>
      <w:r w:rsidRPr="008473D8">
        <w:rPr>
          <w:rFonts w:ascii="Times New Roman" w:hAnsi="Times New Roman" w:cs="Times New Roman"/>
        </w:rPr>
        <w:t xml:space="preserve"> (2001) sostiene que “la socialización profesional articula trayectorias individuales y estructuras sociales” (p. 123), lo cual permite comprender la formación como un proceso de construcción identitaria. En este sentido, las PPS constituyen un espacio privilegiado para observar cómo los estudiantes construyen significados sobre su futura profesión, articulando sus trayectorias personales con las condiciones institucionales en las que se insertan.</w:t>
      </w:r>
    </w:p>
    <w:p w14:paraId="257C9CB7"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Desde el punto de vista paradigmático, el estudio se ubica en el paradigma cualitativo, con una estrategia de integración metodológica que incorpora herramientas cuantitativas. Esta decisión responde a la necesidad de captar la complejidad de los procesos de apropiación de competencias, los cuales involucran dimensiones cognitivas, prácticas y simbólicas.</w:t>
      </w:r>
    </w:p>
    <w:p w14:paraId="3894DFF6"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 xml:space="preserve">Como señala </w:t>
      </w:r>
      <w:proofErr w:type="spellStart"/>
      <w:r w:rsidRPr="008473D8">
        <w:rPr>
          <w:rFonts w:ascii="Times New Roman" w:hAnsi="Times New Roman" w:cs="Times New Roman"/>
        </w:rPr>
        <w:t>Billett</w:t>
      </w:r>
      <w:proofErr w:type="spellEnd"/>
      <w:r w:rsidRPr="008473D8">
        <w:rPr>
          <w:rFonts w:ascii="Times New Roman" w:hAnsi="Times New Roman" w:cs="Times New Roman"/>
        </w:rPr>
        <w:t xml:space="preserve"> (2011), “las experiencias de aprendizaje son siempre situadas y socialmente mediadas” (p. 24), lo cual justifica el uso de metodologías que recuperen la perspectiva de los actores. En este sentido, la investigación busca comprender no solo qué competencias se adquieren, sino también cómo los estudiantes interpretan y resignifican sus experiencias en las PPS.</w:t>
      </w:r>
    </w:p>
    <w:p w14:paraId="4260C525"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El estudio se define como una investigación descriptivo–interpretativa, orientada a describir las competencias que los estudiantes reconocen como adquiridas durante las PPS y a interpretar los procesos mediante los cuales dichas competencias se construyen en contextos de práctica.</w:t>
      </w:r>
    </w:p>
    <w:p w14:paraId="1578020C"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El diseño de la investigación contempla la triangulación de datos, estrategia ampliamente utilizada en investigaciones educativas para fortalecer la validez de los resultados mediante la integración de diferentes fuentes y técnicas de producción de datos (Denzin, 2012).</w:t>
      </w:r>
    </w:p>
    <w:p w14:paraId="37F34586"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En una primera etapa exploratoria se realizaron entrevistas cualitativas a estudiantes que habían participado recientemente en las Prácticas Profesionales Supervisadas. Estas entrevistas tuvieron como objetivo comprender las experiencias formativas de los participantes, identificar dimensiones relevantes del proceso de aprendizaje en contextos de práctica y ajustar el lenguaje conceptual utilizado en el instrumento cuantitativo posterior. En total se realizaron cinco entrevistas en profundidad.</w:t>
      </w:r>
    </w:p>
    <w:p w14:paraId="0ABF043E"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Las entrevistas cumplieron una función fundamental en el diseño del cuestionario, ya que permitieron reconocer categorías emergentes vinculadas con el desarrollo de competencias clínicas, comunicativas, éticas y actitudinales, así como con las dinámicas de interacción entre estudiantes, pacientes, profesionales y tutores.</w:t>
      </w:r>
    </w:p>
    <w:p w14:paraId="5D127AD7"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 xml:space="preserve">En una segunda etapa se aplicó una encuesta estructurada a una muestra no probabilística de 32 estudiantes que realizaron sus Prácticas </w:t>
      </w:r>
      <w:proofErr w:type="spellStart"/>
      <w:r w:rsidRPr="008473D8">
        <w:rPr>
          <w:rFonts w:ascii="Times New Roman" w:hAnsi="Times New Roman" w:cs="Times New Roman"/>
        </w:rPr>
        <w:t>Profesales</w:t>
      </w:r>
      <w:proofErr w:type="spellEnd"/>
      <w:r w:rsidRPr="008473D8">
        <w:rPr>
          <w:rFonts w:ascii="Times New Roman" w:hAnsi="Times New Roman" w:cs="Times New Roman"/>
        </w:rPr>
        <w:t xml:space="preserve"> Supervisadas en instituciones de salud ubicadas en el Gran Mendoza, la Sede Este y el Valle de </w:t>
      </w:r>
      <w:proofErr w:type="spellStart"/>
      <w:r w:rsidRPr="008473D8">
        <w:rPr>
          <w:rFonts w:ascii="Times New Roman" w:hAnsi="Times New Roman" w:cs="Times New Roman"/>
        </w:rPr>
        <w:t>Uco</w:t>
      </w:r>
      <w:proofErr w:type="spellEnd"/>
      <w:r w:rsidRPr="008473D8">
        <w:rPr>
          <w:rFonts w:ascii="Times New Roman" w:hAnsi="Times New Roman" w:cs="Times New Roman"/>
        </w:rPr>
        <w:t>.</w:t>
      </w:r>
    </w:p>
    <w:p w14:paraId="28FF6C6A"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El cuestionario se diseñó utilizando escalas tipo Likert orientadas a medir la percepción de los estudiantes respecto de la adquisición y fortalecimiento de distintas competencias profesionales. Las dimensiones analizadas incluyeron:</w:t>
      </w:r>
    </w:p>
    <w:p w14:paraId="69EEDDF8"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w:t>
      </w:r>
      <w:r w:rsidRPr="008473D8">
        <w:rPr>
          <w:rFonts w:ascii="Times New Roman" w:hAnsi="Times New Roman" w:cs="Times New Roman"/>
        </w:rPr>
        <w:tab/>
        <w:t>competencias clínicas</w:t>
      </w:r>
    </w:p>
    <w:p w14:paraId="0BC66D88"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lastRenderedPageBreak/>
        <w:t>•</w:t>
      </w:r>
      <w:r w:rsidRPr="008473D8">
        <w:rPr>
          <w:rFonts w:ascii="Times New Roman" w:hAnsi="Times New Roman" w:cs="Times New Roman"/>
        </w:rPr>
        <w:tab/>
        <w:t>competencias técnicas</w:t>
      </w:r>
    </w:p>
    <w:p w14:paraId="5664A63D"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w:t>
      </w:r>
      <w:r w:rsidRPr="008473D8">
        <w:rPr>
          <w:rFonts w:ascii="Times New Roman" w:hAnsi="Times New Roman" w:cs="Times New Roman"/>
        </w:rPr>
        <w:tab/>
        <w:t>competencias cognitivas</w:t>
      </w:r>
    </w:p>
    <w:p w14:paraId="6E4A55F6"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w:t>
      </w:r>
      <w:r w:rsidRPr="008473D8">
        <w:rPr>
          <w:rFonts w:ascii="Times New Roman" w:hAnsi="Times New Roman" w:cs="Times New Roman"/>
        </w:rPr>
        <w:tab/>
        <w:t>competencias comunicativas</w:t>
      </w:r>
    </w:p>
    <w:p w14:paraId="34D0BC79"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w:t>
      </w:r>
      <w:r w:rsidRPr="008473D8">
        <w:rPr>
          <w:rFonts w:ascii="Times New Roman" w:hAnsi="Times New Roman" w:cs="Times New Roman"/>
        </w:rPr>
        <w:tab/>
        <w:t>competencias éticas</w:t>
      </w:r>
    </w:p>
    <w:p w14:paraId="46DB3C68"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w:t>
      </w:r>
      <w:r w:rsidRPr="008473D8">
        <w:rPr>
          <w:rFonts w:ascii="Times New Roman" w:hAnsi="Times New Roman" w:cs="Times New Roman"/>
        </w:rPr>
        <w:tab/>
        <w:t>competencias actitudinales</w:t>
      </w:r>
    </w:p>
    <w:p w14:paraId="63A94270"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Los datos cuantitativos fueron analizados mediante procedimientos de estadística descriptiva, lo que permitió identificar tendencias generales en la percepción de los estudiantes respecto de su proceso de formación durante las prácticas.</w:t>
      </w:r>
    </w:p>
    <w:p w14:paraId="6F66A8AA"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Por su parte, el análisis de las entrevistas cualitativas se orientó a identificar dimensiones interpretativas que permitieran comprender con mayor profundidad los procesos de aprendizaje situados en los contextos de práctica. Este análisis se realizó a partir de una lectura temática orientada a reconocer patrones discursivos vinculados con las experiencias de formación profesional.</w:t>
      </w:r>
    </w:p>
    <w:p w14:paraId="506163C3"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 xml:space="preserve">Desde el punto de vista conceptual, el estudio se sustenta en los aportes de la teoría de las competencias profesionales y de la formación situada. En este marco, se entiende que las competencias profesionales implican la capacidad de movilizar saberes diversos en contextos de acción, integrando conocimientos, habilidades y actitudes en situaciones concretas de intervención (Le </w:t>
      </w:r>
      <w:proofErr w:type="spellStart"/>
      <w:r w:rsidRPr="008473D8">
        <w:rPr>
          <w:rFonts w:ascii="Times New Roman" w:hAnsi="Times New Roman" w:cs="Times New Roman"/>
        </w:rPr>
        <w:t>Boterf</w:t>
      </w:r>
      <w:proofErr w:type="spellEnd"/>
      <w:r w:rsidRPr="008473D8">
        <w:rPr>
          <w:rFonts w:ascii="Times New Roman" w:hAnsi="Times New Roman" w:cs="Times New Roman"/>
        </w:rPr>
        <w:t>, 2001; Tobón, 2013).</w:t>
      </w:r>
    </w:p>
    <w:p w14:paraId="433D2028"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Asimismo, la investigación se apoya en perspectivas pedagógicas que destacan la importancia del aprendizaje situado y de las experiencias prácticas en la formación profesional. Desde este enfoque, el aprendizaje se concibe como un proceso que se desarrolla en interacción con contextos reales de práctica, donde los estudiantes construyen progresivamente su identidad profesional a través de la participación en comunidades de práctica (Lave &amp; Wenger, 1991).</w:t>
      </w:r>
    </w:p>
    <w:p w14:paraId="1B078316"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El análisis se estructura en torno a categorías clave del campo educación–trabajo.</w:t>
      </w:r>
    </w:p>
    <w:p w14:paraId="0A3CB3B2"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 xml:space="preserve">En primer lugar, el concepto de competencia profesional, entendido como la capacidad de movilizar saberes en situaciones concretas. Le </w:t>
      </w:r>
      <w:proofErr w:type="spellStart"/>
      <w:r w:rsidRPr="008473D8">
        <w:rPr>
          <w:rFonts w:ascii="Times New Roman" w:hAnsi="Times New Roman" w:cs="Times New Roman"/>
        </w:rPr>
        <w:t>Boterf</w:t>
      </w:r>
      <w:proofErr w:type="spellEnd"/>
      <w:r w:rsidRPr="008473D8">
        <w:rPr>
          <w:rFonts w:ascii="Times New Roman" w:hAnsi="Times New Roman" w:cs="Times New Roman"/>
        </w:rPr>
        <w:t xml:space="preserve"> (2001) señala que “la competencia no reside en los recursos, sino en la capacidad de movilizarlos en situación” (p. 57), lo que implica una concepción contextualizada del conocimiento profesional.</w:t>
      </w:r>
    </w:p>
    <w:p w14:paraId="55C658D4"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 xml:space="preserve">En segundo lugar, el aprendizaje situado, que reconoce que el conocimiento se construye en la práctica. </w:t>
      </w:r>
      <w:proofErr w:type="spellStart"/>
      <w:r w:rsidRPr="008473D8">
        <w:rPr>
          <w:rFonts w:ascii="Times New Roman" w:hAnsi="Times New Roman" w:cs="Times New Roman"/>
        </w:rPr>
        <w:t>Billett</w:t>
      </w:r>
      <w:proofErr w:type="spellEnd"/>
      <w:r w:rsidRPr="008473D8">
        <w:rPr>
          <w:rFonts w:ascii="Times New Roman" w:hAnsi="Times New Roman" w:cs="Times New Roman"/>
        </w:rPr>
        <w:t xml:space="preserve"> (2011) sostiene que “el conocimiento se construye en la práctica y a través de la participación” (p. 35), destacando la importancia de los entornos reales en la formación profesional.</w:t>
      </w:r>
    </w:p>
    <w:p w14:paraId="354A9A74"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En tercer lugar, las trayectorias formativas, entendidas como procesos no lineales. Jacinto (2010) afirma que “las trayectorias no son lineales, sino el resultado de múltiples mediaciones sociales” (p. 48), lo que permite analizar la diversidad de experiencias estudiantiles.</w:t>
      </w:r>
    </w:p>
    <w:p w14:paraId="0A141B07"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 xml:space="preserve">Finalmente, la relación educación–trabajo es abordada como un campo de tensiones. Gallart (2008) plantea que “la formación para el trabajo debe analizarse en relación con </w:t>
      </w:r>
      <w:r w:rsidRPr="008473D8">
        <w:rPr>
          <w:rFonts w:ascii="Times New Roman" w:hAnsi="Times New Roman" w:cs="Times New Roman"/>
        </w:rPr>
        <w:lastRenderedPageBreak/>
        <w:t>las demandas productivas y las condiciones sociales” (p. 22), mientras que De Ibarrola (2004) advierte que “la educación no garantiza por sí misma la inserción laboral” (p. 67).</w:t>
      </w:r>
    </w:p>
    <w:p w14:paraId="405D8893" w14:textId="77777777" w:rsidR="008473D8" w:rsidRPr="008473D8" w:rsidRDefault="008473D8" w:rsidP="00134F0E">
      <w:pPr>
        <w:spacing w:after="120" w:line="240" w:lineRule="auto"/>
        <w:jc w:val="both"/>
        <w:rPr>
          <w:rFonts w:ascii="Times New Roman" w:hAnsi="Times New Roman" w:cs="Times New Roman"/>
        </w:rPr>
      </w:pPr>
      <w:r w:rsidRPr="008473D8">
        <w:rPr>
          <w:rFonts w:ascii="Times New Roman" w:hAnsi="Times New Roman" w:cs="Times New Roman"/>
        </w:rPr>
        <w:t>El estudio se basa en entrevistas en profundidad a estudiantes en PPS y en la aplicación de encuestas estructuradas diseñadas y validadas por el equipo de investigación. El análisis se realiza mediante codificación temática, combinando una lógica inductiva con una deductiva.</w:t>
      </w:r>
    </w:p>
    <w:p w14:paraId="5F4D4F9C" w14:textId="512BBAD6" w:rsidR="008473D8" w:rsidRPr="00A74B1B" w:rsidRDefault="008473D8" w:rsidP="00134F0E">
      <w:pPr>
        <w:spacing w:after="120" w:line="240" w:lineRule="auto"/>
        <w:jc w:val="both"/>
        <w:rPr>
          <w:rFonts w:ascii="Times New Roman" w:hAnsi="Times New Roman" w:cs="Times New Roman"/>
          <w:b/>
          <w:bCs/>
        </w:rPr>
      </w:pPr>
      <w:bookmarkStart w:id="0" w:name="_Hlk233641825"/>
      <w:r w:rsidRPr="00A74B1B">
        <w:rPr>
          <w:rFonts w:ascii="Times New Roman" w:hAnsi="Times New Roman" w:cs="Times New Roman"/>
          <w:b/>
          <w:bCs/>
        </w:rPr>
        <w:t>Hallazgos</w:t>
      </w:r>
    </w:p>
    <w:bookmarkEnd w:id="0"/>
    <w:p w14:paraId="29ADA01E"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Los resultados obtenidos permiten afirmar que las Prácticas Profesionales Supervisadas (PPS) constituyen uno de los espacios de mayor densidad formativa dentro de la trayectoria universitaria de las y los estudiantes. Lejos de representar únicamente una instancia de aplicación de contenidos previamente adquiridos, las prácticas emergen como un dispositivo pedagógico complejo en el que convergen procesos de aprendizaje, socialización profesional, construcción identitaria y apropiación progresiva de los saberes propios del campo disciplinar. En este sentido, los testimonios analizados muestran que la experiencia desarrollada en escenarios reales de trabajo posibilita formas de aprendizaje que difícilmente podrían alcanzarse exclusivamente mediante propuestas áulicas, ya que enfrentan a las y los estudiantes con problemas auténticos, situaciones inciertas y decisiones que requieren integrar conocimientos, habilidades, actitudes y criterios profesionales.</w:t>
      </w:r>
    </w:p>
    <w:p w14:paraId="04E45B72"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Esta constatación permite comprender que el valor formativo de las PPS no reside solamente en el contacto con el ámbito laboral, sino en la posibilidad de participar activamente en comunidades de práctica donde el conocimiento se construye a partir de la interacción entre la teoría, la experiencia y la reflexión sobre la propia acción. Desde esta perspectiva, el tradicional principio del "aprender haciendo" adquiere una profundidad mucho mayor que la de una simple estrategia metodológica. Se configura como un verdadero principio epistemológico que reconoce que el conocimiento profesional no puede entenderse como un conjunto acabado de contenidos transferibles, sino como un saber situado que se desarrolla en la resolución de problemas concretos y en la participación progresiva dentro de un determinado contexto profesional.</w:t>
      </w:r>
    </w:p>
    <w:p w14:paraId="4794CEE6"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 xml:space="preserve">En este sentido, los hallazgos dialogan de manera consistente con los planteamientos de Stephen </w:t>
      </w:r>
      <w:proofErr w:type="spellStart"/>
      <w:r w:rsidRPr="00C73702">
        <w:rPr>
          <w:rFonts w:ascii="Times New Roman" w:eastAsia="Times New Roman" w:hAnsi="Times New Roman" w:cs="Times New Roman"/>
          <w:kern w:val="0"/>
          <w:lang w:val="es-AR" w:eastAsia="es-AR"/>
          <w14:ligatures w14:val="none"/>
        </w:rPr>
        <w:t>Billett</w:t>
      </w:r>
      <w:proofErr w:type="spellEnd"/>
      <w:r w:rsidRPr="00C73702">
        <w:rPr>
          <w:rFonts w:ascii="Times New Roman" w:eastAsia="Times New Roman" w:hAnsi="Times New Roman" w:cs="Times New Roman"/>
          <w:kern w:val="0"/>
          <w:lang w:val="es-AR" w:eastAsia="es-AR"/>
          <w14:ligatures w14:val="none"/>
        </w:rPr>
        <w:t xml:space="preserve"> (2001), quien sostiene que el aprendizaje en el trabajo constituye un proceso de participación social en el que las personas construyen conocimiento mediante la actividad misma, negociando significados con otros actores y resignificando permanentemente sus experiencias. Las narrativas recogidas durante la investigación reflejan precisamente esta dinámica, ya que las y los estudiantes describen cómo los aprendizajes más significativos surgen frente a situaciones inesperadas, al contacto con pacientes, usuarios, equipos interdisciplinarios y profesionales experimentados, más que de la mera reproducción de procedimientos previamente aprendidos.</w:t>
      </w:r>
    </w:p>
    <w:p w14:paraId="32D22705"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 xml:space="preserve">No obstante, el análisis evidencia que este proceso formativo dista de desarrollarse de manera uniforme. Una de las dimensiones que emerge con mayor claridad es la existencia de una jerarquización diferencial de competencias dentro de las experiencias de práctica. Las habilidades técnicas aparecen sistemáticamente como aquellas más visibles, más </w:t>
      </w:r>
      <w:r w:rsidRPr="00C73702">
        <w:rPr>
          <w:rFonts w:ascii="Times New Roman" w:eastAsia="Times New Roman" w:hAnsi="Times New Roman" w:cs="Times New Roman"/>
          <w:kern w:val="0"/>
          <w:lang w:val="es-AR" w:eastAsia="es-AR"/>
          <w14:ligatures w14:val="none"/>
        </w:rPr>
        <w:lastRenderedPageBreak/>
        <w:t>evaluadas y, en consecuencia, más valoradas tanto por estudiantes como por algunos ámbitos de práctica. La correcta ejecución de procedimientos, el dominio instrumental y la resolución eficiente de tareas concretas ocupan un lugar central en la valoración de los desempeños.</w:t>
      </w:r>
    </w:p>
    <w:p w14:paraId="432FC003"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En contraste, las competencias transversales —como la comunicación interpersonal, el trabajo colaborativo, la toma de decisiones éticas, la capacidad de análisis, la reflexión crítica o la gestión emocional— aparecen menos explicitadas, menos acompañadas y, en ocasiones, relegadas a un segundo plano. Sin embargo, los propios relatos muestran que estas dimensiones atraviesan permanentemente la práctica cotidiana y resultan indispensables para el ejercicio profesional. Esto pone de manifiesto una aparente contradicción entre aquello que efectivamente sostiene el desempeño profesional y aquello que institucionalmente recibe mayor reconocimiento durante las prácticas.</w:t>
      </w:r>
    </w:p>
    <w:p w14:paraId="19E5FAB9"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Esta situación puede interpretarse a la luz de las reflexiones de Lucie Tanguy (2001), quien advierte que las transformaciones contemporáneas del trabajo tienden a privilegiar aquellas competencias consideradas inmediatamente productivas o funcionales para el desempeño laboral. Desde esta perspectiva, las instituciones donde se desarrollan las PPS no permanecen ajenas a dichas lógicas organizacionales, reproduciendo en muchos casos criterios de valoración centrados en la eficacia operativa por sobre otras dimensiones igualmente relevantes para el desarrollo profesional integral.</w:t>
      </w:r>
    </w:p>
    <w:p w14:paraId="26D05790"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Los resultados sugieren, entonces, que las PPS constituyen un escenario donde conviven dos racionalidades formativas. Por un lado, una lógica instrumental orientada al dominio técnico y al cumplimiento eficiente de procedimientos; por otro, una lógica formativa más amplia que busca promover profesionales capaces de interpretar críticamente las situaciones, actuar éticamente, comunicarse de manera efectiva y adaptarse a escenarios cambiantes. La coexistencia de ambas racionalidades no necesariamente implica una contradicción irreconciliable, pero sí evidencia la necesidad de fortalecer estrategias institucionales que permitan equilibrarlas.</w:t>
      </w:r>
    </w:p>
    <w:p w14:paraId="21BBE650"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En esta línea, los hallazgos permiten identificar una tensión entre los perfiles de egreso definidos por las instituciones universitarias y las experiencias efectivamente vividas durante las prácticas. Mientras los documentos curriculares suelen proponer la formación de profesionales integrales, reflexivos, autónomos y comprometidos socialmente, las condiciones concretas de implementación de las PPS no siempre favorecen el desarrollo equilibrado de todas estas dimensiones.</w:t>
      </w:r>
    </w:p>
    <w:p w14:paraId="407F4AFA"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Esta tensión adquiere particular relevancia si se considera la perspectiva desarrollada por Ronald Barnett (2001), quien sostiene que la educación superior contemporánea debe preparar a las personas para desenvolverse en escenarios caracterizados por la incertidumbre, la complejidad y el cambio permanente. Desde este enfoque, la formación profesional no debería limitarse a enseñar procedimientos técnicamente correctos, sino promover capacidades para interpretar situaciones inéditas, tomar decisiones fundamentadas y actuar críticamente frente a problemas complejos.</w:t>
      </w:r>
    </w:p>
    <w:p w14:paraId="6E6C3056"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 xml:space="preserve">Los resultados obtenidos indican que, si bien las PPS ofrecen numerosas oportunidades para desarrollar estas capacidades, su potencial depende significativamente de las </w:t>
      </w:r>
      <w:r w:rsidRPr="00C73702">
        <w:rPr>
          <w:rFonts w:ascii="Times New Roman" w:eastAsia="Times New Roman" w:hAnsi="Times New Roman" w:cs="Times New Roman"/>
          <w:kern w:val="0"/>
          <w:lang w:val="es-AR" w:eastAsia="es-AR"/>
          <w14:ligatures w14:val="none"/>
        </w:rPr>
        <w:lastRenderedPageBreak/>
        <w:t>condiciones institucionales donde se desarrollan. Precisamente, otra categoría relevante que emerge del análisis refiere a la influencia decisiva de los contextos de práctica sobre la calidad de los aprendizajes construidos.</w:t>
      </w:r>
    </w:p>
    <w:p w14:paraId="47873313"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Las experiencias relatadas muestran una importante heterogeneidad entre los distintos escenarios institucionales. Algunos espacios se caracterizan por promover una participación activa de las y los estudiantes, favoreciendo progresivamente la autonomía, la toma de decisiones supervisada, la reflexión sobre los errores y el análisis crítico de las intervenciones realizadas. En estos contextos, la práctica se convierte en un auténtico espacio de formación donde la supervisión trasciende el control para transformarse en acompañamiento pedagógico.</w:t>
      </w:r>
    </w:p>
    <w:p w14:paraId="28BF4608"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En cambio, otros escenarios presentan dinámicas considerablemente más restrictivas. Allí, las y los estudiantes ocupan posiciones periféricas dentro de los equipos de trabajo, participan de manera limitada en las decisiones profesionales y desarrollan actividades predominantemente observacionales o rutinarias. En estos casos, las oportunidades para construir aprendizajes significativos disminuyen considerablemente, reduciendo el potencial formativo de la experiencia.</w:t>
      </w:r>
    </w:p>
    <w:p w14:paraId="4CEE6A7C"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Estos resultados coinciden con los planteamientos de Claudia Jacinto (2010), quien sostiene que las experiencias de formación en contextos laborales se encuentran profundamente condicionadas por las características institucionales donde tienen lugar. No basta con incorporar espacios de práctica dentro del plan de estudios; resulta imprescindible analizar las condiciones pedagógicas, organizacionales y relacionales que hacen posible —o limitan— el aprendizaje.</w:t>
      </w:r>
    </w:p>
    <w:p w14:paraId="7177FF1F"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En este mismo sentido, la perspectiva desarrollada por María de Ibarrola (2004) permite comprender que la relación entre educación y trabajo nunca es automática ni lineal. Los aprendizajes profesionales se encuentran mediados por factores institucionales, culturales y organizacionales que generan oportunidades desiguales de participación y desarrollo. Así, las PPS pueden constituirse tanto en experiencias altamente enriquecedoras como en dispositivos que reproducen desigualdades entre estudiantes, dependiendo de la calidad del acompañamiento recibido, las posibilidades reales de participación y el tipo de experiencias ofrecidas.</w:t>
      </w:r>
    </w:p>
    <w:p w14:paraId="23832D91"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Un aspecto especialmente significativo del análisis refiere al papel desempeñado por las y los tutores durante todo el proceso formativo. Independientemente del ámbito específico donde se desarrollan las prácticas, los testimonios coinciden en reconocer que la figura del tutor constituye uno de los factores con mayor incidencia sobre la calidad de la experiencia.</w:t>
      </w:r>
    </w:p>
    <w:p w14:paraId="7A77DD54"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Las y los estudiantes describen a sus tutores como referentes que orientan, contienen, modelan formas de intervención profesional y ayudan a otorgar sentido a las experiencias vividas. Su presencia facilita procesos de reflexión, promueve la integración entre teoría y práctica y contribuye a disminuir la incertidumbre propia de los primeros contactos con el ejercicio profesional.</w:t>
      </w:r>
    </w:p>
    <w:p w14:paraId="6372CE8F"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 xml:space="preserve">Sin embargo, también emerge una considerable heterogeneidad respecto de las modalidades de tutoría observadas. Mientras algunos profesionales desarrollan un </w:t>
      </w:r>
      <w:r w:rsidRPr="00C73702">
        <w:rPr>
          <w:rFonts w:ascii="Times New Roman" w:eastAsia="Times New Roman" w:hAnsi="Times New Roman" w:cs="Times New Roman"/>
          <w:kern w:val="0"/>
          <w:lang w:val="es-AR" w:eastAsia="es-AR"/>
          <w14:ligatures w14:val="none"/>
        </w:rPr>
        <w:lastRenderedPageBreak/>
        <w:t>acompañamiento sistemático, con instancias permanentes de retroalimentación y reflexión conjunta, otros limitan su intervención al control de tareas o a la resolución de aspectos administrativos, reduciendo significativamente las oportunidades de aprendizaje.</w:t>
      </w:r>
    </w:p>
    <w:p w14:paraId="466B2548"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Esta diversidad pone de manifiesto la ausencia de criterios institucionales comunes respecto del rol tutorial. Los hallazgos sugieren que el desempeño del tutor depende, en gran medida, de iniciativas personales, trayectorias individuales y estilos particulares de acompañamiento, más que de procesos sistemáticos de formación pedagógica.</w:t>
      </w:r>
    </w:p>
    <w:p w14:paraId="17821320"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 xml:space="preserve">Desde la perspectiva de </w:t>
      </w:r>
      <w:proofErr w:type="spellStart"/>
      <w:r w:rsidRPr="00C73702">
        <w:rPr>
          <w:rFonts w:ascii="Times New Roman" w:eastAsia="Times New Roman" w:hAnsi="Times New Roman" w:cs="Times New Roman"/>
          <w:kern w:val="0"/>
          <w:lang w:val="es-AR" w:eastAsia="es-AR"/>
          <w14:ligatures w14:val="none"/>
        </w:rPr>
        <w:t>Billett</w:t>
      </w:r>
      <w:proofErr w:type="spellEnd"/>
      <w:r w:rsidRPr="00C73702">
        <w:rPr>
          <w:rFonts w:ascii="Times New Roman" w:eastAsia="Times New Roman" w:hAnsi="Times New Roman" w:cs="Times New Roman"/>
          <w:kern w:val="0"/>
          <w:lang w:val="es-AR" w:eastAsia="es-AR"/>
          <w14:ligatures w14:val="none"/>
        </w:rPr>
        <w:t xml:space="preserve"> (2001), este resultado adquiere especial relevancia, dado que el aprendizaje situado depende estrechamente de las oportunidades de participación guiada que ofrecen quienes poseen mayor experiencia dentro de la comunidad profesional. En consecuencia, fortalecer la formación pedagógica de las y los tutores aparece como una estrategia prioritaria para potenciar el valor educativo de las PPS.</w:t>
      </w:r>
    </w:p>
    <w:p w14:paraId="74246F8A"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Finalmente, uno de los aportes más significativos del estudio consiste en evidenciar que las PPS trascienden ampliamente el desarrollo de competencias técnicas para convertirse en un espacio privilegiado de construcción de la identidad profesional. A medida que participan en escenarios reales de trabajo, las y los estudiantes comienzan a reconocerse progresivamente como integrantes de una comunidad profesional, redefiniendo sus expectativas, valores, responsabilidades y formas de comprender el ejercicio de la profesión.</w:t>
      </w:r>
    </w:p>
    <w:p w14:paraId="34D7F4D3"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Este proceso identitario aparece reiteradamente en los relatos analizados. Muchas personas entrevistadas describen las prácticas como un punto de inflexión dentro de su formación, señalando que fue durante esta experiencia cuando comenzaron a sentirse verdaderamente profesionales. La posibilidad de asumir responsabilidades, interactuar con usuarios reales, trabajar junto a profesionales experimentados y enfrentar problemas auténticos favorece una transformación subjetiva que difícilmente podría alcanzarse únicamente mediante instancias teóricas.</w:t>
      </w:r>
    </w:p>
    <w:p w14:paraId="5BD80783"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 xml:space="preserve">Los planteamientos de Claude </w:t>
      </w:r>
      <w:proofErr w:type="spellStart"/>
      <w:r w:rsidRPr="00C73702">
        <w:rPr>
          <w:rFonts w:ascii="Times New Roman" w:eastAsia="Times New Roman" w:hAnsi="Times New Roman" w:cs="Times New Roman"/>
          <w:kern w:val="0"/>
          <w:lang w:val="es-AR" w:eastAsia="es-AR"/>
          <w14:ligatures w14:val="none"/>
        </w:rPr>
        <w:t>Dubar</w:t>
      </w:r>
      <w:proofErr w:type="spellEnd"/>
      <w:r w:rsidRPr="00C73702">
        <w:rPr>
          <w:rFonts w:ascii="Times New Roman" w:eastAsia="Times New Roman" w:hAnsi="Times New Roman" w:cs="Times New Roman"/>
          <w:kern w:val="0"/>
          <w:lang w:val="es-AR" w:eastAsia="es-AR"/>
          <w14:ligatures w14:val="none"/>
        </w:rPr>
        <w:t xml:space="preserve"> (2001) ofrecen un marco interpretativo especialmente pertinente para comprender este fenómeno. Según el autor, la identidad profesional no constituye una característica adquirida de manera definitiva, sino un proceso continuo de construcción social que se configura mediante las experiencias laborales, las interacciones cotidianas y el reconocimiento otorgado por otros actores del campo profesional. Los hallazgos obtenidos reflejan claramente esta dinámica, mostrando cómo las PPS funcionan como espacios donde las y los estudiantes comienzan a elaborar una representación más compleja y realista de sí mismos como futuros profesionales.</w:t>
      </w:r>
    </w:p>
    <w:p w14:paraId="09A503A9" w14:textId="77777777" w:rsidR="00F871E8" w:rsidRPr="00C73702"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 xml:space="preserve">En conjunto, los resultados permiten comprender las Prácticas Profesionales Supervisadas como un dispositivo formativo complejo, dinámico y profundamente situado, cuya potencialidad depende de múltiples factores interrelacionados. Las tensiones identificadas entre formación e inserción laboral, entre competencias técnicas y competencias transversales, entre prescripciones curriculares y prácticas efectivamente desarrolladas, así como entre distintos contextos institucionales, no deben interpretarse </w:t>
      </w:r>
      <w:r w:rsidRPr="00C73702">
        <w:rPr>
          <w:rFonts w:ascii="Times New Roman" w:eastAsia="Times New Roman" w:hAnsi="Times New Roman" w:cs="Times New Roman"/>
          <w:kern w:val="0"/>
          <w:lang w:val="es-AR" w:eastAsia="es-AR"/>
          <w14:ligatures w14:val="none"/>
        </w:rPr>
        <w:lastRenderedPageBreak/>
        <w:t>únicamente como limitaciones, sino como indicadores de la complejidad inherente a todo proceso de formación profesional.</w:t>
      </w:r>
    </w:p>
    <w:p w14:paraId="51D80574" w14:textId="67560303" w:rsid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C73702">
        <w:rPr>
          <w:rFonts w:ascii="Times New Roman" w:eastAsia="Times New Roman" w:hAnsi="Times New Roman" w:cs="Times New Roman"/>
          <w:kern w:val="0"/>
          <w:lang w:val="es-AR" w:eastAsia="es-AR"/>
          <w14:ligatures w14:val="none"/>
        </w:rPr>
        <w:t>Desde esta perspectiva, fortalecer las PPS supone avanzar hacia políticas institucionales que garanticen experiencias formativas de calidad, promuevan la formación pedagógica de las y los tutores, favorezcan oportunidades equitativas de aprendizaje y otorguen mayor visibilidad al desarrollo de competencias transversales y reflexivas. Solo de este modo será posible consolidar prácticas profesionales que no solo preparen para el desempeño técnico, sino que contribuyan a formar profesionales críticos, autónomos, éticamente comprometidos y capaces de responder a los desafíos cambiantes que caracterizan al ejercicio contemporáneo de las profesiones.</w:t>
      </w:r>
    </w:p>
    <w:p w14:paraId="57A53E3B" w14:textId="7E68B30B" w:rsidR="00F871E8" w:rsidRPr="00F871E8" w:rsidRDefault="00F871E8" w:rsidP="00134F0E">
      <w:pPr>
        <w:spacing w:after="120" w:line="240" w:lineRule="auto"/>
        <w:jc w:val="both"/>
        <w:rPr>
          <w:rFonts w:ascii="Times New Roman" w:eastAsia="Times New Roman" w:hAnsi="Times New Roman" w:cs="Times New Roman"/>
          <w:b/>
          <w:bCs/>
          <w:kern w:val="0"/>
          <w:lang w:val="es-AR" w:eastAsia="es-AR"/>
          <w14:ligatures w14:val="none"/>
        </w:rPr>
      </w:pPr>
      <w:r w:rsidRPr="00F871E8">
        <w:rPr>
          <w:rFonts w:ascii="Times New Roman" w:eastAsia="Times New Roman" w:hAnsi="Times New Roman" w:cs="Times New Roman"/>
          <w:b/>
          <w:bCs/>
          <w:kern w:val="0"/>
          <w:lang w:val="es-AR" w:eastAsia="es-AR"/>
          <w14:ligatures w14:val="none"/>
        </w:rPr>
        <w:t>Conclusi</w:t>
      </w:r>
      <w:r>
        <w:rPr>
          <w:rFonts w:ascii="Times New Roman" w:eastAsia="Times New Roman" w:hAnsi="Times New Roman" w:cs="Times New Roman"/>
          <w:b/>
          <w:bCs/>
          <w:kern w:val="0"/>
          <w:lang w:val="es-AR" w:eastAsia="es-AR"/>
          <w14:ligatures w14:val="none"/>
        </w:rPr>
        <w:t>ones</w:t>
      </w:r>
    </w:p>
    <w:p w14:paraId="78C27F0A" w14:textId="70DFE01A"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t>Los hallazgos del estudio permiten contribuir a la discusión sobre la relación educación–trabajo desde una perspectiva crítica, situada y multidimensional, en la medida en que ponen en evidencia no solo las potencialidades de las Prácticas Profesionales Supervisadas (PPS), sino también sus límites, tensiones y condiciones de posibilidad. En este sentido, las PPS emergen como un dispositivo privilegiado para analizar cómo se configura —y también cómo se problematiza— la articulación entre formación y ejercicio profesional en contextos contemporáneos atravesados por transformaciones estructurales.</w:t>
      </w:r>
    </w:p>
    <w:p w14:paraId="5890AA40" w14:textId="77777777"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t>En primer lugar, se confirma que las PPS constituyen dispositivos clave de articulación entre el sistema educativo y el mundo del trabajo. No obstante, tal como advierte Lucie Tanguy (2001), “la relación formación-empleo nunca es directa ni automática” (p. 102), lo cual obliga a desnaturalizar dicha articulación y a comprenderla como una construcción social e institucional. Desde esta perspectiva, las PPS no garantizan por sí mismas la empleabilidad ni la adecuación entre formación y trabajo, sino que dependen de condiciones específicas tales como la calidad de los entornos formativos, la intencionalidad pedagógica de los dispositivos y las mediaciones institucionales que los sostienen. En línea con ello, puede afirmarse que las PPS funcionan más como espacios de negociación entre lógicas educativas y productivas que como mecanismos lineales de transición al empleo.</w:t>
      </w:r>
    </w:p>
    <w:p w14:paraId="40E050C3" w14:textId="77777777"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t>En segundo lugar, la priorización de competencias técnicas identificada en los resultados pone en evidencia una tensión estructural con los enfoques de formación integral promovidos en el discurso educativo contemporáneo. Si bien esta centralidad de lo técnico puede interpretarse como una respuesta a las demandas del campo profesional —marcado por la productividad, la eficiencia y la especialización—, también revela una limitación de los dispositivos formativos para sostener propuestas pedagógicas que integren dimensiones críticas, reflexivas y éticas. En este sentido, Ronald Barnett (2001) sostiene que “la educación superior debe preparar para la incertidumbre, no solo para la competencia técnica” (p. 78), lo cual implica formar sujetos capaces de actuar en escenarios complejos, ambiguos y cambiantes. Desde esta perspectiva, la reducción de la formación a habilidades instrumentales no solo empobrece el perfil profesional, sino que limita la capacidad de los egresados para intervenir críticamente en sus contextos.</w:t>
      </w:r>
    </w:p>
    <w:p w14:paraId="788717D0" w14:textId="77777777"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lastRenderedPageBreak/>
        <w:t xml:space="preserve">Este punto permite profundizar en una cuestión clave: la tensión entre formación para el empleo y formación para la ciudadanía. Tal como advierte Marta </w:t>
      </w:r>
      <w:proofErr w:type="spellStart"/>
      <w:r w:rsidRPr="00F871E8">
        <w:rPr>
          <w:rFonts w:ascii="Times New Roman" w:eastAsia="Times New Roman" w:hAnsi="Times New Roman" w:cs="Times New Roman"/>
          <w:kern w:val="0"/>
          <w:lang w:val="es-AR" w:eastAsia="es-AR"/>
          <w14:ligatures w14:val="none"/>
        </w:rPr>
        <w:t>Novick</w:t>
      </w:r>
      <w:proofErr w:type="spellEnd"/>
      <w:r w:rsidRPr="00F871E8">
        <w:rPr>
          <w:rFonts w:ascii="Times New Roman" w:eastAsia="Times New Roman" w:hAnsi="Times New Roman" w:cs="Times New Roman"/>
          <w:kern w:val="0"/>
          <w:lang w:val="es-AR" w:eastAsia="es-AR"/>
          <w14:ligatures w14:val="none"/>
        </w:rPr>
        <w:t>, los sistemas de formación profesional en América Latina han oscilado históricamente entre estas dos orientaciones, lo que se traduce en disputas sobre el sentido mismo de la educación (</w:t>
      </w:r>
      <w:proofErr w:type="spellStart"/>
      <w:r w:rsidRPr="00F871E8">
        <w:rPr>
          <w:rFonts w:ascii="Times New Roman" w:eastAsia="Times New Roman" w:hAnsi="Times New Roman" w:cs="Times New Roman"/>
          <w:kern w:val="0"/>
          <w:lang w:val="es-AR" w:eastAsia="es-AR"/>
          <w14:ligatures w14:val="none"/>
        </w:rPr>
        <w:t>Novick</w:t>
      </w:r>
      <w:proofErr w:type="spellEnd"/>
      <w:r w:rsidRPr="00F871E8">
        <w:rPr>
          <w:rFonts w:ascii="Times New Roman" w:eastAsia="Times New Roman" w:hAnsi="Times New Roman" w:cs="Times New Roman"/>
          <w:kern w:val="0"/>
          <w:lang w:val="es-AR" w:eastAsia="es-AR"/>
          <w14:ligatures w14:val="none"/>
        </w:rPr>
        <w:t>, 2010). En este marco, las PPS pueden ser leídas tanto como dispositivos de adaptación al mercado de trabajo como espacios potenciales de problematización de sus lógicas.</w:t>
      </w:r>
    </w:p>
    <w:p w14:paraId="71A971A2" w14:textId="77777777"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t>En tercer lugar, el carácter situado de los aprendizajes refuerza la necesidad de diseñar dispositivos formativos que contemplen la heterogeneidad de los contextos institucionales y laborales. Los resultados muestran que no todos los espacios de práctica ofrecen las mismas oportunidades de aprendizaje, lo que introduce una dimensión de desigualdad que no puede ser soslayada. En este sentido, María de Ibarrola (2004) señala que “las desigualdades sociales atraviesan las oportunidades de formación y trabajo” (p. 95), lo cual implica que las PPS pueden reproducir —o, en algunos casos, mitigar— dichas desigualdades. Esta constatación obliga a pensar las PPS no solo como dispositivos pedagógicos, sino también como espacios atravesados por relaciones de poder, condiciones materiales y estructuras sociales que condicionan las trayectorias formativas.</w:t>
      </w:r>
    </w:p>
    <w:p w14:paraId="0C79436C" w14:textId="77777777"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t xml:space="preserve">Asimismo, este carácter situado del aprendizaje se vincula con la noción de participación periférica legítima desarrollada por Jean Lave y </w:t>
      </w:r>
      <w:proofErr w:type="spellStart"/>
      <w:r w:rsidRPr="00F871E8">
        <w:rPr>
          <w:rFonts w:ascii="Times New Roman" w:eastAsia="Times New Roman" w:hAnsi="Times New Roman" w:cs="Times New Roman"/>
          <w:kern w:val="0"/>
          <w:lang w:val="es-AR" w:eastAsia="es-AR"/>
          <w14:ligatures w14:val="none"/>
        </w:rPr>
        <w:t>Etienne</w:t>
      </w:r>
      <w:proofErr w:type="spellEnd"/>
      <w:r w:rsidRPr="00F871E8">
        <w:rPr>
          <w:rFonts w:ascii="Times New Roman" w:eastAsia="Times New Roman" w:hAnsi="Times New Roman" w:cs="Times New Roman"/>
          <w:kern w:val="0"/>
          <w:lang w:val="es-AR" w:eastAsia="es-AR"/>
          <w14:ligatures w14:val="none"/>
        </w:rPr>
        <w:t xml:space="preserve"> Wenger (1991), quienes sostienen que el aprendizaje implica una progresiva inserción en comunidades de práctica. Desde esta perspectiva, las PPS pueden favorecer procesos de inclusión progresiva en el campo profesional, pero también pueden cristalizar posiciones periféricas si no se generan condiciones para una participación significativa.</w:t>
      </w:r>
    </w:p>
    <w:p w14:paraId="231C4B8C" w14:textId="77777777"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t xml:space="preserve">En cuarto lugar, los resultados permiten sostener que las PPS son espacios de producción de subjetividad profesional, lo cual amplía la comprensión de la formación más allá del desarrollo de competencias. En efecto, la experiencia en contextos reales no solo habilita la adquisición de saberes técnicos, sino que también implica procesos de identificación, reconocimiento y construcción de sentido en relación con el propio quehacer profesional. En este punto, resulta pertinente retomar a Claude </w:t>
      </w:r>
      <w:proofErr w:type="spellStart"/>
      <w:r w:rsidRPr="00F871E8">
        <w:rPr>
          <w:rFonts w:ascii="Times New Roman" w:eastAsia="Times New Roman" w:hAnsi="Times New Roman" w:cs="Times New Roman"/>
          <w:kern w:val="0"/>
          <w:lang w:val="es-AR" w:eastAsia="es-AR"/>
          <w14:ligatures w14:val="none"/>
        </w:rPr>
        <w:t>Dubar</w:t>
      </w:r>
      <w:proofErr w:type="spellEnd"/>
      <w:r w:rsidRPr="00F871E8">
        <w:rPr>
          <w:rFonts w:ascii="Times New Roman" w:eastAsia="Times New Roman" w:hAnsi="Times New Roman" w:cs="Times New Roman"/>
          <w:kern w:val="0"/>
          <w:lang w:val="es-AR" w:eastAsia="es-AR"/>
          <w14:ligatures w14:val="none"/>
        </w:rPr>
        <w:t xml:space="preserve"> (2001), quien plantea que la identidad profesional se construye en la intersección entre trayectorias individuales y marcos institucionales, siendo el trabajo un espacio central en dicha configuración. Así, las PPS se constituyen en escenarios privilegiados donde los estudiantes comienzan a “verse” como profesionales, internalizando normas, valores y representaciones propias del campo.</w:t>
      </w:r>
    </w:p>
    <w:p w14:paraId="0F8AEE03" w14:textId="77777777"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t>Por otra parte, la heterogeneidad en el rol de los tutores, identificada en los resultados, introduce un elemento clave en la discusión: la necesidad de fortalecer la dimensión pedagógica de la formación en contextos de trabajo. En este sentido, la literatura especializada ha señalado que el aprendizaje en el trabajo no es un proceso espontáneo, sino que requiere de mediaciones intencionales que orienten la experiencia y favorezcan la reflexión sobre la práctica (</w:t>
      </w:r>
      <w:proofErr w:type="spellStart"/>
      <w:r w:rsidRPr="00F871E8">
        <w:rPr>
          <w:rFonts w:ascii="Times New Roman" w:eastAsia="Times New Roman" w:hAnsi="Times New Roman" w:cs="Times New Roman"/>
          <w:kern w:val="0"/>
          <w:lang w:val="es-AR" w:eastAsia="es-AR"/>
          <w14:ligatures w14:val="none"/>
        </w:rPr>
        <w:t>Billett</w:t>
      </w:r>
      <w:proofErr w:type="spellEnd"/>
      <w:r w:rsidRPr="00F871E8">
        <w:rPr>
          <w:rFonts w:ascii="Times New Roman" w:eastAsia="Times New Roman" w:hAnsi="Times New Roman" w:cs="Times New Roman"/>
          <w:kern w:val="0"/>
          <w:lang w:val="es-AR" w:eastAsia="es-AR"/>
          <w14:ligatures w14:val="none"/>
        </w:rPr>
        <w:t>, 2001). La ausencia de criterios comunes y de formación específica para los tutores limita el potencial formativo de las PPS y refuerza la necesidad de institucionalizar su rol.</w:t>
      </w:r>
    </w:p>
    <w:p w14:paraId="5FD9ACC0" w14:textId="77777777" w:rsidR="00F871E8" w:rsidRP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lastRenderedPageBreak/>
        <w:t xml:space="preserve">Finalmente, en el contexto de </w:t>
      </w:r>
      <w:proofErr w:type="spellStart"/>
      <w:r w:rsidRPr="00F871E8">
        <w:rPr>
          <w:rFonts w:ascii="Times New Roman" w:eastAsia="Times New Roman" w:hAnsi="Times New Roman" w:cs="Times New Roman"/>
          <w:kern w:val="0"/>
          <w:lang w:val="es-AR" w:eastAsia="es-AR"/>
          <w14:ligatures w14:val="none"/>
        </w:rPr>
        <w:t>policrisis</w:t>
      </w:r>
      <w:proofErr w:type="spellEnd"/>
      <w:r w:rsidRPr="00F871E8">
        <w:rPr>
          <w:rFonts w:ascii="Times New Roman" w:eastAsia="Times New Roman" w:hAnsi="Times New Roman" w:cs="Times New Roman"/>
          <w:kern w:val="0"/>
          <w:lang w:val="es-AR" w:eastAsia="es-AR"/>
          <w14:ligatures w14:val="none"/>
        </w:rPr>
        <w:t xml:space="preserve"> contemporánea —caracterizada por transformaciones tecnológicas, económicas y sociales aceleradas— se vuelve imprescindible repensar la formación para el trabajo desde una perspectiva integral, crítica y situada. En este sentido, María Antonia Gallart (2008) sostiene que “la formación debe contribuir tanto a la productividad como a la equidad” (p. 31), lo cual implica superar visiones reduccionistas y avanzar hacia modelos formativos que articulen desarrollo económico, inclusión social y formación ciudadana. Esta perspectiva adquiere especial relevancia en América Latina, donde las desigualdades estructurales plantean desafíos adicionales para la construcción de sistemas de formación más justos.</w:t>
      </w:r>
    </w:p>
    <w:p w14:paraId="69BE7C0E" w14:textId="3CC51C6A" w:rsidR="00F871E8" w:rsidRDefault="00F871E8" w:rsidP="00134F0E">
      <w:pPr>
        <w:spacing w:after="120" w:line="240" w:lineRule="auto"/>
        <w:jc w:val="both"/>
        <w:rPr>
          <w:rFonts w:ascii="Times New Roman" w:eastAsia="Times New Roman" w:hAnsi="Times New Roman" w:cs="Times New Roman"/>
          <w:kern w:val="0"/>
          <w:lang w:val="es-AR" w:eastAsia="es-AR"/>
          <w14:ligatures w14:val="none"/>
        </w:rPr>
      </w:pPr>
      <w:r w:rsidRPr="00F871E8">
        <w:rPr>
          <w:rFonts w:ascii="Times New Roman" w:eastAsia="Times New Roman" w:hAnsi="Times New Roman" w:cs="Times New Roman"/>
          <w:kern w:val="0"/>
          <w:lang w:val="es-AR" w:eastAsia="es-AR"/>
          <w14:ligatures w14:val="none"/>
        </w:rPr>
        <w:t>En síntesis, el estudio permite afirmar que las PPS constituyen un dispositivo estratégico para analizar y fortalecer la relación educación–trabajo, en tanto articulan dimensiones pedagógicas, profesionales y sociales en contextos complejos y cambiantes. No obstante, su potencial formativo no es inherente, sino que depende de las condiciones institucionales, las mediaciones pedagógicas y las decisiones políticas que las configuran. En este sentido, avanzar hacia PPS más integrales, equitativas y reflexivas implica no solo mejorar su diseño, sino también repensar el sentido mismo de la formación en la educación superior contemporánea.</w:t>
      </w:r>
    </w:p>
    <w:p w14:paraId="39B57161" w14:textId="4525AFDA" w:rsidR="005F3B2E" w:rsidRPr="00BA642E" w:rsidRDefault="005F3B2E" w:rsidP="00F871E8">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2F90B7EC" w14:textId="77777777" w:rsidR="00F928FD" w:rsidRPr="00DC3E13" w:rsidRDefault="00F928FD" w:rsidP="00F928FD">
      <w:pPr>
        <w:spacing w:after="0" w:line="240" w:lineRule="auto"/>
        <w:ind w:left="708" w:hanging="708"/>
        <w:jc w:val="both"/>
        <w:rPr>
          <w:rFonts w:ascii="Times New Roman" w:hAnsi="Times New Roman" w:cs="Times New Roman"/>
          <w:bCs/>
        </w:rPr>
      </w:pPr>
      <w:r w:rsidRPr="00DC3E13">
        <w:rPr>
          <w:rFonts w:ascii="Times New Roman" w:hAnsi="Times New Roman" w:cs="Times New Roman"/>
          <w:bCs/>
        </w:rPr>
        <w:t xml:space="preserve">Barnett, R. (2001). </w:t>
      </w:r>
      <w:r w:rsidRPr="00DC3E13">
        <w:rPr>
          <w:rFonts w:ascii="Times New Roman" w:hAnsi="Times New Roman" w:cs="Times New Roman"/>
          <w:bCs/>
          <w:i/>
          <w:iCs/>
        </w:rPr>
        <w:t>Los límites de la competencia: El conocimiento, la educación superior y la sociedad.</w:t>
      </w:r>
      <w:r w:rsidRPr="00DC3E13">
        <w:rPr>
          <w:rFonts w:ascii="Times New Roman" w:hAnsi="Times New Roman" w:cs="Times New Roman"/>
          <w:bCs/>
        </w:rPr>
        <w:t xml:space="preserve"> Gedisa.</w:t>
      </w:r>
    </w:p>
    <w:p w14:paraId="5DECA05D" w14:textId="77777777" w:rsidR="00F928FD" w:rsidRPr="00DC3E13" w:rsidRDefault="00F928FD" w:rsidP="00F928FD">
      <w:pPr>
        <w:spacing w:after="0" w:line="240" w:lineRule="auto"/>
        <w:ind w:left="708" w:hanging="708"/>
        <w:jc w:val="both"/>
        <w:rPr>
          <w:rFonts w:ascii="Times New Roman" w:hAnsi="Times New Roman" w:cs="Times New Roman"/>
          <w:bCs/>
        </w:rPr>
      </w:pPr>
      <w:proofErr w:type="spellStart"/>
      <w:r w:rsidRPr="00DC3E13">
        <w:rPr>
          <w:rFonts w:ascii="Times New Roman" w:hAnsi="Times New Roman" w:cs="Times New Roman"/>
          <w:bCs/>
        </w:rPr>
        <w:t>Billett</w:t>
      </w:r>
      <w:proofErr w:type="spellEnd"/>
      <w:r w:rsidRPr="00DC3E13">
        <w:rPr>
          <w:rFonts w:ascii="Times New Roman" w:hAnsi="Times New Roman" w:cs="Times New Roman"/>
          <w:bCs/>
        </w:rPr>
        <w:t xml:space="preserve">, S. (2001). </w:t>
      </w:r>
      <w:proofErr w:type="spellStart"/>
      <w:r w:rsidRPr="00DC3E13">
        <w:rPr>
          <w:rFonts w:ascii="Times New Roman" w:hAnsi="Times New Roman" w:cs="Times New Roman"/>
          <w:bCs/>
          <w:i/>
          <w:iCs/>
        </w:rPr>
        <w:t>Learning</w:t>
      </w:r>
      <w:proofErr w:type="spellEnd"/>
      <w:r w:rsidRPr="00DC3E13">
        <w:rPr>
          <w:rFonts w:ascii="Times New Roman" w:hAnsi="Times New Roman" w:cs="Times New Roman"/>
          <w:bCs/>
          <w:i/>
          <w:iCs/>
        </w:rPr>
        <w:t xml:space="preserve"> in </w:t>
      </w:r>
      <w:proofErr w:type="spellStart"/>
      <w:r w:rsidRPr="00DC3E13">
        <w:rPr>
          <w:rFonts w:ascii="Times New Roman" w:hAnsi="Times New Roman" w:cs="Times New Roman"/>
          <w:bCs/>
          <w:i/>
          <w:iCs/>
        </w:rPr>
        <w:t>the</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workplace</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Strategies</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for</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effective</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practice</w:t>
      </w:r>
      <w:proofErr w:type="spellEnd"/>
      <w:r w:rsidRPr="00DC3E13">
        <w:rPr>
          <w:rFonts w:ascii="Times New Roman" w:hAnsi="Times New Roman" w:cs="Times New Roman"/>
          <w:bCs/>
          <w:i/>
          <w:iCs/>
        </w:rPr>
        <w:t>.</w:t>
      </w:r>
      <w:r w:rsidRPr="00DC3E13">
        <w:rPr>
          <w:rFonts w:ascii="Times New Roman" w:hAnsi="Times New Roman" w:cs="Times New Roman"/>
          <w:bCs/>
        </w:rPr>
        <w:t xml:space="preserve"> Allen &amp; Unwin.</w:t>
      </w:r>
    </w:p>
    <w:p w14:paraId="59D10280" w14:textId="77777777" w:rsidR="00F928FD" w:rsidRPr="00DC3E13" w:rsidRDefault="00F928FD" w:rsidP="00F928FD">
      <w:pPr>
        <w:spacing w:after="0" w:line="240" w:lineRule="auto"/>
        <w:jc w:val="both"/>
        <w:rPr>
          <w:rFonts w:ascii="Times New Roman" w:hAnsi="Times New Roman" w:cs="Times New Roman"/>
          <w:bCs/>
        </w:rPr>
      </w:pPr>
      <w:proofErr w:type="spellStart"/>
      <w:r w:rsidRPr="00DC3E13">
        <w:rPr>
          <w:rFonts w:ascii="Times New Roman" w:hAnsi="Times New Roman" w:cs="Times New Roman"/>
          <w:bCs/>
        </w:rPr>
        <w:t>Billett</w:t>
      </w:r>
      <w:proofErr w:type="spellEnd"/>
      <w:r w:rsidRPr="00DC3E13">
        <w:rPr>
          <w:rFonts w:ascii="Times New Roman" w:hAnsi="Times New Roman" w:cs="Times New Roman"/>
          <w:bCs/>
        </w:rPr>
        <w:t xml:space="preserve">, S. (2011). </w:t>
      </w:r>
      <w:proofErr w:type="spellStart"/>
      <w:r w:rsidRPr="00DC3E13">
        <w:rPr>
          <w:rFonts w:ascii="Times New Roman" w:hAnsi="Times New Roman" w:cs="Times New Roman"/>
          <w:bCs/>
          <w:i/>
          <w:iCs/>
        </w:rPr>
        <w:t>Vocational</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education</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Purposes</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traditions</w:t>
      </w:r>
      <w:proofErr w:type="spellEnd"/>
      <w:r w:rsidRPr="00DC3E13">
        <w:rPr>
          <w:rFonts w:ascii="Times New Roman" w:hAnsi="Times New Roman" w:cs="Times New Roman"/>
          <w:bCs/>
          <w:i/>
          <w:iCs/>
        </w:rPr>
        <w:t xml:space="preserve"> and </w:t>
      </w:r>
      <w:proofErr w:type="spellStart"/>
      <w:r w:rsidRPr="00DC3E13">
        <w:rPr>
          <w:rFonts w:ascii="Times New Roman" w:hAnsi="Times New Roman" w:cs="Times New Roman"/>
          <w:bCs/>
          <w:i/>
          <w:iCs/>
        </w:rPr>
        <w:t>prospects</w:t>
      </w:r>
      <w:proofErr w:type="spellEnd"/>
      <w:r w:rsidRPr="00DC3E13">
        <w:rPr>
          <w:rFonts w:ascii="Times New Roman" w:hAnsi="Times New Roman" w:cs="Times New Roman"/>
          <w:bCs/>
          <w:i/>
          <w:iCs/>
        </w:rPr>
        <w:t xml:space="preserve">. </w:t>
      </w:r>
      <w:r w:rsidRPr="00DC3E13">
        <w:rPr>
          <w:rFonts w:ascii="Times New Roman" w:hAnsi="Times New Roman" w:cs="Times New Roman"/>
          <w:bCs/>
        </w:rPr>
        <w:t>Springer.</w:t>
      </w:r>
    </w:p>
    <w:p w14:paraId="4259C5DC" w14:textId="77777777" w:rsidR="00F928FD" w:rsidRPr="00DC3E13" w:rsidRDefault="00F928FD" w:rsidP="00F928FD">
      <w:pPr>
        <w:spacing w:after="0" w:line="240" w:lineRule="auto"/>
        <w:ind w:firstLine="708"/>
        <w:jc w:val="both"/>
        <w:rPr>
          <w:rFonts w:ascii="Times New Roman" w:hAnsi="Times New Roman" w:cs="Times New Roman"/>
          <w:bCs/>
        </w:rPr>
      </w:pPr>
      <w:r w:rsidRPr="00DC3E13">
        <w:rPr>
          <w:rFonts w:ascii="Times New Roman" w:hAnsi="Times New Roman" w:cs="Times New Roman"/>
          <w:bCs/>
        </w:rPr>
        <w:t>https://doi.org/10.1007/978-94-007-1954-5</w:t>
      </w:r>
    </w:p>
    <w:p w14:paraId="09086F34" w14:textId="77777777" w:rsidR="00F928FD" w:rsidRPr="00DC3E13" w:rsidRDefault="00F928FD" w:rsidP="00F928FD">
      <w:pPr>
        <w:spacing w:after="0" w:line="240" w:lineRule="auto"/>
        <w:ind w:left="708" w:hanging="708"/>
        <w:jc w:val="both"/>
        <w:rPr>
          <w:rFonts w:ascii="Times New Roman" w:hAnsi="Times New Roman" w:cs="Times New Roman"/>
          <w:bCs/>
        </w:rPr>
      </w:pPr>
      <w:r w:rsidRPr="00DC3E13">
        <w:rPr>
          <w:rFonts w:ascii="Times New Roman" w:hAnsi="Times New Roman" w:cs="Times New Roman"/>
          <w:bCs/>
        </w:rPr>
        <w:t xml:space="preserve">De Ibarrola, M. (2004). </w:t>
      </w:r>
      <w:r w:rsidRPr="00DC3E13">
        <w:rPr>
          <w:rFonts w:ascii="Times New Roman" w:hAnsi="Times New Roman" w:cs="Times New Roman"/>
          <w:bCs/>
          <w:i/>
          <w:iCs/>
        </w:rPr>
        <w:t>Paradojas recientes de la educación frente al trabajo y la inserción social.</w:t>
      </w:r>
      <w:r w:rsidRPr="00DC3E13">
        <w:rPr>
          <w:rFonts w:ascii="Times New Roman" w:hAnsi="Times New Roman" w:cs="Times New Roman"/>
          <w:bCs/>
        </w:rPr>
        <w:t xml:space="preserve"> Fondo de Cultura Económica.</w:t>
      </w:r>
    </w:p>
    <w:p w14:paraId="239ECF0C" w14:textId="77777777" w:rsidR="00F928FD" w:rsidRPr="00DC3E13" w:rsidRDefault="00F928FD" w:rsidP="00F928FD">
      <w:pPr>
        <w:spacing w:after="0" w:line="240" w:lineRule="auto"/>
        <w:ind w:left="708" w:hanging="708"/>
        <w:jc w:val="both"/>
        <w:rPr>
          <w:rFonts w:ascii="Times New Roman" w:hAnsi="Times New Roman" w:cs="Times New Roman"/>
          <w:bCs/>
        </w:rPr>
      </w:pPr>
      <w:r w:rsidRPr="00DC3E13">
        <w:rPr>
          <w:rFonts w:ascii="Times New Roman" w:hAnsi="Times New Roman" w:cs="Times New Roman"/>
          <w:bCs/>
        </w:rPr>
        <w:t xml:space="preserve">Denzin, N. K. (2012). </w:t>
      </w:r>
      <w:proofErr w:type="spellStart"/>
      <w:r w:rsidRPr="00DC3E13">
        <w:rPr>
          <w:rFonts w:ascii="Times New Roman" w:hAnsi="Times New Roman" w:cs="Times New Roman"/>
          <w:bCs/>
        </w:rPr>
        <w:t>Triangulation</w:t>
      </w:r>
      <w:proofErr w:type="spellEnd"/>
      <w:r w:rsidRPr="00DC3E13">
        <w:rPr>
          <w:rFonts w:ascii="Times New Roman" w:hAnsi="Times New Roman" w:cs="Times New Roman"/>
          <w:bCs/>
        </w:rPr>
        <w:t xml:space="preserve"> 2.0. </w:t>
      </w:r>
      <w:proofErr w:type="spellStart"/>
      <w:r w:rsidRPr="00DC3E13">
        <w:rPr>
          <w:rFonts w:ascii="Times New Roman" w:hAnsi="Times New Roman" w:cs="Times New Roman"/>
          <w:bCs/>
          <w:i/>
          <w:iCs/>
        </w:rPr>
        <w:t>Journal</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of</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Mixed</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Methods</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Research</w:t>
      </w:r>
      <w:proofErr w:type="spellEnd"/>
      <w:r w:rsidRPr="00DC3E13">
        <w:rPr>
          <w:rFonts w:ascii="Times New Roman" w:hAnsi="Times New Roman" w:cs="Times New Roman"/>
          <w:bCs/>
        </w:rPr>
        <w:t>, 6(2), 80–88. https://doi.org/10.1177/1558689812437186</w:t>
      </w:r>
    </w:p>
    <w:p w14:paraId="1E79B8D5" w14:textId="77777777" w:rsidR="00F928FD" w:rsidRPr="00DC3E13" w:rsidRDefault="00F928FD" w:rsidP="00F928FD">
      <w:pPr>
        <w:spacing w:after="0" w:line="240" w:lineRule="auto"/>
        <w:ind w:left="708" w:hanging="708"/>
        <w:jc w:val="both"/>
        <w:rPr>
          <w:rFonts w:ascii="Times New Roman" w:hAnsi="Times New Roman" w:cs="Times New Roman"/>
          <w:bCs/>
        </w:rPr>
      </w:pPr>
      <w:proofErr w:type="spellStart"/>
      <w:r w:rsidRPr="00DC3E13">
        <w:rPr>
          <w:rFonts w:ascii="Times New Roman" w:hAnsi="Times New Roman" w:cs="Times New Roman"/>
          <w:bCs/>
        </w:rPr>
        <w:t>Dubar</w:t>
      </w:r>
      <w:proofErr w:type="spellEnd"/>
      <w:r w:rsidRPr="00DC3E13">
        <w:rPr>
          <w:rFonts w:ascii="Times New Roman" w:hAnsi="Times New Roman" w:cs="Times New Roman"/>
          <w:bCs/>
        </w:rPr>
        <w:t xml:space="preserve">, C. (2001). </w:t>
      </w:r>
      <w:r w:rsidRPr="00DC3E13">
        <w:rPr>
          <w:rFonts w:ascii="Times New Roman" w:hAnsi="Times New Roman" w:cs="Times New Roman"/>
          <w:bCs/>
          <w:i/>
          <w:iCs/>
        </w:rPr>
        <w:t xml:space="preserve">La </w:t>
      </w:r>
      <w:proofErr w:type="spellStart"/>
      <w:r w:rsidRPr="00DC3E13">
        <w:rPr>
          <w:rFonts w:ascii="Times New Roman" w:hAnsi="Times New Roman" w:cs="Times New Roman"/>
          <w:bCs/>
          <w:i/>
          <w:iCs/>
        </w:rPr>
        <w:t>socialisation</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Construction</w:t>
      </w:r>
      <w:proofErr w:type="spellEnd"/>
      <w:r w:rsidRPr="00DC3E13">
        <w:rPr>
          <w:rFonts w:ascii="Times New Roman" w:hAnsi="Times New Roman" w:cs="Times New Roman"/>
          <w:bCs/>
          <w:i/>
          <w:iCs/>
        </w:rPr>
        <w:t xml:space="preserve"> des </w:t>
      </w:r>
      <w:proofErr w:type="spellStart"/>
      <w:r w:rsidRPr="00DC3E13">
        <w:rPr>
          <w:rFonts w:ascii="Times New Roman" w:hAnsi="Times New Roman" w:cs="Times New Roman"/>
          <w:bCs/>
          <w:i/>
          <w:iCs/>
        </w:rPr>
        <w:t>identités</w:t>
      </w:r>
      <w:proofErr w:type="spellEnd"/>
      <w:r w:rsidRPr="00DC3E13">
        <w:rPr>
          <w:rFonts w:ascii="Times New Roman" w:hAnsi="Times New Roman" w:cs="Times New Roman"/>
          <w:bCs/>
          <w:i/>
          <w:iCs/>
        </w:rPr>
        <w:t xml:space="preserve"> sociales et </w:t>
      </w:r>
      <w:proofErr w:type="spellStart"/>
      <w:r w:rsidRPr="00DC3E13">
        <w:rPr>
          <w:rFonts w:ascii="Times New Roman" w:hAnsi="Times New Roman" w:cs="Times New Roman"/>
          <w:bCs/>
          <w:i/>
          <w:iCs/>
        </w:rPr>
        <w:t>professionnelles</w:t>
      </w:r>
      <w:proofErr w:type="spellEnd"/>
      <w:r w:rsidRPr="00DC3E13">
        <w:rPr>
          <w:rFonts w:ascii="Times New Roman" w:hAnsi="Times New Roman" w:cs="Times New Roman"/>
          <w:bCs/>
        </w:rPr>
        <w:t xml:space="preserve"> (3.ª ed.). Armand Colin.</w:t>
      </w:r>
    </w:p>
    <w:p w14:paraId="3EB48312" w14:textId="77777777" w:rsidR="00F928FD" w:rsidRPr="00DC3E13" w:rsidRDefault="00F928FD" w:rsidP="00F928FD">
      <w:pPr>
        <w:spacing w:after="0" w:line="240" w:lineRule="auto"/>
        <w:ind w:left="708" w:hanging="708"/>
        <w:jc w:val="both"/>
        <w:rPr>
          <w:rFonts w:ascii="Times New Roman" w:hAnsi="Times New Roman" w:cs="Times New Roman"/>
          <w:bCs/>
        </w:rPr>
      </w:pPr>
      <w:r w:rsidRPr="00DC3E13">
        <w:rPr>
          <w:rFonts w:ascii="Times New Roman" w:hAnsi="Times New Roman" w:cs="Times New Roman"/>
          <w:bCs/>
        </w:rPr>
        <w:t xml:space="preserve">Gallart, M. A. (2008). </w:t>
      </w:r>
      <w:r w:rsidRPr="00DC3E13">
        <w:rPr>
          <w:rFonts w:ascii="Times New Roman" w:hAnsi="Times New Roman" w:cs="Times New Roman"/>
          <w:bCs/>
          <w:i/>
          <w:iCs/>
        </w:rPr>
        <w:t>La formación para el trabajo en América Latina: Entre la fragmentación y la integración.</w:t>
      </w:r>
      <w:r w:rsidRPr="00DC3E13">
        <w:rPr>
          <w:rFonts w:ascii="Times New Roman" w:hAnsi="Times New Roman" w:cs="Times New Roman"/>
          <w:bCs/>
        </w:rPr>
        <w:t xml:space="preserve"> CEPAL. https://repositorio.cepal.org/handle/11362/2793</w:t>
      </w:r>
    </w:p>
    <w:p w14:paraId="2E150C27" w14:textId="77777777" w:rsidR="00F928FD" w:rsidRPr="00DC3E13" w:rsidRDefault="00F928FD" w:rsidP="00F928FD">
      <w:pPr>
        <w:spacing w:after="0" w:line="240" w:lineRule="auto"/>
        <w:ind w:left="708" w:hanging="708"/>
        <w:jc w:val="both"/>
        <w:rPr>
          <w:rFonts w:ascii="Times New Roman" w:hAnsi="Times New Roman" w:cs="Times New Roman"/>
          <w:bCs/>
        </w:rPr>
      </w:pPr>
      <w:r w:rsidRPr="00DC3E13">
        <w:rPr>
          <w:rFonts w:ascii="Times New Roman" w:hAnsi="Times New Roman" w:cs="Times New Roman"/>
          <w:bCs/>
        </w:rPr>
        <w:t xml:space="preserve">Jacinto, C. (2010). </w:t>
      </w:r>
      <w:r w:rsidRPr="00DC3E13">
        <w:rPr>
          <w:rFonts w:ascii="Times New Roman" w:hAnsi="Times New Roman" w:cs="Times New Roman"/>
          <w:bCs/>
          <w:i/>
          <w:iCs/>
        </w:rPr>
        <w:t>La construcción social de las trayectorias laborales de jóvenes: Políticas, instituciones y actores.</w:t>
      </w:r>
      <w:r w:rsidRPr="00DC3E13">
        <w:rPr>
          <w:rFonts w:ascii="Times New Roman" w:hAnsi="Times New Roman" w:cs="Times New Roman"/>
          <w:bCs/>
        </w:rPr>
        <w:t xml:space="preserve"> Teseo.</w:t>
      </w:r>
    </w:p>
    <w:p w14:paraId="787FF9FF" w14:textId="77777777" w:rsidR="00F928FD" w:rsidRPr="00DC3E13" w:rsidRDefault="00F928FD" w:rsidP="00F928FD">
      <w:pPr>
        <w:spacing w:after="0" w:line="240" w:lineRule="auto"/>
        <w:ind w:left="708" w:hanging="708"/>
        <w:jc w:val="both"/>
        <w:rPr>
          <w:rFonts w:ascii="Times New Roman" w:hAnsi="Times New Roman" w:cs="Times New Roman"/>
          <w:bCs/>
        </w:rPr>
      </w:pPr>
      <w:r w:rsidRPr="00DC3E13">
        <w:rPr>
          <w:rFonts w:ascii="Times New Roman" w:hAnsi="Times New Roman" w:cs="Times New Roman"/>
          <w:bCs/>
        </w:rPr>
        <w:t xml:space="preserve">Lave, J., &amp; Wenger, E. (1991). </w:t>
      </w:r>
      <w:proofErr w:type="spellStart"/>
      <w:r w:rsidRPr="00DC3E13">
        <w:rPr>
          <w:rFonts w:ascii="Times New Roman" w:hAnsi="Times New Roman" w:cs="Times New Roman"/>
          <w:bCs/>
          <w:i/>
          <w:iCs/>
        </w:rPr>
        <w:t>Situated</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learning</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Legitimate</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peripheral</w:t>
      </w:r>
      <w:proofErr w:type="spellEnd"/>
      <w:r w:rsidRPr="00DC3E13">
        <w:rPr>
          <w:rFonts w:ascii="Times New Roman" w:hAnsi="Times New Roman" w:cs="Times New Roman"/>
          <w:bCs/>
          <w:i/>
          <w:iCs/>
        </w:rPr>
        <w:t xml:space="preserve"> </w:t>
      </w:r>
      <w:proofErr w:type="spellStart"/>
      <w:r w:rsidRPr="00DC3E13">
        <w:rPr>
          <w:rFonts w:ascii="Times New Roman" w:hAnsi="Times New Roman" w:cs="Times New Roman"/>
          <w:bCs/>
          <w:i/>
          <w:iCs/>
        </w:rPr>
        <w:t>participation</w:t>
      </w:r>
      <w:proofErr w:type="spellEnd"/>
      <w:r w:rsidRPr="00DC3E13">
        <w:rPr>
          <w:rFonts w:ascii="Times New Roman" w:hAnsi="Times New Roman" w:cs="Times New Roman"/>
          <w:bCs/>
        </w:rPr>
        <w:t xml:space="preserve">. Cambridge </w:t>
      </w:r>
      <w:proofErr w:type="spellStart"/>
      <w:r w:rsidRPr="00DC3E13">
        <w:rPr>
          <w:rFonts w:ascii="Times New Roman" w:hAnsi="Times New Roman" w:cs="Times New Roman"/>
          <w:bCs/>
        </w:rPr>
        <w:t>University</w:t>
      </w:r>
      <w:proofErr w:type="spellEnd"/>
      <w:r w:rsidRPr="00DC3E13">
        <w:rPr>
          <w:rFonts w:ascii="Times New Roman" w:hAnsi="Times New Roman" w:cs="Times New Roman"/>
          <w:bCs/>
        </w:rPr>
        <w:t xml:space="preserve"> </w:t>
      </w:r>
      <w:proofErr w:type="spellStart"/>
      <w:r w:rsidRPr="00DC3E13">
        <w:rPr>
          <w:rFonts w:ascii="Times New Roman" w:hAnsi="Times New Roman" w:cs="Times New Roman"/>
          <w:bCs/>
        </w:rPr>
        <w:t>Press</w:t>
      </w:r>
      <w:proofErr w:type="spellEnd"/>
      <w:r w:rsidRPr="00DC3E13">
        <w:rPr>
          <w:rFonts w:ascii="Times New Roman" w:hAnsi="Times New Roman" w:cs="Times New Roman"/>
          <w:bCs/>
        </w:rPr>
        <w:t>. https://doi.org/10.1017/CBO9780511815355</w:t>
      </w:r>
    </w:p>
    <w:p w14:paraId="60A6B6ED" w14:textId="77777777" w:rsidR="00F928FD" w:rsidRPr="00DC3E13" w:rsidRDefault="00F928FD" w:rsidP="00F928FD">
      <w:pPr>
        <w:spacing w:after="0" w:line="240" w:lineRule="auto"/>
        <w:jc w:val="both"/>
        <w:rPr>
          <w:rFonts w:ascii="Times New Roman" w:hAnsi="Times New Roman" w:cs="Times New Roman"/>
          <w:bCs/>
        </w:rPr>
      </w:pPr>
      <w:r w:rsidRPr="00DC3E13">
        <w:rPr>
          <w:rFonts w:ascii="Times New Roman" w:hAnsi="Times New Roman" w:cs="Times New Roman"/>
          <w:bCs/>
        </w:rPr>
        <w:t xml:space="preserve">Le </w:t>
      </w:r>
      <w:proofErr w:type="spellStart"/>
      <w:r w:rsidRPr="00DC3E13">
        <w:rPr>
          <w:rFonts w:ascii="Times New Roman" w:hAnsi="Times New Roman" w:cs="Times New Roman"/>
          <w:bCs/>
        </w:rPr>
        <w:t>Boterf</w:t>
      </w:r>
      <w:proofErr w:type="spellEnd"/>
      <w:r w:rsidRPr="00DC3E13">
        <w:rPr>
          <w:rFonts w:ascii="Times New Roman" w:hAnsi="Times New Roman" w:cs="Times New Roman"/>
          <w:bCs/>
        </w:rPr>
        <w:t xml:space="preserve">, G. (2001). </w:t>
      </w:r>
      <w:r w:rsidRPr="00DC3E13">
        <w:rPr>
          <w:rFonts w:ascii="Times New Roman" w:hAnsi="Times New Roman" w:cs="Times New Roman"/>
          <w:bCs/>
          <w:i/>
          <w:iCs/>
        </w:rPr>
        <w:t>Ingeniería de las competencias</w:t>
      </w:r>
      <w:r w:rsidRPr="00DC3E13">
        <w:rPr>
          <w:rFonts w:ascii="Times New Roman" w:hAnsi="Times New Roman" w:cs="Times New Roman"/>
          <w:bCs/>
        </w:rPr>
        <w:t>. Gestión 2000.</w:t>
      </w:r>
    </w:p>
    <w:p w14:paraId="76C495B6" w14:textId="77777777" w:rsidR="00F928FD" w:rsidRPr="00DC3E13" w:rsidRDefault="00F928FD" w:rsidP="00F928FD">
      <w:pPr>
        <w:spacing w:after="0" w:line="240" w:lineRule="auto"/>
        <w:ind w:left="708" w:hanging="708"/>
        <w:jc w:val="both"/>
        <w:rPr>
          <w:rFonts w:ascii="Times New Roman" w:hAnsi="Times New Roman" w:cs="Times New Roman"/>
          <w:bCs/>
        </w:rPr>
      </w:pPr>
      <w:proofErr w:type="spellStart"/>
      <w:r w:rsidRPr="00DC3E13">
        <w:rPr>
          <w:rFonts w:ascii="Times New Roman" w:hAnsi="Times New Roman" w:cs="Times New Roman"/>
          <w:bCs/>
        </w:rPr>
        <w:t>Novick</w:t>
      </w:r>
      <w:proofErr w:type="spellEnd"/>
      <w:r w:rsidRPr="00DC3E13">
        <w:rPr>
          <w:rFonts w:ascii="Times New Roman" w:hAnsi="Times New Roman" w:cs="Times New Roman"/>
          <w:bCs/>
        </w:rPr>
        <w:t xml:space="preserve">, M. (2010). Educación, trabajo y políticas públicas en América Latina. En C. Jacinto (Comp.), </w:t>
      </w:r>
      <w:r w:rsidRPr="00DC3E13">
        <w:rPr>
          <w:rFonts w:ascii="Times New Roman" w:hAnsi="Times New Roman" w:cs="Times New Roman"/>
          <w:bCs/>
          <w:i/>
          <w:iCs/>
        </w:rPr>
        <w:t>La construcción social de las trayectorias laborales de jóvenes</w:t>
      </w:r>
      <w:r w:rsidRPr="00DC3E13">
        <w:rPr>
          <w:rFonts w:ascii="Times New Roman" w:hAnsi="Times New Roman" w:cs="Times New Roman"/>
          <w:bCs/>
        </w:rPr>
        <w:t xml:space="preserve"> (pp. 23–45). Teseo.</w:t>
      </w:r>
    </w:p>
    <w:p w14:paraId="6EB04B5E" w14:textId="77777777" w:rsidR="00F928FD" w:rsidRPr="00DC3E13" w:rsidRDefault="00F928FD" w:rsidP="00F928FD">
      <w:pPr>
        <w:spacing w:after="0" w:line="240" w:lineRule="auto"/>
        <w:ind w:left="708" w:hanging="708"/>
        <w:jc w:val="both"/>
        <w:rPr>
          <w:rFonts w:ascii="Times New Roman" w:hAnsi="Times New Roman" w:cs="Times New Roman"/>
          <w:bCs/>
        </w:rPr>
      </w:pPr>
      <w:r w:rsidRPr="00DC3E13">
        <w:rPr>
          <w:rFonts w:ascii="Times New Roman" w:hAnsi="Times New Roman" w:cs="Times New Roman"/>
          <w:bCs/>
        </w:rPr>
        <w:t xml:space="preserve">Tanguy, L. (2001). </w:t>
      </w:r>
      <w:r w:rsidRPr="00DC3E13">
        <w:rPr>
          <w:rFonts w:ascii="Times New Roman" w:hAnsi="Times New Roman" w:cs="Times New Roman"/>
          <w:bCs/>
          <w:i/>
          <w:iCs/>
        </w:rPr>
        <w:t>De la evaluación de los trabajadores a la de las competencias</w:t>
      </w:r>
      <w:r w:rsidRPr="00DC3E13">
        <w:rPr>
          <w:rFonts w:ascii="Times New Roman" w:hAnsi="Times New Roman" w:cs="Times New Roman"/>
          <w:bCs/>
        </w:rPr>
        <w:t>. Miño y Dávila.</w:t>
      </w:r>
    </w:p>
    <w:p w14:paraId="7C4856D9" w14:textId="77777777" w:rsidR="00F928FD" w:rsidRPr="00DC3E13" w:rsidRDefault="00F928FD" w:rsidP="00F928FD">
      <w:pPr>
        <w:spacing w:after="0" w:line="240" w:lineRule="auto"/>
        <w:ind w:left="708" w:hanging="708"/>
        <w:jc w:val="both"/>
        <w:rPr>
          <w:rFonts w:ascii="Times New Roman" w:hAnsi="Times New Roman" w:cs="Times New Roman"/>
          <w:bCs/>
        </w:rPr>
      </w:pPr>
      <w:r w:rsidRPr="00DC3E13">
        <w:rPr>
          <w:rFonts w:ascii="Times New Roman" w:hAnsi="Times New Roman" w:cs="Times New Roman"/>
          <w:bCs/>
        </w:rPr>
        <w:lastRenderedPageBreak/>
        <w:t xml:space="preserve">Tobón, S. (2013). </w:t>
      </w:r>
      <w:r w:rsidRPr="00DC3E13">
        <w:rPr>
          <w:rFonts w:ascii="Times New Roman" w:hAnsi="Times New Roman" w:cs="Times New Roman"/>
          <w:bCs/>
          <w:i/>
          <w:iCs/>
        </w:rPr>
        <w:t>Formación integral y competencias: Pensamiento complejo, currículo, didáctica y evaluación</w:t>
      </w:r>
      <w:r w:rsidRPr="00DC3E13">
        <w:rPr>
          <w:rFonts w:ascii="Times New Roman" w:hAnsi="Times New Roman" w:cs="Times New Roman"/>
          <w:bCs/>
        </w:rPr>
        <w:t xml:space="preserve"> (4.ª ed.). ECOE Ediciones.</w:t>
      </w:r>
    </w:p>
    <w:p w14:paraId="7E38ACDA" w14:textId="77777777" w:rsidR="00F928FD" w:rsidRPr="00DC3E13" w:rsidRDefault="00F928FD" w:rsidP="00F928FD">
      <w:pPr>
        <w:spacing w:after="0" w:line="240" w:lineRule="auto"/>
        <w:jc w:val="both"/>
        <w:rPr>
          <w:rFonts w:ascii="Times New Roman" w:hAnsi="Times New Roman" w:cs="Times New Roman"/>
          <w:bCs/>
        </w:rPr>
      </w:pPr>
    </w:p>
    <w:p w14:paraId="5F4C284C" w14:textId="77777777" w:rsidR="00F928FD" w:rsidRPr="00CC35E9" w:rsidRDefault="00F928FD" w:rsidP="00F928FD">
      <w:pPr>
        <w:spacing w:after="0" w:line="240" w:lineRule="auto"/>
        <w:jc w:val="both"/>
        <w:rPr>
          <w:rFonts w:ascii="Times New Roman" w:eastAsia="Times New Roman" w:hAnsi="Times New Roman" w:cs="Times New Roman"/>
        </w:rPr>
      </w:pPr>
    </w:p>
    <w:p w14:paraId="23CA62C6" w14:textId="2AA4F609" w:rsidR="00C802F5" w:rsidRPr="00BA642E" w:rsidRDefault="00134F0E" w:rsidP="00134F0E">
      <w:pPr>
        <w:spacing w:line="240" w:lineRule="auto"/>
        <w:jc w:val="both"/>
        <w:rPr>
          <w:rFonts w:ascii="Times New Roman" w:hAnsi="Times New Roman" w:cs="Times New Roman"/>
        </w:rPr>
      </w:pPr>
      <w:r w:rsidRPr="00134F0E">
        <w:rPr>
          <w:rFonts w:ascii="Times New Roman" w:hAnsi="Times New Roman" w:cs="Times New Roman"/>
        </w:rPr>
        <w:t xml:space="preserve">En el desarrollo del presente informe se utilizaron herramientas de inteligencia artificial generativa, específicamente </w:t>
      </w:r>
      <w:proofErr w:type="spellStart"/>
      <w:r w:rsidRPr="00134F0E">
        <w:rPr>
          <w:rFonts w:ascii="Times New Roman" w:hAnsi="Times New Roman" w:cs="Times New Roman"/>
        </w:rPr>
        <w:t>ChatGPT</w:t>
      </w:r>
      <w:proofErr w:type="spellEnd"/>
      <w:r w:rsidRPr="00134F0E">
        <w:rPr>
          <w:rFonts w:ascii="Times New Roman" w:hAnsi="Times New Roman" w:cs="Times New Roman"/>
        </w:rPr>
        <w:t xml:space="preserve"> (</w:t>
      </w:r>
      <w:proofErr w:type="spellStart"/>
      <w:r w:rsidRPr="00134F0E">
        <w:rPr>
          <w:rFonts w:ascii="Times New Roman" w:hAnsi="Times New Roman" w:cs="Times New Roman"/>
        </w:rPr>
        <w:t>OpenAI</w:t>
      </w:r>
      <w:proofErr w:type="spellEnd"/>
      <w:r w:rsidRPr="00134F0E">
        <w:rPr>
          <w:rFonts w:ascii="Times New Roman" w:hAnsi="Times New Roman" w:cs="Times New Roman"/>
        </w:rPr>
        <w:t>), Claude (</w:t>
      </w:r>
      <w:proofErr w:type="spellStart"/>
      <w:r w:rsidRPr="00134F0E">
        <w:rPr>
          <w:rFonts w:ascii="Times New Roman" w:hAnsi="Times New Roman" w:cs="Times New Roman"/>
        </w:rPr>
        <w:t>Anthropic</w:t>
      </w:r>
      <w:proofErr w:type="spellEnd"/>
      <w:r w:rsidRPr="00134F0E">
        <w:rPr>
          <w:rFonts w:ascii="Times New Roman" w:hAnsi="Times New Roman" w:cs="Times New Roman"/>
        </w:rPr>
        <w:t xml:space="preserve">) y </w:t>
      </w:r>
      <w:proofErr w:type="spellStart"/>
      <w:r w:rsidRPr="00134F0E">
        <w:rPr>
          <w:rFonts w:ascii="Times New Roman" w:hAnsi="Times New Roman" w:cs="Times New Roman"/>
        </w:rPr>
        <w:t>NotebookLM</w:t>
      </w:r>
      <w:proofErr w:type="spellEnd"/>
      <w:r w:rsidRPr="00134F0E">
        <w:rPr>
          <w:rFonts w:ascii="Times New Roman" w:hAnsi="Times New Roman" w:cs="Times New Roman"/>
        </w:rPr>
        <w:t xml:space="preserve"> (Google), como apoyo en determinadas tareas del proceso de investigación. Estas herramientas se emplearon para colaborar en el procesamiento y análisis de la información recopilada, asistir en la redacción y revisión del estilo académico del manuscrito, y verificar, organizar y adecuar las referencias bibliográficas conforme a las Normas APA (7.ª edición). En todos los casos, los aportes generados por estas herramientas fueron sometidos a revisión crítica, contraste con las fuentes originales y validación por parte del equipo de investigación. En consecuencia, la responsabilidad sobre el diseño metodológico, la interpretación de los datos, la selección y uso de las fuentes, las conclusiones y la versión final del informe corresponde exclusivamente al equipo de investigación.</w:t>
      </w:r>
    </w:p>
    <w:sectPr w:rsidR="00C802F5"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881C5" w14:textId="77777777" w:rsidR="00E4486B" w:rsidRPr="00BA642E" w:rsidRDefault="00E4486B" w:rsidP="00C802F5">
      <w:pPr>
        <w:spacing w:after="0" w:line="240" w:lineRule="auto"/>
      </w:pPr>
      <w:r w:rsidRPr="00BA642E">
        <w:separator/>
      </w:r>
    </w:p>
  </w:endnote>
  <w:endnote w:type="continuationSeparator" w:id="0">
    <w:p w14:paraId="4876FF9C" w14:textId="77777777" w:rsidR="00E4486B" w:rsidRPr="00BA642E" w:rsidRDefault="00E4486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A0DB8" w14:textId="77777777" w:rsidR="00E4486B" w:rsidRPr="00BA642E" w:rsidRDefault="00E4486B" w:rsidP="00C802F5">
      <w:pPr>
        <w:spacing w:after="0" w:line="240" w:lineRule="auto"/>
      </w:pPr>
      <w:r w:rsidRPr="00BA642E">
        <w:separator/>
      </w:r>
    </w:p>
  </w:footnote>
  <w:footnote w:type="continuationSeparator" w:id="0">
    <w:p w14:paraId="1AE903F4" w14:textId="77777777" w:rsidR="00E4486B" w:rsidRPr="00BA642E" w:rsidRDefault="00E4486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34F0E"/>
    <w:rsid w:val="001816D6"/>
    <w:rsid w:val="00185F5E"/>
    <w:rsid w:val="001923DC"/>
    <w:rsid w:val="002327C3"/>
    <w:rsid w:val="00312392"/>
    <w:rsid w:val="004040C0"/>
    <w:rsid w:val="00437E9C"/>
    <w:rsid w:val="00550766"/>
    <w:rsid w:val="005F3B2E"/>
    <w:rsid w:val="00701F64"/>
    <w:rsid w:val="007B5B5F"/>
    <w:rsid w:val="007D233B"/>
    <w:rsid w:val="008473D8"/>
    <w:rsid w:val="0085070B"/>
    <w:rsid w:val="008C045D"/>
    <w:rsid w:val="00A17247"/>
    <w:rsid w:val="00A74B1B"/>
    <w:rsid w:val="00B33FDC"/>
    <w:rsid w:val="00BA642E"/>
    <w:rsid w:val="00BC236F"/>
    <w:rsid w:val="00C802F5"/>
    <w:rsid w:val="00C96B2C"/>
    <w:rsid w:val="00CC04C1"/>
    <w:rsid w:val="00D843EC"/>
    <w:rsid w:val="00E30EF5"/>
    <w:rsid w:val="00E4486B"/>
    <w:rsid w:val="00F871E8"/>
    <w:rsid w:val="00F928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customStyle="1" w:styleId="isselectedend">
    <w:name w:val="isselectedend"/>
    <w:basedOn w:val="Normal"/>
    <w:rsid w:val="00F871E8"/>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styleId="NormalWeb">
    <w:name w:val="Normal (Web)"/>
    <w:basedOn w:val="Normal"/>
    <w:uiPriority w:val="99"/>
    <w:semiHidden/>
    <w:unhideWhenUsed/>
    <w:rsid w:val="00F871E8"/>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552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15</Pages>
  <Words>7057</Words>
  <Characters>38816</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CienciayTécnicaUMaza</cp:lastModifiedBy>
  <cp:revision>4</cp:revision>
  <dcterms:created xsi:type="dcterms:W3CDTF">2026-06-29T18:51:00Z</dcterms:created>
  <dcterms:modified xsi:type="dcterms:W3CDTF">2026-06-29T19:30:00Z</dcterms:modified>
</cp:coreProperties>
</file>