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DABD42B" w14:textId="6BC2092D" w:rsidR="001923DC" w:rsidRPr="00BA642E" w:rsidRDefault="007A2C5B" w:rsidP="007A2C5B">
      <w:pPr>
        <w:jc w:val="center"/>
        <w:rPr>
          <w:rFonts w:ascii="Times New Roman" w:hAnsi="Times New Roman" w:cs="Times New Roman"/>
          <w:b/>
          <w:bCs/>
        </w:rPr>
      </w:pPr>
      <w:r w:rsidRPr="007A2C5B">
        <w:rPr>
          <w:rFonts w:ascii="Times New Roman" w:hAnsi="Times New Roman" w:cs="Times New Roman"/>
          <w:b/>
          <w:bCs/>
        </w:rPr>
        <w:t>La articul</w:t>
      </w:r>
      <w:r>
        <w:rPr>
          <w:rFonts w:ascii="Times New Roman" w:hAnsi="Times New Roman" w:cs="Times New Roman"/>
          <w:b/>
          <w:bCs/>
        </w:rPr>
        <w:t xml:space="preserve">ación entre niveles educativos: </w:t>
      </w:r>
      <w:r w:rsidRPr="007A2C5B">
        <w:rPr>
          <w:rFonts w:ascii="Times New Roman" w:hAnsi="Times New Roman" w:cs="Times New Roman"/>
          <w:b/>
          <w:bCs/>
        </w:rPr>
        <w:t>An</w:t>
      </w:r>
      <w:bookmarkStart w:id="0" w:name="_GoBack"/>
      <w:bookmarkEnd w:id="0"/>
      <w:r w:rsidRPr="007A2C5B">
        <w:rPr>
          <w:rFonts w:ascii="Times New Roman" w:hAnsi="Times New Roman" w:cs="Times New Roman"/>
          <w:b/>
          <w:bCs/>
        </w:rPr>
        <w:t>álisis de la experiencia del Curso Preuniversitario “Nexos UNSAdA”</w:t>
      </w:r>
    </w:p>
    <w:p w14:paraId="43C49479" w14:textId="77777777" w:rsidR="005F3B2E" w:rsidRPr="00BA642E" w:rsidRDefault="005F3B2E" w:rsidP="001923DC">
      <w:pPr>
        <w:jc w:val="center"/>
        <w:rPr>
          <w:rFonts w:ascii="Times New Roman" w:hAnsi="Times New Roman" w:cs="Times New Roman"/>
        </w:rPr>
      </w:pPr>
    </w:p>
    <w:p w14:paraId="4E738780" w14:textId="50CE4A96" w:rsidR="005F3B2E" w:rsidRPr="00BA642E" w:rsidRDefault="007A2C5B" w:rsidP="005F3B2E">
      <w:pPr>
        <w:spacing w:after="0" w:line="240" w:lineRule="auto"/>
        <w:jc w:val="right"/>
        <w:rPr>
          <w:rFonts w:ascii="Times New Roman" w:hAnsi="Times New Roman" w:cs="Times New Roman"/>
        </w:rPr>
      </w:pPr>
      <w:r>
        <w:rPr>
          <w:rFonts w:ascii="Times New Roman" w:hAnsi="Times New Roman" w:cs="Times New Roman"/>
        </w:rPr>
        <w:t>Di Santo Marina</w:t>
      </w:r>
    </w:p>
    <w:p w14:paraId="6C2AECCA" w14:textId="46A3F725" w:rsidR="005F3B2E" w:rsidRPr="00BA642E" w:rsidRDefault="007A2C5B" w:rsidP="005F3B2E">
      <w:pPr>
        <w:spacing w:after="0" w:line="240" w:lineRule="auto"/>
        <w:jc w:val="right"/>
        <w:rPr>
          <w:rFonts w:ascii="Times New Roman" w:hAnsi="Times New Roman" w:cs="Times New Roman"/>
        </w:rPr>
      </w:pPr>
      <w:r>
        <w:rPr>
          <w:rFonts w:ascii="Times New Roman" w:hAnsi="Times New Roman" w:cs="Times New Roman"/>
        </w:rPr>
        <w:t>Universidad Nacional de San Antonio de Areco</w:t>
      </w:r>
    </w:p>
    <w:p w14:paraId="7D0026CD" w14:textId="12F2583F" w:rsidR="005F3B2E" w:rsidRPr="00BA642E" w:rsidRDefault="007A2C5B" w:rsidP="005F3B2E">
      <w:pPr>
        <w:spacing w:after="0" w:line="240" w:lineRule="auto"/>
        <w:jc w:val="right"/>
        <w:rPr>
          <w:rFonts w:ascii="Times New Roman" w:hAnsi="Times New Roman" w:cs="Times New Roman"/>
        </w:rPr>
      </w:pPr>
      <w:r>
        <w:rPr>
          <w:rFonts w:ascii="Times New Roman" w:hAnsi="Times New Roman" w:cs="Times New Roman"/>
        </w:rPr>
        <w:t>marina.disanto@unsada.edu.ar</w:t>
      </w:r>
    </w:p>
    <w:p w14:paraId="1FA0F857" w14:textId="77777777" w:rsidR="005F3B2E" w:rsidRPr="00BA642E" w:rsidRDefault="005F3B2E" w:rsidP="005F3B2E">
      <w:pPr>
        <w:rPr>
          <w:rFonts w:ascii="Times New Roman" w:hAnsi="Times New Roman" w:cs="Times New Roman"/>
        </w:rPr>
      </w:pPr>
    </w:p>
    <w:p w14:paraId="1275A9C7" w14:textId="123D2EDF" w:rsidR="005F3B2E" w:rsidRPr="00BA642E" w:rsidRDefault="00553495" w:rsidP="005F3B2E">
      <w:pPr>
        <w:spacing w:after="0" w:line="240" w:lineRule="auto"/>
        <w:jc w:val="right"/>
        <w:rPr>
          <w:rFonts w:ascii="Times New Roman" w:hAnsi="Times New Roman" w:cs="Times New Roman"/>
        </w:rPr>
      </w:pPr>
      <w:r>
        <w:rPr>
          <w:rFonts w:ascii="Times New Roman" w:hAnsi="Times New Roman" w:cs="Times New Roman"/>
        </w:rPr>
        <w:t>Sannuto Julia</w:t>
      </w:r>
    </w:p>
    <w:p w14:paraId="46FEEBE4" w14:textId="48716ADC" w:rsidR="005F3B2E" w:rsidRPr="00BA642E" w:rsidRDefault="00553495" w:rsidP="005F3B2E">
      <w:pPr>
        <w:spacing w:after="0" w:line="240" w:lineRule="auto"/>
        <w:jc w:val="right"/>
        <w:rPr>
          <w:rFonts w:ascii="Times New Roman" w:hAnsi="Times New Roman" w:cs="Times New Roman"/>
        </w:rPr>
      </w:pPr>
      <w:r>
        <w:rPr>
          <w:rFonts w:ascii="Times New Roman" w:hAnsi="Times New Roman" w:cs="Times New Roman"/>
        </w:rPr>
        <w:t>Universidad Nacional de San Antonio de Areco</w:t>
      </w:r>
    </w:p>
    <w:p w14:paraId="3CAC774D" w14:textId="68B7DAE7" w:rsidR="005F3B2E" w:rsidRPr="00BA642E" w:rsidRDefault="00553495" w:rsidP="005F3B2E">
      <w:pPr>
        <w:spacing w:after="0" w:line="240" w:lineRule="auto"/>
        <w:jc w:val="right"/>
        <w:rPr>
          <w:rFonts w:ascii="Times New Roman" w:hAnsi="Times New Roman" w:cs="Times New Roman"/>
        </w:rPr>
      </w:pPr>
      <w:r>
        <w:rPr>
          <w:rFonts w:ascii="Times New Roman" w:hAnsi="Times New Roman" w:cs="Times New Roman"/>
        </w:rPr>
        <w:t>julia.sannuto@unsada.edu.ar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3F03CDC2"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553495">
        <w:rPr>
          <w:rFonts w:ascii="Times New Roman" w:hAnsi="Times New Roman" w:cs="Times New Roman"/>
        </w:rPr>
        <w:t>Suarez Malena</w:t>
      </w:r>
    </w:p>
    <w:p w14:paraId="4E696C7D" w14:textId="4772E739" w:rsidR="005F3B2E" w:rsidRPr="00BA642E" w:rsidRDefault="00553495" w:rsidP="005F3B2E">
      <w:pPr>
        <w:spacing w:after="0" w:line="240" w:lineRule="auto"/>
        <w:jc w:val="right"/>
        <w:rPr>
          <w:rFonts w:ascii="Times New Roman" w:hAnsi="Times New Roman" w:cs="Times New Roman"/>
        </w:rPr>
      </w:pPr>
      <w:r>
        <w:rPr>
          <w:rFonts w:ascii="Times New Roman" w:hAnsi="Times New Roman" w:cs="Times New Roman"/>
        </w:rPr>
        <w:t>Universidad Nacional de San Antonio de Areco</w:t>
      </w:r>
    </w:p>
    <w:p w14:paraId="3D73DB11" w14:textId="43B40D17" w:rsidR="005F3B2E" w:rsidRPr="00BA642E" w:rsidRDefault="00553495" w:rsidP="005F3B2E">
      <w:pPr>
        <w:spacing w:after="0" w:line="240" w:lineRule="auto"/>
        <w:jc w:val="right"/>
        <w:rPr>
          <w:rFonts w:ascii="Times New Roman" w:hAnsi="Times New Roman" w:cs="Times New Roman"/>
        </w:rPr>
      </w:pPr>
      <w:r>
        <w:rPr>
          <w:rFonts w:ascii="Times New Roman" w:hAnsi="Times New Roman" w:cs="Times New Roman"/>
        </w:rPr>
        <w:t>malena.suarez@unsada.edu.ar</w:t>
      </w:r>
    </w:p>
    <w:p w14:paraId="66D2950D" w14:textId="77777777" w:rsidR="00F81740" w:rsidRDefault="00F81740" w:rsidP="00553495">
      <w:pPr>
        <w:spacing w:line="240" w:lineRule="auto"/>
        <w:jc w:val="both"/>
        <w:rPr>
          <w:rFonts w:ascii="Times New Roman" w:hAnsi="Times New Roman" w:cs="Times New Roman"/>
          <w:b/>
          <w:bCs/>
          <w:color w:val="EE0000"/>
        </w:rPr>
      </w:pPr>
    </w:p>
    <w:p w14:paraId="08230767" w14:textId="77777777" w:rsidR="0036127E" w:rsidRDefault="0036127E" w:rsidP="00553495">
      <w:pPr>
        <w:spacing w:line="240" w:lineRule="auto"/>
        <w:jc w:val="both"/>
        <w:rPr>
          <w:rFonts w:ascii="Times New Roman" w:hAnsi="Times New Roman" w:cs="Times New Roman"/>
          <w:b/>
          <w:bCs/>
          <w:lang w:val="en-US"/>
        </w:rPr>
      </w:pPr>
      <w:r>
        <w:rPr>
          <w:rFonts w:ascii="Times New Roman" w:hAnsi="Times New Roman" w:cs="Times New Roman"/>
          <w:b/>
          <w:bCs/>
          <w:lang w:val="en-US"/>
        </w:rPr>
        <w:t>Resumen</w:t>
      </w:r>
    </w:p>
    <w:p w14:paraId="30A4B54F" w14:textId="0C8C9454" w:rsidR="00553495" w:rsidRDefault="00553495" w:rsidP="00553495">
      <w:pPr>
        <w:spacing w:line="240" w:lineRule="auto"/>
        <w:jc w:val="both"/>
        <w:rPr>
          <w:rFonts w:ascii="Times New Roman" w:hAnsi="Times New Roman" w:cs="Times New Roman"/>
          <w:lang w:val="es-ES"/>
        </w:rPr>
      </w:pPr>
      <w:r w:rsidRPr="00553495">
        <w:rPr>
          <w:rFonts w:ascii="Times New Roman" w:hAnsi="Times New Roman" w:cs="Times New Roman"/>
          <w:lang w:val="es-ES"/>
        </w:rPr>
        <w:t>El presente trabajo analiza la experiencia del Curso Preuniversitar</w:t>
      </w:r>
      <w:r>
        <w:rPr>
          <w:rFonts w:ascii="Times New Roman" w:hAnsi="Times New Roman" w:cs="Times New Roman"/>
          <w:lang w:val="es-ES"/>
        </w:rPr>
        <w:t xml:space="preserve">io “Nexos UNSAdA”, </w:t>
      </w:r>
      <w:r w:rsidRPr="00553495">
        <w:rPr>
          <w:rFonts w:ascii="Times New Roman" w:hAnsi="Times New Roman" w:cs="Times New Roman"/>
          <w:lang w:val="es-ES"/>
        </w:rPr>
        <w:t>un dispositivo institucional orientado a fortalecer la articulación entre la educación secundaria y la educación superior. La propuesta se desarrolla en la Universidad Nacional de San Antonio de Areco y tiene como objetivo acompañar el proceso de transición hacia el nivel universitario mediante el fortalecimiento de saberes disciplinares iniciales y el desarrollo de competencias académicas necesarias para el</w:t>
      </w:r>
      <w:r>
        <w:rPr>
          <w:rFonts w:ascii="Times New Roman" w:hAnsi="Times New Roman" w:cs="Times New Roman"/>
          <w:lang w:val="es-ES"/>
        </w:rPr>
        <w:t xml:space="preserve"> inicio de estudios superiores.</w:t>
      </w:r>
    </w:p>
    <w:p w14:paraId="46E8BB04" w14:textId="1ED01AE6" w:rsidR="00553495" w:rsidRPr="00553495" w:rsidRDefault="00553495" w:rsidP="00553495">
      <w:pPr>
        <w:spacing w:line="240" w:lineRule="auto"/>
        <w:jc w:val="both"/>
        <w:rPr>
          <w:rFonts w:ascii="Times New Roman" w:hAnsi="Times New Roman" w:cs="Times New Roman"/>
          <w:lang w:val="es-ES"/>
        </w:rPr>
      </w:pPr>
      <w:r w:rsidRPr="00553495">
        <w:rPr>
          <w:rFonts w:ascii="Times New Roman" w:hAnsi="Times New Roman" w:cs="Times New Roman"/>
          <w:lang w:val="es-ES"/>
        </w:rPr>
        <w:t>El estudio se inscribe en el contexto de las transformaciones recientes del sistema educativo argentino, particularmente a partir de la implementación del nuevo régimen académico de la educación secundaria impulsado por la Dirección General de Cultura y Educación de la Provincia de Buenos Aires, que promueve trayectorias educativas más flexibles y el desarrollo de experiencias formativas de articulación entre distintos niveles del sistema educativo.</w:t>
      </w:r>
    </w:p>
    <w:p w14:paraId="695B6609" w14:textId="77777777" w:rsidR="00553495" w:rsidRPr="00553495" w:rsidRDefault="00553495" w:rsidP="00553495">
      <w:pPr>
        <w:spacing w:line="240" w:lineRule="auto"/>
        <w:jc w:val="both"/>
        <w:rPr>
          <w:rFonts w:ascii="Times New Roman" w:hAnsi="Times New Roman" w:cs="Times New Roman"/>
          <w:lang w:val="es-ES"/>
        </w:rPr>
      </w:pPr>
      <w:r w:rsidRPr="00553495">
        <w:rPr>
          <w:rFonts w:ascii="Times New Roman" w:hAnsi="Times New Roman" w:cs="Times New Roman"/>
          <w:lang w:val="es-ES"/>
        </w:rPr>
        <w:t>A partir del análisis de los resultados correspondientes al ciclo lectivo 2025, se examina el desempeño académico de los y las estudiantes que participaron del curso en las sedes de San Antonio de Areco y Baradero, considerando su participación en las asignaturas Universidad, Ciudadanía y Territorio, Inglés Técnico, Biología e Introducción al Álgebra. El trabajo analiza indicadores vinculados con la participación estudiantil, los resultados de aprobación por asignatura y la continuidad educativa de los y las participantes a través de su posterior inscripción en carreras de la universidad.</w:t>
      </w:r>
    </w:p>
    <w:p w14:paraId="72666273" w14:textId="77777777" w:rsidR="00553495" w:rsidRPr="00553495" w:rsidRDefault="00553495" w:rsidP="00553495">
      <w:pPr>
        <w:spacing w:line="240" w:lineRule="auto"/>
        <w:jc w:val="both"/>
        <w:rPr>
          <w:rFonts w:ascii="Times New Roman" w:hAnsi="Times New Roman" w:cs="Times New Roman"/>
          <w:lang w:val="es-ES"/>
        </w:rPr>
      </w:pPr>
      <w:r w:rsidRPr="00553495">
        <w:rPr>
          <w:rFonts w:ascii="Times New Roman" w:hAnsi="Times New Roman" w:cs="Times New Roman"/>
          <w:lang w:val="es-ES"/>
        </w:rPr>
        <w:t xml:space="preserve">Los resultados evidencian niveles de aprobación elevados en las asignaturas orientadas al desarrollo de habilidades y formación académica general, mientras que los espacios vinculados con contenidos disciplinares específicos presentan mayores niveles de </w:t>
      </w:r>
      <w:r w:rsidRPr="00553495">
        <w:rPr>
          <w:rFonts w:ascii="Times New Roman" w:hAnsi="Times New Roman" w:cs="Times New Roman"/>
          <w:lang w:val="es-ES"/>
        </w:rPr>
        <w:lastRenderedPageBreak/>
        <w:t>dificultad para los y las estudiantes. Asimismo, se observa una alta continuidad educativa entre quienes participaron del curso, dado que una proporción significativa formalizó posteriormente su inscripción en carreras de la universidad.</w:t>
      </w:r>
    </w:p>
    <w:p w14:paraId="648E034C" w14:textId="5CDBC74B" w:rsidR="00553495" w:rsidRPr="00553495" w:rsidRDefault="00553495" w:rsidP="00553495">
      <w:pPr>
        <w:spacing w:line="240" w:lineRule="auto"/>
        <w:jc w:val="both"/>
        <w:rPr>
          <w:rFonts w:ascii="Times New Roman" w:hAnsi="Times New Roman" w:cs="Times New Roman"/>
          <w:lang w:val="es-ES"/>
        </w:rPr>
      </w:pPr>
      <w:r w:rsidRPr="00553495">
        <w:rPr>
          <w:rFonts w:ascii="Times New Roman" w:hAnsi="Times New Roman" w:cs="Times New Roman"/>
          <w:lang w:val="es-ES"/>
        </w:rPr>
        <w:t>En conjunto, los resultados permiten reconocer el potencial del Curso Preuniversitario Nexos UNSAdA como un dispositivo institucional relevante para fortalecer la articulación entre niveles educativos, facilitar el acercamiento temprano al ámbito universitario y contribuir a la construcción de trayectorias educativas que favorezcan el acceso y la continuidad en la educación superior.</w:t>
      </w:r>
    </w:p>
    <w:p w14:paraId="2994BAB3" w14:textId="22788819"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9725D2">
        <w:rPr>
          <w:rFonts w:ascii="Times New Roman" w:hAnsi="Times New Roman" w:cs="Times New Roman"/>
        </w:rPr>
        <w:t>formación preuniversitaria, articulación, ingreso universitario.</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2E6F725A"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El acceso a la educación superior constituye uno de los momentos más significativos en las trayectorias educativas de los y las estudiantes. El ingreso a la universidad implica no sólo el inicio de una nueva etapa formativa, sino también la adaptación a dinámicas institucionales, académicas y pedagógicas que difieren de aquellas propias del nivel secundario. En este proceso intervienen múltiples factores que influyen en la construcción de la experiencia universitaria inicial, entre ellos los conocimientos previos, las expectativas académicas, las trayectorias educativas y las condiciones sociales en las que se desarrollan los estudios.</w:t>
      </w:r>
    </w:p>
    <w:p w14:paraId="0482BF1D"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En este marco, las universidades desarrollan diversas estrategias orientadas a acompañar el pasaje entre niveles educativos, con el objetivo de favorecer una transición más gradual y fortalecer las condiciones de ingreso y permanencia de quienes inician estudios superiores. Estas iniciativas buscan generar instancias de acercamiento temprano al ámbito universitario, promover la adquisición de herramientas académicas básicas y contribuir a la construcción de una relación progresiva con las prácticas de estudio propias del nivel superior.</w:t>
      </w:r>
    </w:p>
    <w:p w14:paraId="26EA7BE7"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Paralelamente, en los últimos años se han impulsado transformaciones en el sistema educativo argentino orientadas a fortalecer la articulación entre el nivel secundario y la educación superior. Entre ellas se destaca la implementación del nuevo régimen académico de la educación secundaria, que promueve la diversificación de las experiencias formativas y habilita nuevas modalidades de enseñanza y aprendizaje (RESOC-2024-1650-GDEBA-DGCYE). Este marco normativo introduce la posibilidad de desarrollar propuestas pedagógicas que trascienden los límites tradicionales de la institución escolar, permitiendo la participación de estudiantes en experiencias educativas vinculadas con otros niveles del sistema.</w:t>
      </w:r>
    </w:p>
    <w:p w14:paraId="0CA00185"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 xml:space="preserve">En este sentido, el nuevo régimen académico favorece la construcción de espacios de articulación entre instituciones educativas, habilitando experiencias de formación compartidas que contribuyen a ampliar las oportunidades de aprendizaje de los y las estudiantes del nivel secundario. Entre las iniciativas que se desprenden de esta perspectiva se encuentran las denominadas “aulas expandidas”, que permiten que estudiantes del último año de la escuela secundaria participen en actividades formativas desarrolladas en instituciones de educación superior. Este tipo de propuestas busca </w:t>
      </w:r>
      <w:r w:rsidRPr="00485B2F">
        <w:rPr>
          <w:rFonts w:ascii="Times New Roman" w:hAnsi="Times New Roman" w:cs="Times New Roman"/>
        </w:rPr>
        <w:lastRenderedPageBreak/>
        <w:t>acercar a los jóvenes al mundo universitario antes de la finalización de la escuela secundaria, permitiéndoles conocer sus dinámicas institucionales, sus modalidades de trabajo académico y las características propias de las distintas áreas de conocimiento.</w:t>
      </w:r>
    </w:p>
    <w:p w14:paraId="7167126C"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La articulación entre el nivel secundario y la universidad adquiere así una relevancia estratégica en el diseño de políticas educativas orientadas a fortalecer las trayectorias estudiantiles. Estas acciones contribuyen a reducir las brechas existentes entre ambos niveles del sistema educativo y favorecen la construcción de expectativas reales sobre la vida universitaria y promueven procesos de decisión vocacional.</w:t>
      </w:r>
    </w:p>
    <w:p w14:paraId="1A3AA18A"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En este escenario, la universidad se concibe como un espacio formativo que promueve la construcción de vínculos entre los conocimientos, experiencias e intereses de los(as) estudiantes. Asimismo, propicia el trabajo colaborativo, el desarrollo de metodologías centradas en el(la) estudiante y la implementación de estrategias pedagógicas orientadas a favorecer procesos de aprendizaje flexibles, activos y dinámicos.</w:t>
      </w:r>
    </w:p>
    <w:p w14:paraId="5653D89D" w14:textId="77777777" w:rsidR="00485B2F" w:rsidRP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 xml:space="preserve">Desde esta perspectiva, el ingreso al nivel superior implica la convergencia de diversos intereses, expectativas y trayectorias educativas, donde estudiante afronta este proceso desde experiencias previas, motivaciones y objetivos particulares, lo que da lugar a una marcada diversidad de perfiles dentro del ámbito universitario. En este escenario conviven jóvenes que inician por primera vez sus estudios superiores con personas que retoman trayectorias educativas previamente interrumpidas, así como también quienes buscan ampliar su formación para fortalecer su desarrollo profesional o responder a nuevas demandas del mercado laboral. Asimismo, se incorporan estudiantes que ya cuentan con formación previa y que deciden iniciar nuevos estudios con el propósito de ampliar sus campos de conocimiento o explorar áreas disciplinares diferentes a aquellas en las que se formaron anteriormente. Tal como señala Alicia </w:t>
      </w:r>
      <w:proofErr w:type="spellStart"/>
      <w:r w:rsidRPr="00485B2F">
        <w:rPr>
          <w:rFonts w:ascii="Times New Roman" w:hAnsi="Times New Roman" w:cs="Times New Roman"/>
        </w:rPr>
        <w:t>Wigdorovitz</w:t>
      </w:r>
      <w:proofErr w:type="spellEnd"/>
      <w:r w:rsidRPr="00485B2F">
        <w:rPr>
          <w:rFonts w:ascii="Times New Roman" w:hAnsi="Times New Roman" w:cs="Times New Roman"/>
        </w:rPr>
        <w:t xml:space="preserve"> de </w:t>
      </w:r>
      <w:proofErr w:type="spellStart"/>
      <w:r w:rsidRPr="00485B2F">
        <w:rPr>
          <w:rFonts w:ascii="Times New Roman" w:hAnsi="Times New Roman" w:cs="Times New Roman"/>
        </w:rPr>
        <w:t>Camilloni</w:t>
      </w:r>
      <w:proofErr w:type="spellEnd"/>
      <w:r w:rsidRPr="00485B2F">
        <w:rPr>
          <w:rFonts w:ascii="Times New Roman" w:hAnsi="Times New Roman" w:cs="Times New Roman"/>
        </w:rPr>
        <w:t xml:space="preserve"> (2017), el acceso a la universidad reúne una pluralidad de trayectorias, intereses y proyectos personales que reflejan tanto aspiraciones laborales como el deseo de profundizar en el conocimiento.</w:t>
      </w:r>
    </w:p>
    <w:p w14:paraId="4E75646D" w14:textId="77777777" w:rsidR="00485B2F" w:rsidRDefault="00485B2F" w:rsidP="00485B2F">
      <w:pPr>
        <w:spacing w:line="240" w:lineRule="auto"/>
        <w:jc w:val="both"/>
        <w:rPr>
          <w:rFonts w:ascii="Times New Roman" w:hAnsi="Times New Roman" w:cs="Times New Roman"/>
        </w:rPr>
      </w:pPr>
      <w:r w:rsidRPr="00485B2F">
        <w:rPr>
          <w:rFonts w:ascii="Times New Roman" w:hAnsi="Times New Roman" w:cs="Times New Roman"/>
        </w:rPr>
        <w:t>En este escenario se inscribe el Curso Preuniversitario “Nexos UNSAdA”. La propuesta se orienta a estudiantes del último año de la escuela secundaria y a personas interesadas en iniciar estudios superiores, y tiene como objetivo fortalecer competencias académicas iniciales y facilitar el acercamiento a distintos campos disciplinares. En este sentido, el presente trabajo tiene como objetivo analizar el Curso Preuniversitario “Nexos UNSAdA” como una experiencia institucional de articulación entre niveles educativos. Para ello se examinan los resultados académicos correspondientes al ciclo lectivo 2025, considerando el desempeño de los y las estudiantes en las diferentes asignaturas del curso y su posterior continuidad educativa mediante la inscripción en carreras de la universidad. El análisis busca aportar elementos para la comprensión del papel que este tipo de dispositivos puede desempeñar en el fortalecimiento de la articulación entre la educación secundaria y la educación superior.</w:t>
      </w:r>
    </w:p>
    <w:p w14:paraId="090B1ABC" w14:textId="77777777" w:rsidR="006E1ABA" w:rsidRDefault="006E1ABA" w:rsidP="006E1ABA">
      <w:pPr>
        <w:spacing w:line="240" w:lineRule="auto"/>
        <w:rPr>
          <w:rFonts w:ascii="Times New Roman" w:hAnsi="Times New Roman" w:cs="Times New Roman"/>
          <w:b/>
          <w:bCs/>
        </w:rPr>
      </w:pPr>
      <w:r>
        <w:rPr>
          <w:rFonts w:ascii="Times New Roman" w:hAnsi="Times New Roman" w:cs="Times New Roman"/>
          <w:b/>
          <w:bCs/>
        </w:rPr>
        <w:t>Marco institucional</w:t>
      </w:r>
    </w:p>
    <w:p w14:paraId="55CD4843" w14:textId="7FF58563" w:rsidR="006E1ABA" w:rsidRPr="006E1ABA" w:rsidRDefault="006E1ABA" w:rsidP="006E1ABA">
      <w:pPr>
        <w:spacing w:line="240" w:lineRule="auto"/>
        <w:jc w:val="both"/>
        <w:rPr>
          <w:rFonts w:ascii="Times New Roman" w:hAnsi="Times New Roman" w:cs="Times New Roman"/>
          <w:b/>
          <w:bCs/>
        </w:rPr>
      </w:pPr>
      <w:r w:rsidRPr="006E1ABA">
        <w:rPr>
          <w:rFonts w:ascii="Times New Roman" w:hAnsi="Times New Roman" w:cs="Times New Roman"/>
        </w:rPr>
        <w:t xml:space="preserve">La Universidad Nacional de San Antonio de Areco concibe el acceso a la educación superior y la igualdad de oportunidades como ejes centrales de su política institucional. </w:t>
      </w:r>
      <w:r w:rsidRPr="006E1ABA">
        <w:rPr>
          <w:rFonts w:ascii="Times New Roman" w:hAnsi="Times New Roman" w:cs="Times New Roman"/>
        </w:rPr>
        <w:lastRenderedPageBreak/>
        <w:t>En este sentido, desde la puesta en marcha de sus carreras ha desarrollado distintos dispositivos destinados a acompañar las trayectorias académicas de sus estudiantes y a generar condiciones que favorezcan el acceso, la permanencia y la graduación en el nivel superior.</w:t>
      </w:r>
    </w:p>
    <w:p w14:paraId="3F5A0ECD"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Estas acciones se enmarcan en lo establecido por la Ley de Educación Superior 27.204, que reconoce la responsabilidad principal e indelegable del Estado en garantizar la igualdad de oportunidades y condiciones en el acceso, la permanencia, la graduación y el egreso de los y las estudiantes del sistema de educación superior (2015). En consonancia con este principio, la Universidad implementa el Programa de ingreso, permanencia y egreso con calidad de estudiantes de la UNSADA (Resolución RO N° 111/2016), el cual organiza un conjunto de políticas institucionales orientadas a fortalecer las trayectorias educativas.</w:t>
      </w:r>
    </w:p>
    <w:p w14:paraId="7CF6ADDA"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Este programa contempla cuatro dispositivos fundamentales: un programa de articulación con la educación secundaria, un curso preuniversitario, un programa de seguimiento de estudiantes y un programa de acompañamiento para el egreso. Cada uno de estos dispositivos busca intervenir en distintos momentos del recorrido académico, con el objetivo de facilitar la transición hacia la educación superior, promover la continuidad en los estudios y favorecer la finalización de las carreras.</w:t>
      </w:r>
    </w:p>
    <w:p w14:paraId="1E788D2B"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Asimismo, la universidad cuenta con el Programa de Articulación Académica y Reconocimiento de Trayectos Curriculares (Resolución CS N° 149/2019), cuyo propósito es promover la vinculación entre distintos niveles del sistema educativo y favorecer el reconocimiento de trayectos formativos realizados en otros ámbitos educativos. Este programa busca facilitar la continuidad de estudios y fortalecer los procesos de articulación académica mediante el desarrollo de propuestas que permitan a los(as) estudiantes aproximarse a contenidos y experiencias propias del nivel universitario, así como reconocer saberes adquiridos en instancias formativas previas.</w:t>
      </w:r>
    </w:p>
    <w:p w14:paraId="11CC5F99"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En este marco se inscribe Nexos UNSAdA – Curso Preuniversitario (Resolución CS N°648/2025). Esta propuesta constituye un trayecto de reconocimiento curricular destinado a fortalecer los saberes previos de quienes aspiran a ingresar a la universidad, al tiempo que permite iniciar el cursado de asignaturas correspondientes a los planes de estudio de las carreras de la institución. De este modo, el curso funciona como una instancia anticipada de aproximación al ámbito universitario, orientada a mejorar el desempeño académico de los(as) futuros(as) estudiantes.</w:t>
      </w:r>
    </w:p>
    <w:p w14:paraId="687C342A"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La propuesta incluye el dictado de asignaturas pertenecientes a los departamentos de Ciencias Naturales y Exactas (CNE) y de Humanidades (H), atendiendo a los distintos requerimientos disciplinares y competencias que deben desarrollar los(as) estudiantes que ingresan a las diferentes carreras. Estas asignaturas buscan no sólo reforzar conocimientos disciplinares básicos, sino también promover el desarrollo de habilidades académicas necesarias para la realización de estudios superiores, tales como la comprensión de textos académicos y la resolución de problemas.</w:t>
      </w:r>
    </w:p>
    <w:p w14:paraId="7FEA2950" w14:textId="77777777" w:rsidR="006E1ABA" w:rsidRP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 xml:space="preserve">Asimismo, se propone acompañar a los participantes en la incorporación de herramientas necesarias para la vida universitaria, tales como la gestión de trámites académicos a través </w:t>
      </w:r>
      <w:r w:rsidRPr="006E1ABA">
        <w:rPr>
          <w:rFonts w:ascii="Times New Roman" w:hAnsi="Times New Roman" w:cs="Times New Roman"/>
        </w:rPr>
        <w:lastRenderedPageBreak/>
        <w:t>del sistema de gestión de alumnos(as) SIU guaraní, el uso de entornos virtuales de aprendizaje y el desarrollo de hábitos de estudio autónomo.</w:t>
      </w:r>
    </w:p>
    <w:p w14:paraId="170E09AF" w14:textId="553FDE25" w:rsidR="006E1ABA" w:rsidRDefault="006E1ABA" w:rsidP="006E1ABA">
      <w:pPr>
        <w:spacing w:line="240" w:lineRule="auto"/>
        <w:jc w:val="both"/>
        <w:rPr>
          <w:rFonts w:ascii="Times New Roman" w:hAnsi="Times New Roman" w:cs="Times New Roman"/>
        </w:rPr>
      </w:pPr>
      <w:r w:rsidRPr="006E1ABA">
        <w:rPr>
          <w:rFonts w:ascii="Times New Roman" w:hAnsi="Times New Roman" w:cs="Times New Roman"/>
        </w:rPr>
        <w:t>Al mismo tiempo, la propuesta se articula con instituciones de educación secundaria del territorio, favoreciendo la participación de estudiantes del último año en el marco de acuerdos interinstitucionales que habilitan su incorporación a estas experiencias formativas en la universidad. De este modo, el curso preuniversitario no sólo funciona como un dispositivo de acompañamiento para quienes proyectan iniciar estudios superiores, sino también como un espacio de articulación entre niveles educativos que fortalece el vínculo entre la universidad y las instituciones del sistema educativo local.</w:t>
      </w:r>
    </w:p>
    <w:p w14:paraId="39123EC1" w14:textId="2DC90995" w:rsidR="006E1ABA" w:rsidRDefault="006E1ABA" w:rsidP="006E1ABA">
      <w:pPr>
        <w:spacing w:line="240" w:lineRule="auto"/>
        <w:rPr>
          <w:rFonts w:ascii="Times New Roman" w:hAnsi="Times New Roman" w:cs="Times New Roman"/>
          <w:b/>
          <w:bCs/>
        </w:rPr>
      </w:pPr>
      <w:r>
        <w:rPr>
          <w:rFonts w:ascii="Times New Roman" w:hAnsi="Times New Roman" w:cs="Times New Roman"/>
          <w:b/>
          <w:bCs/>
        </w:rPr>
        <w:t>Objetivos</w:t>
      </w:r>
    </w:p>
    <w:p w14:paraId="36A25B3B" w14:textId="77777777" w:rsidR="006E1ABA" w:rsidRPr="003901D3" w:rsidRDefault="006E1ABA" w:rsidP="006E1ABA">
      <w:pPr>
        <w:spacing w:line="240" w:lineRule="auto"/>
        <w:jc w:val="both"/>
        <w:rPr>
          <w:rFonts w:ascii="Times New Roman" w:hAnsi="Times New Roman" w:cs="Times New Roman"/>
          <w:b/>
          <w:bCs/>
        </w:rPr>
      </w:pPr>
      <w:r w:rsidRPr="003901D3">
        <w:rPr>
          <w:rFonts w:ascii="Times New Roman" w:hAnsi="Times New Roman" w:cs="Times New Roman"/>
          <w:b/>
          <w:bCs/>
        </w:rPr>
        <w:t>Objetivo General</w:t>
      </w:r>
    </w:p>
    <w:p w14:paraId="0D92B6C3" w14:textId="77777777"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Analizar el Curso Preuniversitario “Nexos UNSAdA” como un dispositivo institucional orientado a fortalecer la articulación entre la educación secundaria y la educación superior, a partir del estudio de la participación estudiantil, los resultados académicos obtenidos en el ciclo lectivo 2025 y la continuidad educativa de los y las participantes en carreras de la Universidad Nacional de San Antonio de Areco.</w:t>
      </w:r>
    </w:p>
    <w:p w14:paraId="5079FF86" w14:textId="77777777" w:rsidR="006E1ABA" w:rsidRPr="003901D3" w:rsidRDefault="006E1ABA" w:rsidP="006E1ABA">
      <w:pPr>
        <w:spacing w:line="240" w:lineRule="auto"/>
        <w:jc w:val="both"/>
        <w:rPr>
          <w:rFonts w:ascii="Times New Roman" w:hAnsi="Times New Roman" w:cs="Times New Roman"/>
          <w:b/>
          <w:bCs/>
        </w:rPr>
      </w:pPr>
      <w:r w:rsidRPr="003901D3">
        <w:rPr>
          <w:rFonts w:ascii="Times New Roman" w:hAnsi="Times New Roman" w:cs="Times New Roman"/>
          <w:b/>
          <w:bCs/>
        </w:rPr>
        <w:t>Objetivos específicos</w:t>
      </w:r>
    </w:p>
    <w:p w14:paraId="734CA9B8" w14:textId="6D4FEA58"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Describir la participación de estudiantes en el Curso Preuniversitario “Nexos UNSAdA” según sedes y asignaturas cursadas en el ciclo lectivo 2025.</w:t>
      </w:r>
    </w:p>
    <w:p w14:paraId="5F17E337" w14:textId="7BE84EE5"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Analizar los resultados académicos obtenidos por los y las estudiantes en las distintas asignaturas del curso.</w:t>
      </w:r>
    </w:p>
    <w:p w14:paraId="32749A0F" w14:textId="5BA977B3"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Identificar las asignaturas que presentan mayores niveles de aprobación y aquellas que evidencian mayores dificultades en el proceso de aprendizaje.</w:t>
      </w:r>
    </w:p>
    <w:p w14:paraId="3E470C90" w14:textId="5950A56D"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Examinar la continuidad educativa de los y las participantes a través de su posterior inscripción en carreras de la Universidad Nacional de San Antonio de Areco.</w:t>
      </w:r>
    </w:p>
    <w:p w14:paraId="14815A3F" w14:textId="10248B3B" w:rsidR="006E1ABA" w:rsidRPr="006E1ABA" w:rsidRDefault="006E1ABA" w:rsidP="006E1ABA">
      <w:pPr>
        <w:spacing w:line="240" w:lineRule="auto"/>
        <w:jc w:val="both"/>
        <w:rPr>
          <w:rFonts w:ascii="Times New Roman" w:hAnsi="Times New Roman" w:cs="Times New Roman"/>
          <w:bCs/>
        </w:rPr>
      </w:pPr>
      <w:r w:rsidRPr="006E1ABA">
        <w:rPr>
          <w:rFonts w:ascii="Times New Roman" w:hAnsi="Times New Roman" w:cs="Times New Roman"/>
          <w:bCs/>
        </w:rPr>
        <w:t>Reconocer el aporte del curso preuniversitario como estrategia institucional para fortalecer la articulación entre la educación secundaria y la educación superior.</w:t>
      </w:r>
    </w:p>
    <w:p w14:paraId="16A45B23" w14:textId="3BBA82D7" w:rsidR="003901D3" w:rsidRDefault="003901D3" w:rsidP="003901D3">
      <w:pPr>
        <w:spacing w:line="240" w:lineRule="auto"/>
        <w:rPr>
          <w:rFonts w:ascii="Times New Roman" w:hAnsi="Times New Roman" w:cs="Times New Roman"/>
          <w:b/>
          <w:bCs/>
        </w:rPr>
      </w:pPr>
      <w:r>
        <w:rPr>
          <w:rFonts w:ascii="Times New Roman" w:hAnsi="Times New Roman" w:cs="Times New Roman"/>
          <w:b/>
          <w:bCs/>
        </w:rPr>
        <w:t>Perfil de los y las estudiantes participantes</w:t>
      </w:r>
    </w:p>
    <w:p w14:paraId="70DDF489" w14:textId="77777777"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 xml:space="preserve">El análisis de los datos de los(as) participantes del curso preuniversitario “Nexos UNSAdA” permite caracterizar el perfil etario y educativo de quienes formaron parte de esta propuesta. </w:t>
      </w:r>
    </w:p>
    <w:p w14:paraId="0DFB1965" w14:textId="77777777"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En términos generales, el conjunto de participantes presenta una predominancia de jóvenes que se encuentran finalizando o que finalizaron recientemente la escuela secundaria, principalmente en el rango de 16 a 19 años (78%). Este dato resulta consistente con los objetivos del curso preuniversitario, orientado a acompañar la transición entre el nivel secundario y la educación superior, fortaleciendo competencias académicas y brindando herramientas de orientación para la continuidad de estudios.</w:t>
      </w:r>
    </w:p>
    <w:p w14:paraId="7509E146" w14:textId="77777777"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lastRenderedPageBreak/>
        <w:t>No obstante, también se registra la participación de personas adultas (22%), lo que evidencia la presencia de trayectorias educativas diversas y el interés de estudiantes que buscan retomar o iniciar estudios universitarios en etapas avanzadas de su vida, luego de haber transitado otros recorridos formativos o laborales.</w:t>
      </w:r>
    </w:p>
    <w:p w14:paraId="1714335E" w14:textId="5F22B960" w:rsid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Gráfico 1 | Distribución de participantes según grupo etario</w:t>
      </w:r>
    </w:p>
    <w:p w14:paraId="522E8412" w14:textId="3E0006E0" w:rsidR="003901D3" w:rsidRPr="003901D3" w:rsidRDefault="003901D3" w:rsidP="003901D3">
      <w:pPr>
        <w:spacing w:line="240" w:lineRule="auto"/>
        <w:jc w:val="center"/>
        <w:rPr>
          <w:rFonts w:ascii="Times New Roman" w:hAnsi="Times New Roman" w:cs="Times New Roman"/>
          <w:bCs/>
        </w:rPr>
      </w:pPr>
      <w:r>
        <w:rPr>
          <w:noProof/>
          <w:lang w:eastAsia="es-AR"/>
        </w:rPr>
        <w:drawing>
          <wp:inline distT="0" distB="0" distL="0" distR="0" wp14:anchorId="221483C9" wp14:editId="62AA1C7A">
            <wp:extent cx="5209540" cy="2543175"/>
            <wp:effectExtent l="0" t="0" r="1016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435D06C" w14:textId="70D05572" w:rsidR="003901D3" w:rsidRPr="003901D3" w:rsidRDefault="003901D3" w:rsidP="003901D3">
      <w:pPr>
        <w:spacing w:line="240" w:lineRule="auto"/>
        <w:jc w:val="center"/>
        <w:rPr>
          <w:rFonts w:ascii="Times New Roman" w:hAnsi="Times New Roman" w:cs="Times New Roman"/>
          <w:bCs/>
        </w:rPr>
      </w:pPr>
      <w:r w:rsidRPr="003901D3">
        <w:rPr>
          <w:rFonts w:ascii="Times New Roman" w:hAnsi="Times New Roman" w:cs="Times New Roman"/>
          <w:bCs/>
        </w:rPr>
        <w:t>Fuente: Elaboración propia con datos consignados por los(as) participantes</w:t>
      </w:r>
    </w:p>
    <w:p w14:paraId="1F896108" w14:textId="77777777"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En la sede de San Antonio de Areco participaron 14 estudiantes, de los cuales 10 (71%) se ubican entre los 16 y 19 años. Las edades registradas en este grupo abarcan desde los 16 hasta los 27 años, con mayor concentración en los 18 años.</w:t>
      </w:r>
    </w:p>
    <w:p w14:paraId="745C204F" w14:textId="77777777"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 xml:space="preserve">Por su parte, en la sede de Baradero se registró un grupo más numeroso, con 22 estudiantes que se encuentran también en el rango de 16 a 19 años (81%). En esta sede se observa una mayor diversidad etaria, con un 19% de personas adultas. </w:t>
      </w:r>
    </w:p>
    <w:p w14:paraId="7D3A58FB" w14:textId="0D505D94" w:rsidR="003901D3" w:rsidRPr="003901D3" w:rsidRDefault="003901D3" w:rsidP="003901D3">
      <w:pPr>
        <w:spacing w:line="240" w:lineRule="auto"/>
        <w:jc w:val="both"/>
        <w:rPr>
          <w:rFonts w:ascii="Times New Roman" w:hAnsi="Times New Roman" w:cs="Times New Roman"/>
          <w:bCs/>
        </w:rPr>
      </w:pPr>
      <w:r w:rsidRPr="003901D3">
        <w:rPr>
          <w:rFonts w:ascii="Times New Roman" w:hAnsi="Times New Roman" w:cs="Times New Roman"/>
          <w:bCs/>
        </w:rPr>
        <w:t>En cuanto a la procedencia educativa, los y las participantes provienen de diversas escuelas secundarias de las ciudades donde se desarrolló el curso y de localidades cercanas, incluyendo instituciones educativas de la localidad de Arrecifes. Entre las instituciones identificadas de Baradero se encuentran la Escuela Secundaria Nº 3, con seis estudiantes participantes; la Escuela Secundaria Nº 8 y la Escuela Secundaria Nº 11, con dos estudiantes cada una; la Escuela Secundaria Nº 10, con un(a) estudiante; y la Escuela Secundaria Nº 2 de Arrecifes, también con un estudiante. Asimismo, se registra la participación de una estudiante proveniente del Instituto Santa María de la Asunción, institución educativa de San Antonio de Areco. Este aspecto refleja el alcance territorial del curso y su capacidad para fortalecer la articulación entre la universidad y el nivel secundario en la región.</w:t>
      </w:r>
    </w:p>
    <w:p w14:paraId="14278339" w14:textId="11F791AB" w:rsidR="00EC520B" w:rsidRDefault="00F713A1" w:rsidP="00EC520B">
      <w:pPr>
        <w:spacing w:line="240" w:lineRule="auto"/>
        <w:rPr>
          <w:rFonts w:ascii="Times New Roman" w:hAnsi="Times New Roman" w:cs="Times New Roman"/>
          <w:b/>
          <w:bCs/>
        </w:rPr>
      </w:pPr>
      <w:r>
        <w:rPr>
          <w:rFonts w:ascii="Times New Roman" w:hAnsi="Times New Roman" w:cs="Times New Roman"/>
          <w:b/>
          <w:bCs/>
        </w:rPr>
        <w:t>Resultados académicos</w:t>
      </w:r>
    </w:p>
    <w:p w14:paraId="6824A0A5" w14:textId="77777777" w:rsidR="00F713A1" w:rsidRPr="00F713A1" w:rsidRDefault="00F713A1" w:rsidP="00F713A1">
      <w:pPr>
        <w:spacing w:line="240" w:lineRule="auto"/>
        <w:jc w:val="both"/>
        <w:rPr>
          <w:rFonts w:ascii="Times New Roman" w:hAnsi="Times New Roman" w:cs="Times New Roman"/>
          <w:bCs/>
        </w:rPr>
      </w:pPr>
      <w:r w:rsidRPr="00F713A1">
        <w:rPr>
          <w:rFonts w:ascii="Times New Roman" w:hAnsi="Times New Roman" w:cs="Times New Roman"/>
          <w:bCs/>
        </w:rPr>
        <w:t xml:space="preserve">El análisis de los resultados del Curso Preuniversitario Nexos UNSAdA correspondiente al ciclo lectivo 2025 registra un total de 59 estudiantes inscriptos(as), de los cuales 19 </w:t>
      </w:r>
      <w:r w:rsidRPr="00F713A1">
        <w:rPr>
          <w:rFonts w:ascii="Times New Roman" w:hAnsi="Times New Roman" w:cs="Times New Roman"/>
          <w:bCs/>
        </w:rPr>
        <w:lastRenderedPageBreak/>
        <w:t>corresponden a la sede San Antonio de Areco y 40 a la sede Baradero. Esta diferencia refleja una mayor demanda de participación en la sede Baradero, lo cual puede vincularse con el alcance territorial de la propuesta y la participación de estudiantes provenientes de distintas escuelas secundarias de la región.</w:t>
      </w:r>
    </w:p>
    <w:p w14:paraId="6033C802" w14:textId="77777777" w:rsidR="00F713A1" w:rsidRPr="00F713A1" w:rsidRDefault="00F713A1" w:rsidP="00F713A1">
      <w:pPr>
        <w:spacing w:line="240" w:lineRule="auto"/>
        <w:jc w:val="both"/>
        <w:rPr>
          <w:rFonts w:ascii="Times New Roman" w:hAnsi="Times New Roman" w:cs="Times New Roman"/>
          <w:bCs/>
        </w:rPr>
      </w:pPr>
      <w:r w:rsidRPr="00F713A1">
        <w:rPr>
          <w:rFonts w:ascii="Times New Roman" w:hAnsi="Times New Roman" w:cs="Times New Roman"/>
          <w:bCs/>
        </w:rPr>
        <w:t>Sin embargo, al analizar la participación efectiva en las actividades del curso se observa una diferencia entre la cantidad de estudiantes inscriptos(as) y quienes finalmente asistieron a las clases. En total se registraron 41 estudiantes asistentes, lo que representa aproximadamente el 69% del total de inscriptos(as). De ellos(as), 14 participaron en la sede San Antonio de Areco y 27 en la sede Baradero.</w:t>
      </w:r>
    </w:p>
    <w:p w14:paraId="3D8CEE69" w14:textId="77777777" w:rsidR="00F713A1" w:rsidRPr="00F713A1" w:rsidRDefault="00F713A1" w:rsidP="00F713A1">
      <w:pPr>
        <w:spacing w:line="240" w:lineRule="auto"/>
        <w:jc w:val="both"/>
        <w:rPr>
          <w:rFonts w:ascii="Times New Roman" w:hAnsi="Times New Roman" w:cs="Times New Roman"/>
          <w:bCs/>
        </w:rPr>
      </w:pPr>
      <w:r w:rsidRPr="00F713A1">
        <w:rPr>
          <w:rFonts w:ascii="Times New Roman" w:hAnsi="Times New Roman" w:cs="Times New Roman"/>
          <w:bCs/>
        </w:rPr>
        <w:t>No obstante, el número de asistentes indica un nivel significativo de participación en ambas sedes, lo que evidencia el interés de los(as) estudiantes por acceder a instancias formativas vinculadas con el ámbito universitario antes del inicio formal de sus estudios superiores.</w:t>
      </w:r>
    </w:p>
    <w:p w14:paraId="619C0C22" w14:textId="23F89541" w:rsidR="00F713A1" w:rsidRDefault="00F713A1" w:rsidP="00F713A1">
      <w:pPr>
        <w:spacing w:line="240" w:lineRule="auto"/>
        <w:jc w:val="both"/>
        <w:rPr>
          <w:rFonts w:ascii="Times New Roman" w:hAnsi="Times New Roman" w:cs="Times New Roman"/>
          <w:bCs/>
        </w:rPr>
      </w:pPr>
      <w:r w:rsidRPr="00F713A1">
        <w:rPr>
          <w:rFonts w:ascii="Times New Roman" w:hAnsi="Times New Roman" w:cs="Times New Roman"/>
          <w:bCs/>
        </w:rPr>
        <w:t>Gráfico 2 | Distribución de asistentes por sede</w:t>
      </w:r>
    </w:p>
    <w:p w14:paraId="1282B29C" w14:textId="3FF022C6" w:rsidR="00F713A1" w:rsidRPr="00F713A1" w:rsidRDefault="00F713A1" w:rsidP="00F713A1">
      <w:pPr>
        <w:spacing w:line="240" w:lineRule="auto"/>
        <w:jc w:val="center"/>
        <w:rPr>
          <w:rFonts w:ascii="Times New Roman" w:hAnsi="Times New Roman" w:cs="Times New Roman"/>
          <w:bCs/>
        </w:rPr>
      </w:pPr>
      <w:r>
        <w:rPr>
          <w:noProof/>
          <w:lang w:eastAsia="es-AR"/>
        </w:rPr>
        <w:drawing>
          <wp:inline distT="0" distB="0" distL="0" distR="0" wp14:anchorId="7A72CD09" wp14:editId="102C8F2D">
            <wp:extent cx="3514725" cy="1962150"/>
            <wp:effectExtent l="0" t="0" r="9525"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39FFAC" w14:textId="2CB10C20" w:rsidR="006E1ABA" w:rsidRPr="00F713A1" w:rsidRDefault="00F713A1" w:rsidP="00F713A1">
      <w:pPr>
        <w:spacing w:line="240" w:lineRule="auto"/>
        <w:jc w:val="center"/>
        <w:rPr>
          <w:rFonts w:ascii="Times New Roman" w:hAnsi="Times New Roman" w:cs="Times New Roman"/>
          <w:bCs/>
        </w:rPr>
      </w:pPr>
      <w:r w:rsidRPr="00F713A1">
        <w:rPr>
          <w:rFonts w:ascii="Times New Roman" w:hAnsi="Times New Roman" w:cs="Times New Roman"/>
          <w:bCs/>
        </w:rPr>
        <w:t>Fuente. Elaboración propia con datos provistos por la Secretaría Académica</w:t>
      </w:r>
    </w:p>
    <w:p w14:paraId="12CE0BCB" w14:textId="29406DC3" w:rsidR="005F3B2E" w:rsidRPr="007B5B5F" w:rsidRDefault="00F713A1" w:rsidP="007B5B5F">
      <w:pPr>
        <w:spacing w:line="240" w:lineRule="auto"/>
        <w:rPr>
          <w:rFonts w:ascii="Times New Roman" w:hAnsi="Times New Roman" w:cs="Times New Roman"/>
          <w:b/>
          <w:bCs/>
        </w:rPr>
      </w:pPr>
      <w:r>
        <w:rPr>
          <w:rFonts w:ascii="Times New Roman" w:hAnsi="Times New Roman" w:cs="Times New Roman"/>
          <w:b/>
          <w:bCs/>
        </w:rPr>
        <w:t>Participación por asignatura</w:t>
      </w:r>
    </w:p>
    <w:p w14:paraId="4A8D3B7F" w14:textId="77777777" w:rsidR="00E7620D" w:rsidRPr="00E7620D" w:rsidRDefault="00E7620D" w:rsidP="00E7620D">
      <w:pPr>
        <w:spacing w:line="240" w:lineRule="auto"/>
        <w:jc w:val="both"/>
        <w:rPr>
          <w:rFonts w:ascii="Times New Roman" w:hAnsi="Times New Roman" w:cs="Times New Roman"/>
        </w:rPr>
      </w:pPr>
      <w:r w:rsidRPr="00E7620D">
        <w:rPr>
          <w:rFonts w:ascii="Times New Roman" w:hAnsi="Times New Roman" w:cs="Times New Roman"/>
        </w:rPr>
        <w:t>El Curso Preuniversitario Nexos UNSAdA contempló el dictado de distintas asignaturas orientadas al desarrollo de competencias académicas y disciplinares necesarias para el inicio de estudios universitarios. La propuesta incluyó las materias Universidad, Ciudadanía y Territorio, Inglés Técnico, Biología e Introducción al Álgebra, pertenecientes a distintas áreas de formación de la Universidad Nacional de San Antonio de Areco.</w:t>
      </w:r>
    </w:p>
    <w:p w14:paraId="27304357" w14:textId="77777777" w:rsidR="00E7620D" w:rsidRPr="00E7620D" w:rsidRDefault="00E7620D" w:rsidP="00E7620D">
      <w:pPr>
        <w:spacing w:line="240" w:lineRule="auto"/>
        <w:jc w:val="both"/>
        <w:rPr>
          <w:rFonts w:ascii="Times New Roman" w:hAnsi="Times New Roman" w:cs="Times New Roman"/>
        </w:rPr>
      </w:pPr>
      <w:r w:rsidRPr="00E7620D">
        <w:rPr>
          <w:rFonts w:ascii="Times New Roman" w:hAnsi="Times New Roman" w:cs="Times New Roman"/>
        </w:rPr>
        <w:t>En términos de organización académica, los y las estudiantes podían cursar un máximo de tres asignaturas. Dentro de este esquema, Universidad, Ciudadanía y Territorio e Inglés Técnico formaban parte del trayecto común, mientras que la tercera asignatura debía elegirse entre Biología o Introducción al Álgebra, según los intereses y la orientación de las carreras que los(as) estudiantes proyectaban iniciar. Esta modalidad de cursada explica las diferencias observadas en la cantidad de inscriptos(as) en cada materia, particularmente entre las dos asignaturas optativas.</w:t>
      </w:r>
    </w:p>
    <w:p w14:paraId="01943009" w14:textId="77777777" w:rsidR="00E7620D" w:rsidRPr="00E7620D" w:rsidRDefault="00E7620D" w:rsidP="00E7620D">
      <w:pPr>
        <w:spacing w:line="240" w:lineRule="auto"/>
        <w:jc w:val="both"/>
        <w:rPr>
          <w:rFonts w:ascii="Times New Roman" w:hAnsi="Times New Roman" w:cs="Times New Roman"/>
        </w:rPr>
      </w:pPr>
      <w:r w:rsidRPr="00E7620D">
        <w:rPr>
          <w:rFonts w:ascii="Times New Roman" w:hAnsi="Times New Roman" w:cs="Times New Roman"/>
        </w:rPr>
        <w:lastRenderedPageBreak/>
        <w:t xml:space="preserve">En la sede de San Antonio de Areco se registraron 14 estudiantes en Universidad, Ciudadanía y Territorio, 9 en Inglés Técnico, 12 en Introducción al Álgebra y 3 en Biología. Por su parte, en la sede de Baradero participaron 27 estudiantes en Universidad, Ciudadanía y Territorio, 20 en Inglés Técnico, 14 en Introducción al Álgebra y 4 en Biología (ver cuadro 1). </w:t>
      </w:r>
    </w:p>
    <w:p w14:paraId="2D036B10" w14:textId="7E0DE031" w:rsidR="00E7620D" w:rsidRDefault="00E7620D" w:rsidP="00E7620D">
      <w:pPr>
        <w:spacing w:line="240" w:lineRule="auto"/>
        <w:jc w:val="both"/>
        <w:rPr>
          <w:rFonts w:ascii="Times New Roman" w:hAnsi="Times New Roman" w:cs="Times New Roman"/>
        </w:rPr>
      </w:pPr>
      <w:r w:rsidRPr="00E7620D">
        <w:rPr>
          <w:rFonts w:ascii="Times New Roman" w:hAnsi="Times New Roman" w:cs="Times New Roman"/>
        </w:rPr>
        <w:t>Cuadro 1 | Participación de estudiantes por asignatura y sede</w:t>
      </w:r>
    </w:p>
    <w:tbl>
      <w:tblPr>
        <w:tblStyle w:val="Tablaconcuadrcula"/>
        <w:tblW w:w="0" w:type="auto"/>
        <w:jc w:val="center"/>
        <w:tblLook w:val="04A0" w:firstRow="1" w:lastRow="0" w:firstColumn="1" w:lastColumn="0" w:noHBand="0" w:noVBand="1"/>
      </w:tblPr>
      <w:tblGrid>
        <w:gridCol w:w="3964"/>
        <w:gridCol w:w="2148"/>
        <w:gridCol w:w="1623"/>
        <w:gridCol w:w="706"/>
      </w:tblGrid>
      <w:tr w:rsidR="00E7620D" w:rsidRPr="00E7620D" w14:paraId="1FB2AD06" w14:textId="77777777" w:rsidTr="00E7620D">
        <w:trPr>
          <w:jc w:val="center"/>
        </w:trPr>
        <w:tc>
          <w:tcPr>
            <w:tcW w:w="3964" w:type="dxa"/>
            <w:vAlign w:val="center"/>
            <w:hideMark/>
          </w:tcPr>
          <w:p w14:paraId="5E813960" w14:textId="77777777"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Asignatura</w:t>
            </w:r>
          </w:p>
        </w:tc>
        <w:tc>
          <w:tcPr>
            <w:tcW w:w="2148" w:type="dxa"/>
            <w:vAlign w:val="center"/>
            <w:hideMark/>
          </w:tcPr>
          <w:p w14:paraId="1E82FDDB" w14:textId="3414D6B2"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Sede San Antonio de Areco</w:t>
            </w:r>
          </w:p>
        </w:tc>
        <w:tc>
          <w:tcPr>
            <w:tcW w:w="0" w:type="auto"/>
            <w:vAlign w:val="center"/>
            <w:hideMark/>
          </w:tcPr>
          <w:p w14:paraId="22517634" w14:textId="1E7D43E8"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Sede Baradero</w:t>
            </w:r>
          </w:p>
        </w:tc>
        <w:tc>
          <w:tcPr>
            <w:tcW w:w="0" w:type="auto"/>
            <w:vAlign w:val="center"/>
            <w:hideMark/>
          </w:tcPr>
          <w:p w14:paraId="2A3072D9" w14:textId="46A2DB92"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Total</w:t>
            </w:r>
          </w:p>
        </w:tc>
      </w:tr>
      <w:tr w:rsidR="00E7620D" w:rsidRPr="00E7620D" w14:paraId="36BF9BC3" w14:textId="77777777" w:rsidTr="00E7620D">
        <w:trPr>
          <w:jc w:val="center"/>
        </w:trPr>
        <w:tc>
          <w:tcPr>
            <w:tcW w:w="3964" w:type="dxa"/>
            <w:vAlign w:val="center"/>
            <w:hideMark/>
          </w:tcPr>
          <w:p w14:paraId="24A48FE1" w14:textId="77777777"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Universidad, Ciudadanía y Territorio</w:t>
            </w:r>
          </w:p>
        </w:tc>
        <w:tc>
          <w:tcPr>
            <w:tcW w:w="2148" w:type="dxa"/>
            <w:vAlign w:val="center"/>
            <w:hideMark/>
          </w:tcPr>
          <w:p w14:paraId="58307644"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14</w:t>
            </w:r>
          </w:p>
        </w:tc>
        <w:tc>
          <w:tcPr>
            <w:tcW w:w="0" w:type="auto"/>
            <w:vAlign w:val="center"/>
            <w:hideMark/>
          </w:tcPr>
          <w:p w14:paraId="5635EC23"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27</w:t>
            </w:r>
          </w:p>
        </w:tc>
        <w:tc>
          <w:tcPr>
            <w:tcW w:w="0" w:type="auto"/>
            <w:vAlign w:val="center"/>
            <w:hideMark/>
          </w:tcPr>
          <w:p w14:paraId="6DB0E7F5"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41</w:t>
            </w:r>
          </w:p>
        </w:tc>
      </w:tr>
      <w:tr w:rsidR="00E7620D" w:rsidRPr="00E7620D" w14:paraId="3130697D" w14:textId="77777777" w:rsidTr="00E7620D">
        <w:trPr>
          <w:jc w:val="center"/>
        </w:trPr>
        <w:tc>
          <w:tcPr>
            <w:tcW w:w="3964" w:type="dxa"/>
            <w:vAlign w:val="center"/>
            <w:hideMark/>
          </w:tcPr>
          <w:p w14:paraId="6FC7681F" w14:textId="77777777"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Inglés Técnico</w:t>
            </w:r>
          </w:p>
        </w:tc>
        <w:tc>
          <w:tcPr>
            <w:tcW w:w="2148" w:type="dxa"/>
            <w:vAlign w:val="center"/>
            <w:hideMark/>
          </w:tcPr>
          <w:p w14:paraId="4FF256C3"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9</w:t>
            </w:r>
          </w:p>
        </w:tc>
        <w:tc>
          <w:tcPr>
            <w:tcW w:w="0" w:type="auto"/>
            <w:vAlign w:val="center"/>
            <w:hideMark/>
          </w:tcPr>
          <w:p w14:paraId="1EF74717"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20</w:t>
            </w:r>
          </w:p>
        </w:tc>
        <w:tc>
          <w:tcPr>
            <w:tcW w:w="0" w:type="auto"/>
            <w:vAlign w:val="center"/>
            <w:hideMark/>
          </w:tcPr>
          <w:p w14:paraId="0F6F0571"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29</w:t>
            </w:r>
          </w:p>
        </w:tc>
      </w:tr>
      <w:tr w:rsidR="00E7620D" w:rsidRPr="00E7620D" w14:paraId="63490798" w14:textId="77777777" w:rsidTr="00E7620D">
        <w:trPr>
          <w:jc w:val="center"/>
        </w:trPr>
        <w:tc>
          <w:tcPr>
            <w:tcW w:w="3964" w:type="dxa"/>
            <w:vAlign w:val="center"/>
            <w:hideMark/>
          </w:tcPr>
          <w:p w14:paraId="294BA50C" w14:textId="77777777"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Introducción al Álgebra</w:t>
            </w:r>
          </w:p>
        </w:tc>
        <w:tc>
          <w:tcPr>
            <w:tcW w:w="2148" w:type="dxa"/>
            <w:vAlign w:val="center"/>
            <w:hideMark/>
          </w:tcPr>
          <w:p w14:paraId="56077F85"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12</w:t>
            </w:r>
          </w:p>
        </w:tc>
        <w:tc>
          <w:tcPr>
            <w:tcW w:w="0" w:type="auto"/>
            <w:vAlign w:val="center"/>
            <w:hideMark/>
          </w:tcPr>
          <w:p w14:paraId="78B3FA10"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14</w:t>
            </w:r>
          </w:p>
        </w:tc>
        <w:tc>
          <w:tcPr>
            <w:tcW w:w="0" w:type="auto"/>
            <w:vAlign w:val="center"/>
            <w:hideMark/>
          </w:tcPr>
          <w:p w14:paraId="2B8D3578"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26</w:t>
            </w:r>
          </w:p>
        </w:tc>
      </w:tr>
      <w:tr w:rsidR="00E7620D" w:rsidRPr="00E7620D" w14:paraId="63D97E4A" w14:textId="77777777" w:rsidTr="00E7620D">
        <w:trPr>
          <w:jc w:val="center"/>
        </w:trPr>
        <w:tc>
          <w:tcPr>
            <w:tcW w:w="3964" w:type="dxa"/>
            <w:vAlign w:val="center"/>
            <w:hideMark/>
          </w:tcPr>
          <w:p w14:paraId="03B54B9B" w14:textId="77777777" w:rsidR="00E7620D" w:rsidRPr="00E7620D" w:rsidRDefault="00E7620D" w:rsidP="00E7620D">
            <w:pPr>
              <w:jc w:val="center"/>
              <w:rPr>
                <w:rFonts w:ascii="Times New Roman" w:hAnsi="Times New Roman" w:cs="Times New Roman"/>
                <w:bCs/>
                <w:lang w:val="es-AR"/>
              </w:rPr>
            </w:pPr>
            <w:r w:rsidRPr="00E7620D">
              <w:rPr>
                <w:rFonts w:ascii="Times New Roman" w:hAnsi="Times New Roman" w:cs="Times New Roman"/>
                <w:bCs/>
                <w:lang w:val="es-AR"/>
              </w:rPr>
              <w:t>Biología</w:t>
            </w:r>
          </w:p>
        </w:tc>
        <w:tc>
          <w:tcPr>
            <w:tcW w:w="2148" w:type="dxa"/>
            <w:vAlign w:val="center"/>
            <w:hideMark/>
          </w:tcPr>
          <w:p w14:paraId="5D2236AC"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3</w:t>
            </w:r>
          </w:p>
        </w:tc>
        <w:tc>
          <w:tcPr>
            <w:tcW w:w="0" w:type="auto"/>
            <w:vAlign w:val="center"/>
            <w:hideMark/>
          </w:tcPr>
          <w:p w14:paraId="04985BA0"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4</w:t>
            </w:r>
          </w:p>
        </w:tc>
        <w:tc>
          <w:tcPr>
            <w:tcW w:w="0" w:type="auto"/>
            <w:vAlign w:val="center"/>
            <w:hideMark/>
          </w:tcPr>
          <w:p w14:paraId="63FFB542" w14:textId="77777777" w:rsidR="00E7620D" w:rsidRPr="00E7620D" w:rsidRDefault="00E7620D" w:rsidP="00E7620D">
            <w:pPr>
              <w:jc w:val="center"/>
              <w:rPr>
                <w:rFonts w:ascii="Times New Roman" w:hAnsi="Times New Roman" w:cs="Times New Roman"/>
                <w:lang w:val="es-AR"/>
              </w:rPr>
            </w:pPr>
            <w:r w:rsidRPr="00E7620D">
              <w:rPr>
                <w:rFonts w:ascii="Times New Roman" w:hAnsi="Times New Roman" w:cs="Times New Roman"/>
                <w:lang w:val="es-AR"/>
              </w:rPr>
              <w:t>7</w:t>
            </w:r>
          </w:p>
        </w:tc>
      </w:tr>
    </w:tbl>
    <w:p w14:paraId="3102DDE4" w14:textId="1EC26811" w:rsidR="00E7620D" w:rsidRPr="00E7620D" w:rsidRDefault="00E7620D" w:rsidP="00E7620D">
      <w:pPr>
        <w:spacing w:line="240" w:lineRule="auto"/>
        <w:jc w:val="center"/>
        <w:rPr>
          <w:rFonts w:ascii="Times New Roman" w:hAnsi="Times New Roman" w:cs="Times New Roman"/>
        </w:rPr>
      </w:pPr>
      <w:r w:rsidRPr="00E7620D">
        <w:rPr>
          <w:rFonts w:ascii="Times New Roman" w:hAnsi="Times New Roman" w:cs="Times New Roman"/>
        </w:rPr>
        <w:t>Fuente. Elaboración propia con datos provistos por la Secretaría Académica</w:t>
      </w:r>
    </w:p>
    <w:p w14:paraId="5607516A" w14:textId="77777777" w:rsidR="00E7620D" w:rsidRPr="00E7620D" w:rsidRDefault="00E7620D" w:rsidP="00E7620D">
      <w:pPr>
        <w:spacing w:line="240" w:lineRule="auto"/>
        <w:jc w:val="both"/>
        <w:rPr>
          <w:rFonts w:ascii="Times New Roman" w:hAnsi="Times New Roman" w:cs="Times New Roman"/>
        </w:rPr>
      </w:pPr>
      <w:r w:rsidRPr="00E7620D">
        <w:rPr>
          <w:rFonts w:ascii="Times New Roman" w:hAnsi="Times New Roman" w:cs="Times New Roman"/>
        </w:rPr>
        <w:t>La elevada cantidad de estudiantes en Universidad, Ciudadanía y Territorio responde a su carácter transversal dentro de la propuesta formativa, orientada al desarrollo de habilidades académicas necesarias para el desempeño en el ámbito universitario, tales como la comprensión de textos académicos, la reflexión crítica sobre problemáticas sociales y el conocimiento del funcionamiento institucional de la universidad. De manera similar, Inglés Técnico concentró también un número importante de participantes, lo que evidencia el interés por fortalecer competencias vinculadas con la lectura y comprensión de textos en lengua extranjera, particularmente relevantes en distintas áreas de formación universitaria.</w:t>
      </w:r>
    </w:p>
    <w:p w14:paraId="544B704F" w14:textId="231F052E" w:rsidR="00BC236F" w:rsidRDefault="00E7620D" w:rsidP="00E7620D">
      <w:pPr>
        <w:spacing w:line="240" w:lineRule="auto"/>
        <w:jc w:val="both"/>
        <w:rPr>
          <w:rFonts w:ascii="Times New Roman" w:hAnsi="Times New Roman" w:cs="Times New Roman"/>
        </w:rPr>
      </w:pPr>
      <w:r w:rsidRPr="00E7620D">
        <w:rPr>
          <w:rFonts w:ascii="Times New Roman" w:hAnsi="Times New Roman" w:cs="Times New Roman"/>
        </w:rPr>
        <w:t>En cuanto a las asignaturas optativas, se observa una mayor inscripción en Introducción al Álgebra en comparación con Biología, tanto en la sede San Antonio de Areco como en Baradero. Esta diferencia puede asociarse a las orientaciones académicas de los y las estudiantes participantes y a la relación de estos contenidos con las carreras de interés, particularmente aquellas vinculadas con áreas de formación científico-tecnológica: este patrón de elección sugiere la presencia de un grupo significativo de estudiantes interesados(as) en trayectorias formativas vinculadas con campos como la informática, la ingeniería y otras disciplinas que requieren una base sólida en conocimientos matemáticos.</w:t>
      </w:r>
    </w:p>
    <w:p w14:paraId="70080ED8" w14:textId="7D7A2E17" w:rsidR="00E7620D" w:rsidRDefault="00E7620D" w:rsidP="00E7620D">
      <w:pPr>
        <w:spacing w:line="240" w:lineRule="auto"/>
        <w:rPr>
          <w:rFonts w:ascii="Times New Roman" w:hAnsi="Times New Roman" w:cs="Times New Roman"/>
          <w:b/>
          <w:bCs/>
        </w:rPr>
      </w:pPr>
      <w:r w:rsidRPr="00BA642E">
        <w:rPr>
          <w:rFonts w:ascii="Times New Roman" w:hAnsi="Times New Roman" w:cs="Times New Roman"/>
          <w:b/>
          <w:bCs/>
        </w:rPr>
        <w:t>Re</w:t>
      </w:r>
      <w:r>
        <w:rPr>
          <w:rFonts w:ascii="Times New Roman" w:hAnsi="Times New Roman" w:cs="Times New Roman"/>
          <w:b/>
          <w:bCs/>
        </w:rPr>
        <w:t>sultados de aprobación</w:t>
      </w:r>
    </w:p>
    <w:p w14:paraId="2C96ABBA"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En términos generales, los resultados evidencian niveles de aprobación diversos entre las distintas asignaturas, lo que permite identificar diferencias en el desempeño académico según el tipo de contenidos abordados y las características de cada espacio formativo. El gráfico 3 muestra los resultados generales de aprobación para cada una de las asignaturas.</w:t>
      </w:r>
    </w:p>
    <w:p w14:paraId="53471C1E" w14:textId="2B46CC33" w:rsidR="00E7620D" w:rsidRPr="00E7620D"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Gráfico 3. Estudiantes aprobados(as) por asignatura</w:t>
      </w:r>
    </w:p>
    <w:p w14:paraId="7816879B" w14:textId="00B3D7E1" w:rsidR="00E7620D" w:rsidRPr="00BA642E" w:rsidRDefault="00B271F7" w:rsidP="00E7620D">
      <w:pPr>
        <w:spacing w:line="240" w:lineRule="auto"/>
        <w:jc w:val="both"/>
        <w:rPr>
          <w:rFonts w:ascii="Times New Roman" w:hAnsi="Times New Roman" w:cs="Times New Roman"/>
        </w:rPr>
      </w:pPr>
      <w:r>
        <w:rPr>
          <w:noProof/>
          <w:lang w:eastAsia="es-AR"/>
        </w:rPr>
        <w:lastRenderedPageBreak/>
        <w:drawing>
          <wp:inline distT="0" distB="0" distL="0" distR="0" wp14:anchorId="0E6D9042" wp14:editId="1A0952A3">
            <wp:extent cx="5400040" cy="1943100"/>
            <wp:effectExtent l="0" t="0" r="1016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A6D2ABB" w14:textId="33CEACD0" w:rsidR="00B271F7" w:rsidRPr="00B271F7" w:rsidRDefault="00B271F7" w:rsidP="00B271F7">
      <w:pPr>
        <w:spacing w:line="240" w:lineRule="auto"/>
        <w:jc w:val="center"/>
        <w:rPr>
          <w:rFonts w:ascii="Times New Roman" w:hAnsi="Times New Roman" w:cs="Times New Roman"/>
          <w:bCs/>
        </w:rPr>
      </w:pPr>
      <w:r w:rsidRPr="00B271F7">
        <w:rPr>
          <w:rFonts w:ascii="Times New Roman" w:hAnsi="Times New Roman" w:cs="Times New Roman"/>
          <w:bCs/>
        </w:rPr>
        <w:t>Fuente. Elaboración propia con datos provis</w:t>
      </w:r>
      <w:r w:rsidRPr="00B271F7">
        <w:rPr>
          <w:rFonts w:ascii="Times New Roman" w:hAnsi="Times New Roman" w:cs="Times New Roman"/>
          <w:bCs/>
        </w:rPr>
        <w:t>tos por la Secretaría Académica</w:t>
      </w:r>
    </w:p>
    <w:p w14:paraId="490D3D0C"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En la asignatura Universidad, Ciudadanía y Territorio, que forma parte del trayecto común del curso, se registraron 11 estudiantes aprobados(as) sobre un total de 14 inscriptos(as) en la sede San Antonio de Areco, mientras que en la sede Baradero 20 de los(as) 27 estudiantes alcanzaron la aprobación. Estos valores reflejan niveles de aprobación elevados en ambas sedes, considerando la cantidad de estudiantes que participaron en la cursada. Cabe señalar que en esta asignatura no se registraron estudiantes reprobados(as): los casos de estudiantes que no figuran entre los(as) aprobados(as) corresponden a ausencias en las instancias de evaluación o a estudiantes que no completaron la cursada, lo que explica la diferencia entre el total de inscriptos(as) y el número final de aprobados(as).</w:t>
      </w:r>
    </w:p>
    <w:p w14:paraId="1BEBCB9B"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Por su parte, la asignatura Inglés Técnico presenta los niveles de aprobación más altos del conjunto de materias. En la sede San Antonio de Areco los(as) 9 estudiantes inscriptos(as) aprobaron la asignatura, mientras que en Baradero los(as) 20 estudiantes que cursaron también alcanzaron la aprobación. En este caso, la totalidad de los(as) estudiantes que participaron y se presentaron a las instancias de evaluación logró cumplir con los requisitos establecidos, por lo que tampoco se registran casos de desaprobación. De manera similar a lo observado en Universidad, Ciudadanía y Territorio, las diferencias entre el número de inscriptos(as) y los resultados finales se explican por situaciones de inasistencia, y no por desempeños académicos insuficientes.</w:t>
      </w:r>
    </w:p>
    <w:p w14:paraId="3FEEAF68"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En contraste, la asignatura Introducción al Álgebra presenta niveles de aprobación considerablemente más bajos en comparación con el resto de las materias del curso. En la sede San Antonio de Areco, de los(as) 12 estudiantes inscriptos(as), 2 lograron aprobar la asignatura, 6 resultaron reprobados(as) y 4 se registraron como ausentes. Por su parte, en la sede Baradero, de los(as) 14 estudiantes inscriptos(as), 3 alcanzaron la aprobación mientras que 11 no lograron aprobar la materia.</w:t>
      </w:r>
    </w:p>
    <w:p w14:paraId="42CC082A"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 xml:space="preserve">En el caso de la asignatura Biología, los resultados muestran niveles de aprobación relativamente altos en relación con la cantidad de estudiantes que participaron. En la sede San Antonio de Areco, 2 de los(as) 3 estudiantes inscriptos(as) aprobaron la asignatura, mientras que 1 estudiante se registró como ausente. Por su parte, en la sede Baradero, 3 de los(as) 4 estudiantes inscriptos(as) lograron la aprobación, mientras que 1 estudiante </w:t>
      </w:r>
      <w:r w:rsidRPr="00B271F7">
        <w:rPr>
          <w:rFonts w:ascii="Times New Roman" w:hAnsi="Times New Roman" w:cs="Times New Roman"/>
          <w:bCs/>
        </w:rPr>
        <w:lastRenderedPageBreak/>
        <w:t>estuvo ausente. Si bien el número de participantes es reducido —debido a que esta asignatura se ofrecía como alternativa a Introducción al Álgebra—, los datos indican un desempeño académico favorable entre quienes optaron por este espacio formativo.</w:t>
      </w:r>
    </w:p>
    <w:p w14:paraId="286215DD"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En conjunto, los resultados de aprobación permiten observar diferencias en el rendimiento según las características de cada asignatura. Mientras que los espacios orientados al desarrollo de habilidades y formación académica general, como Universidad, Ciudadanía y Territorio e Inglés Técnico, presentan altos niveles de aprobación y ausencia de casos de desaprobación, las asignaturas vinculadas con contenidos disciplinares específicos, como Introducción al Álgebra, muestran mayores niveles de dificultad para los(as) estudiantes.</w:t>
      </w:r>
    </w:p>
    <w:p w14:paraId="7DEB7B31" w14:textId="1AC87D48" w:rsid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El análisis de estos resultados aporta información valiosa para la evaluación del curso y para el diseño de futuras ediciones del programa. En particular, permite identificar fortalezas en aquellos espacios que logran altos niveles de aprobación, así como también áreas en las que podría resultar pertinente revisar estrategias pedagógicas o modalidades de acompañamiento académico, con el objetivo de continuar fortaleciendo las condiciones de acceso y transición hacia los estudios universitarios.</w:t>
      </w:r>
    </w:p>
    <w:p w14:paraId="30CFC964" w14:textId="77777777" w:rsidR="00B271F7" w:rsidRDefault="00B271F7" w:rsidP="00B271F7">
      <w:pPr>
        <w:spacing w:line="240" w:lineRule="auto"/>
        <w:rPr>
          <w:rFonts w:ascii="Times New Roman" w:hAnsi="Times New Roman" w:cs="Times New Roman"/>
          <w:b/>
          <w:bCs/>
        </w:rPr>
      </w:pPr>
      <w:r>
        <w:rPr>
          <w:rFonts w:ascii="Times New Roman" w:hAnsi="Times New Roman" w:cs="Times New Roman"/>
          <w:b/>
          <w:bCs/>
        </w:rPr>
        <w:t>Desempeño según cantidad de asignaturas aprobadas</w:t>
      </w:r>
    </w:p>
    <w:p w14:paraId="61D1857C"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Para profundizar en el análisis del desempeño académico, se distribuye la cantidad de estudiantes según el número de asignaturas acreditadas en el curso. Este indicador permite visualizar la consistencia del rendimiento estudiantil, considerando que la propuesta permitía cursar hasta un máximo de tres materias.</w:t>
      </w:r>
    </w:p>
    <w:p w14:paraId="3DFADA56"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 xml:space="preserve">En la sede de San Antonio de Areco, de los(as) 14 estudiantes que participaron en el curso, 2 no registraron aprobación en ninguna asignatura. Asimismo, 4 estudiantes aprobaron una materia, otros(as) 4 aprobaron dos asignaturas y 4 estudiantes lograron aprobar las tres materias cursadas. </w:t>
      </w:r>
    </w:p>
    <w:p w14:paraId="5B96EB7C"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Estos resultados evidencian una distribución relativamente equilibrada entre los distintos niveles de aprobación, con un grupo significativo de estudiantes que logró completar satisfactoriamente la totalidad del trayecto formativo propuesto.</w:t>
      </w:r>
    </w:p>
    <w:p w14:paraId="47D4D082"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 xml:space="preserve">Por su parte, en la sede de Baradero se registró un total de 27 estudiantes participantes. De ellos(as), 13 aprobaron una asignatura, 8 estudiantes aprobaron dos materias y 6 lograron aprobar las tres asignaturas cursadas. </w:t>
      </w:r>
    </w:p>
    <w:p w14:paraId="76E84546" w14:textId="1DD949C1"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A diferencia de lo observado en la sede San Antonio de Areco, en este caso se concentra una mayor proporción de estudiantes con aprobación parcial del trayecto, principal</w:t>
      </w:r>
      <w:r>
        <w:rPr>
          <w:rFonts w:ascii="Times New Roman" w:hAnsi="Times New Roman" w:cs="Times New Roman"/>
          <w:bCs/>
        </w:rPr>
        <w:t>mente con una materia aprobada.</w:t>
      </w:r>
    </w:p>
    <w:p w14:paraId="431704FD" w14:textId="33EF42B6" w:rsid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Cuadro 2 | Estudiantes según cantidad de materias aprobadas por sede</w:t>
      </w:r>
    </w:p>
    <w:tbl>
      <w:tblPr>
        <w:tblStyle w:val="Tablaconcuadrcula"/>
        <w:tblW w:w="8494" w:type="dxa"/>
        <w:jc w:val="center"/>
        <w:tblLook w:val="04A0" w:firstRow="1" w:lastRow="0" w:firstColumn="1" w:lastColumn="0" w:noHBand="0" w:noVBand="1"/>
      </w:tblPr>
      <w:tblGrid>
        <w:gridCol w:w="1555"/>
        <w:gridCol w:w="1984"/>
        <w:gridCol w:w="2126"/>
        <w:gridCol w:w="1536"/>
        <w:gridCol w:w="1293"/>
      </w:tblGrid>
      <w:tr w:rsidR="00B271F7" w:rsidRPr="00B271F7" w14:paraId="396A3BEC" w14:textId="77777777" w:rsidTr="00B271F7">
        <w:trPr>
          <w:trHeight w:val="315"/>
          <w:jc w:val="center"/>
        </w:trPr>
        <w:tc>
          <w:tcPr>
            <w:tcW w:w="1555" w:type="dxa"/>
            <w:vAlign w:val="center"/>
            <w:hideMark/>
          </w:tcPr>
          <w:p w14:paraId="6A987CF9"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Materias Aprobadas</w:t>
            </w:r>
          </w:p>
        </w:tc>
        <w:tc>
          <w:tcPr>
            <w:tcW w:w="1984" w:type="dxa"/>
            <w:vAlign w:val="center"/>
            <w:hideMark/>
          </w:tcPr>
          <w:p w14:paraId="76FF4701"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Sede San Antonio de Areco</w:t>
            </w:r>
          </w:p>
        </w:tc>
        <w:tc>
          <w:tcPr>
            <w:tcW w:w="2126" w:type="dxa"/>
            <w:vAlign w:val="center"/>
            <w:hideMark/>
          </w:tcPr>
          <w:p w14:paraId="3A53D671"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Sede Baradero</w:t>
            </w:r>
          </w:p>
        </w:tc>
        <w:tc>
          <w:tcPr>
            <w:tcW w:w="1536" w:type="dxa"/>
            <w:vAlign w:val="center"/>
            <w:hideMark/>
          </w:tcPr>
          <w:p w14:paraId="3D56883D"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Total General</w:t>
            </w:r>
          </w:p>
        </w:tc>
        <w:tc>
          <w:tcPr>
            <w:tcW w:w="1293" w:type="dxa"/>
            <w:vAlign w:val="center"/>
            <w:hideMark/>
          </w:tcPr>
          <w:p w14:paraId="3BB5682C"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 sobre asistentes</w:t>
            </w:r>
          </w:p>
        </w:tc>
      </w:tr>
      <w:tr w:rsidR="00B271F7" w:rsidRPr="00B271F7" w14:paraId="3B12222D" w14:textId="77777777" w:rsidTr="00B271F7">
        <w:trPr>
          <w:trHeight w:val="315"/>
          <w:jc w:val="center"/>
        </w:trPr>
        <w:tc>
          <w:tcPr>
            <w:tcW w:w="1555" w:type="dxa"/>
            <w:vAlign w:val="center"/>
            <w:hideMark/>
          </w:tcPr>
          <w:p w14:paraId="3B89A1B4"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Ninguna (0)</w:t>
            </w:r>
          </w:p>
        </w:tc>
        <w:tc>
          <w:tcPr>
            <w:tcW w:w="1984" w:type="dxa"/>
            <w:vAlign w:val="center"/>
            <w:hideMark/>
          </w:tcPr>
          <w:p w14:paraId="2A0D4F7B"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2</w:t>
            </w:r>
          </w:p>
        </w:tc>
        <w:tc>
          <w:tcPr>
            <w:tcW w:w="2126" w:type="dxa"/>
            <w:vAlign w:val="center"/>
            <w:hideMark/>
          </w:tcPr>
          <w:p w14:paraId="5BAEFA66"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0</w:t>
            </w:r>
          </w:p>
        </w:tc>
        <w:tc>
          <w:tcPr>
            <w:tcW w:w="1536" w:type="dxa"/>
            <w:vAlign w:val="center"/>
            <w:hideMark/>
          </w:tcPr>
          <w:p w14:paraId="62C8F74A"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2</w:t>
            </w:r>
          </w:p>
        </w:tc>
        <w:tc>
          <w:tcPr>
            <w:tcW w:w="1293" w:type="dxa"/>
            <w:vAlign w:val="center"/>
            <w:hideMark/>
          </w:tcPr>
          <w:p w14:paraId="52C3C2B9"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5%</w:t>
            </w:r>
          </w:p>
        </w:tc>
      </w:tr>
      <w:tr w:rsidR="00B271F7" w:rsidRPr="00B271F7" w14:paraId="63D48DC1" w14:textId="77777777" w:rsidTr="00B271F7">
        <w:trPr>
          <w:trHeight w:val="315"/>
          <w:jc w:val="center"/>
        </w:trPr>
        <w:tc>
          <w:tcPr>
            <w:tcW w:w="1555" w:type="dxa"/>
            <w:vAlign w:val="center"/>
            <w:hideMark/>
          </w:tcPr>
          <w:p w14:paraId="41B5F290"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Una (1)</w:t>
            </w:r>
          </w:p>
        </w:tc>
        <w:tc>
          <w:tcPr>
            <w:tcW w:w="1984" w:type="dxa"/>
            <w:vAlign w:val="center"/>
            <w:hideMark/>
          </w:tcPr>
          <w:p w14:paraId="7C274C76"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4</w:t>
            </w:r>
          </w:p>
        </w:tc>
        <w:tc>
          <w:tcPr>
            <w:tcW w:w="2126" w:type="dxa"/>
            <w:vAlign w:val="center"/>
            <w:hideMark/>
          </w:tcPr>
          <w:p w14:paraId="0AAD3605"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13</w:t>
            </w:r>
          </w:p>
        </w:tc>
        <w:tc>
          <w:tcPr>
            <w:tcW w:w="1536" w:type="dxa"/>
            <w:vAlign w:val="center"/>
            <w:hideMark/>
          </w:tcPr>
          <w:p w14:paraId="31FE07B4"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17</w:t>
            </w:r>
          </w:p>
        </w:tc>
        <w:tc>
          <w:tcPr>
            <w:tcW w:w="1293" w:type="dxa"/>
            <w:vAlign w:val="center"/>
            <w:hideMark/>
          </w:tcPr>
          <w:p w14:paraId="797A4C78"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41%</w:t>
            </w:r>
          </w:p>
        </w:tc>
      </w:tr>
      <w:tr w:rsidR="00B271F7" w:rsidRPr="00B271F7" w14:paraId="6F714960" w14:textId="77777777" w:rsidTr="00B271F7">
        <w:trPr>
          <w:trHeight w:val="315"/>
          <w:jc w:val="center"/>
        </w:trPr>
        <w:tc>
          <w:tcPr>
            <w:tcW w:w="1555" w:type="dxa"/>
            <w:vAlign w:val="center"/>
            <w:hideMark/>
          </w:tcPr>
          <w:p w14:paraId="6C4F102F"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lastRenderedPageBreak/>
              <w:t>Dos (2)</w:t>
            </w:r>
          </w:p>
        </w:tc>
        <w:tc>
          <w:tcPr>
            <w:tcW w:w="1984" w:type="dxa"/>
            <w:vAlign w:val="center"/>
            <w:hideMark/>
          </w:tcPr>
          <w:p w14:paraId="302CCA92"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4</w:t>
            </w:r>
          </w:p>
        </w:tc>
        <w:tc>
          <w:tcPr>
            <w:tcW w:w="2126" w:type="dxa"/>
            <w:vAlign w:val="center"/>
            <w:hideMark/>
          </w:tcPr>
          <w:p w14:paraId="4164014E"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8</w:t>
            </w:r>
          </w:p>
        </w:tc>
        <w:tc>
          <w:tcPr>
            <w:tcW w:w="1536" w:type="dxa"/>
            <w:vAlign w:val="center"/>
            <w:hideMark/>
          </w:tcPr>
          <w:p w14:paraId="3492E501"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12</w:t>
            </w:r>
          </w:p>
        </w:tc>
        <w:tc>
          <w:tcPr>
            <w:tcW w:w="1293" w:type="dxa"/>
            <w:vAlign w:val="center"/>
            <w:hideMark/>
          </w:tcPr>
          <w:p w14:paraId="02681EC6"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29%</w:t>
            </w:r>
          </w:p>
        </w:tc>
      </w:tr>
      <w:tr w:rsidR="00B271F7" w:rsidRPr="00B271F7" w14:paraId="737D5E04" w14:textId="77777777" w:rsidTr="00B271F7">
        <w:trPr>
          <w:trHeight w:val="315"/>
          <w:jc w:val="center"/>
        </w:trPr>
        <w:tc>
          <w:tcPr>
            <w:tcW w:w="1555" w:type="dxa"/>
            <w:vAlign w:val="center"/>
            <w:hideMark/>
          </w:tcPr>
          <w:p w14:paraId="6818D199"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Tres (3)</w:t>
            </w:r>
          </w:p>
        </w:tc>
        <w:tc>
          <w:tcPr>
            <w:tcW w:w="1984" w:type="dxa"/>
            <w:vAlign w:val="center"/>
            <w:hideMark/>
          </w:tcPr>
          <w:p w14:paraId="1B2DD6BE"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4</w:t>
            </w:r>
          </w:p>
        </w:tc>
        <w:tc>
          <w:tcPr>
            <w:tcW w:w="2126" w:type="dxa"/>
            <w:vAlign w:val="center"/>
            <w:hideMark/>
          </w:tcPr>
          <w:p w14:paraId="4893E9AD"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6</w:t>
            </w:r>
          </w:p>
        </w:tc>
        <w:tc>
          <w:tcPr>
            <w:tcW w:w="1536" w:type="dxa"/>
            <w:vAlign w:val="center"/>
            <w:hideMark/>
          </w:tcPr>
          <w:p w14:paraId="6D786398"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10</w:t>
            </w:r>
          </w:p>
        </w:tc>
        <w:tc>
          <w:tcPr>
            <w:tcW w:w="1293" w:type="dxa"/>
            <w:vAlign w:val="center"/>
            <w:hideMark/>
          </w:tcPr>
          <w:p w14:paraId="3E919E94"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25%</w:t>
            </w:r>
          </w:p>
        </w:tc>
      </w:tr>
      <w:tr w:rsidR="00B271F7" w:rsidRPr="00B271F7" w14:paraId="5E0D51FF" w14:textId="77777777" w:rsidTr="00B271F7">
        <w:trPr>
          <w:trHeight w:val="315"/>
          <w:jc w:val="center"/>
        </w:trPr>
        <w:tc>
          <w:tcPr>
            <w:tcW w:w="1555" w:type="dxa"/>
            <w:vAlign w:val="center"/>
            <w:hideMark/>
          </w:tcPr>
          <w:p w14:paraId="2B8CBFE2"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Total Asistentes</w:t>
            </w:r>
          </w:p>
        </w:tc>
        <w:tc>
          <w:tcPr>
            <w:tcW w:w="1984" w:type="dxa"/>
            <w:vAlign w:val="center"/>
            <w:hideMark/>
          </w:tcPr>
          <w:p w14:paraId="51AA0177"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14</w:t>
            </w:r>
          </w:p>
        </w:tc>
        <w:tc>
          <w:tcPr>
            <w:tcW w:w="2126" w:type="dxa"/>
            <w:vAlign w:val="center"/>
            <w:hideMark/>
          </w:tcPr>
          <w:p w14:paraId="02070D33"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27</w:t>
            </w:r>
          </w:p>
        </w:tc>
        <w:tc>
          <w:tcPr>
            <w:tcW w:w="1536" w:type="dxa"/>
            <w:vAlign w:val="center"/>
            <w:hideMark/>
          </w:tcPr>
          <w:p w14:paraId="6391FE45"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41</w:t>
            </w:r>
          </w:p>
        </w:tc>
        <w:tc>
          <w:tcPr>
            <w:tcW w:w="1293" w:type="dxa"/>
            <w:vAlign w:val="center"/>
            <w:hideMark/>
          </w:tcPr>
          <w:p w14:paraId="72D4855E" w14:textId="77777777" w:rsidR="00B271F7" w:rsidRPr="00B271F7" w:rsidRDefault="00B271F7" w:rsidP="00B271F7">
            <w:pPr>
              <w:jc w:val="center"/>
              <w:rPr>
                <w:rFonts w:ascii="Times New Roman" w:hAnsi="Times New Roman" w:cs="Times New Roman"/>
                <w:bCs/>
                <w:lang w:val="es-AR"/>
              </w:rPr>
            </w:pPr>
            <w:r w:rsidRPr="00B271F7">
              <w:rPr>
                <w:rFonts w:ascii="Times New Roman" w:hAnsi="Times New Roman" w:cs="Times New Roman"/>
                <w:bCs/>
                <w:lang w:val="es-AR"/>
              </w:rPr>
              <w:t>100%</w:t>
            </w:r>
          </w:p>
        </w:tc>
      </w:tr>
    </w:tbl>
    <w:p w14:paraId="6F85C0F3" w14:textId="77777777" w:rsidR="00B271F7" w:rsidRPr="00B271F7" w:rsidRDefault="00B271F7" w:rsidP="005C3743">
      <w:pPr>
        <w:spacing w:line="240" w:lineRule="auto"/>
        <w:jc w:val="center"/>
        <w:rPr>
          <w:rFonts w:ascii="Times New Roman" w:hAnsi="Times New Roman" w:cs="Times New Roman"/>
          <w:bCs/>
        </w:rPr>
      </w:pPr>
      <w:r w:rsidRPr="00B271F7">
        <w:rPr>
          <w:rFonts w:ascii="Times New Roman" w:hAnsi="Times New Roman" w:cs="Times New Roman"/>
          <w:bCs/>
        </w:rPr>
        <w:t>Fuente: Elaboración propia con datos provistos por la Secretaría Académica</w:t>
      </w:r>
    </w:p>
    <w:p w14:paraId="79481C8A"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Al comparar ambas sedes, se observa que en Baradero el 100% de los(as) asistentes logró certificar al menos una asignatura, mientras que en San Antonio de Areco existe un pequeño núcleo (14%) que asistió, pero no alcanzó los requisitos mínimos de aprobación en ninguna instancia.</w:t>
      </w:r>
    </w:p>
    <w:p w14:paraId="5E7BDA7C" w14:textId="77777777" w:rsidR="00B271F7"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Asimismo, el porcentaje de estudiantes que alcanzó el trayecto completo de 3 materias es levemente superior en San Antonio de Areco (28,5%) frente a Baradero (22%), lo que sugiere que, si bien en Baradero la mayoría de los(as) estudiantes logró acreditar al menos una asignatura, en San Antonio de Areco se observa una mayor proporción relativa de estudiantes que completaron la totalidad del trayecto.</w:t>
      </w:r>
    </w:p>
    <w:p w14:paraId="1909D8F1" w14:textId="4A445357" w:rsidR="005C3743" w:rsidRPr="00B271F7" w:rsidRDefault="00B271F7" w:rsidP="00B271F7">
      <w:pPr>
        <w:spacing w:line="240" w:lineRule="auto"/>
        <w:jc w:val="both"/>
        <w:rPr>
          <w:rFonts w:ascii="Times New Roman" w:hAnsi="Times New Roman" w:cs="Times New Roman"/>
          <w:bCs/>
        </w:rPr>
      </w:pPr>
      <w:r w:rsidRPr="00B271F7">
        <w:rPr>
          <w:rFonts w:ascii="Times New Roman" w:hAnsi="Times New Roman" w:cs="Times New Roman"/>
          <w:bCs/>
        </w:rPr>
        <w:t>En términos globales, el 54% de los(as) participantes logró aprobar 2 o 3 materias, lo que indica que más de la mitad del estudiantado asistente ha logrado una inserción exitosa en la mayoría de los contenidos propuestos por el curso. La concentración de estudiantes con sólo 1 materia aprobada (41%) refuerza la necesidad de revisar los dispositivos de apoyo para las materias con mayor complejidad técnica.</w:t>
      </w:r>
    </w:p>
    <w:p w14:paraId="0763D1B4" w14:textId="1D4306AA" w:rsidR="005C3743" w:rsidRDefault="005C3743" w:rsidP="00B271F7">
      <w:pPr>
        <w:spacing w:line="240" w:lineRule="auto"/>
        <w:rPr>
          <w:rFonts w:ascii="Times New Roman" w:hAnsi="Times New Roman" w:cs="Times New Roman"/>
          <w:b/>
          <w:bCs/>
        </w:rPr>
      </w:pPr>
      <w:r>
        <w:rPr>
          <w:rFonts w:ascii="Times New Roman" w:hAnsi="Times New Roman" w:cs="Times New Roman"/>
          <w:b/>
          <w:bCs/>
        </w:rPr>
        <w:t xml:space="preserve">Continuidad educativa: inscripción </w:t>
      </w:r>
      <w:r w:rsidRPr="005C3743">
        <w:rPr>
          <w:rFonts w:ascii="Times New Roman" w:hAnsi="Times New Roman" w:cs="Times New Roman"/>
          <w:b/>
          <w:bCs/>
        </w:rPr>
        <w:t>en carreras de la UNSAdA</w:t>
      </w:r>
    </w:p>
    <w:p w14:paraId="21439565" w14:textId="77777777" w:rsidR="005C3743" w:rsidRPr="005C3743" w:rsidRDefault="005C3743" w:rsidP="005C3743">
      <w:pPr>
        <w:spacing w:line="240" w:lineRule="auto"/>
        <w:jc w:val="both"/>
        <w:rPr>
          <w:rFonts w:ascii="Times New Roman" w:hAnsi="Times New Roman" w:cs="Times New Roman"/>
          <w:bCs/>
        </w:rPr>
      </w:pPr>
      <w:r w:rsidRPr="005C3743">
        <w:rPr>
          <w:rFonts w:ascii="Times New Roman" w:hAnsi="Times New Roman" w:cs="Times New Roman"/>
          <w:bCs/>
        </w:rPr>
        <w:t>Con el objetivo de analizar el impacto del Curso Preuniversitario Nexos UNSAdA en la continuidad de las trayectorias educativas, se relevaron los datos correspondientes a estudiantes que, luego de participar en el curso, formalizaron su inscripción en carreras de grado o pregrado de la Universidad Nacional de San Antonio de Areco.</w:t>
      </w:r>
    </w:p>
    <w:p w14:paraId="38C71A9C" w14:textId="77777777" w:rsidR="005C3743" w:rsidRPr="005C3743" w:rsidRDefault="005C3743" w:rsidP="005C3743">
      <w:pPr>
        <w:spacing w:line="240" w:lineRule="auto"/>
        <w:jc w:val="both"/>
        <w:rPr>
          <w:rFonts w:ascii="Times New Roman" w:hAnsi="Times New Roman" w:cs="Times New Roman"/>
          <w:bCs/>
        </w:rPr>
      </w:pPr>
      <w:r w:rsidRPr="005C3743">
        <w:rPr>
          <w:rFonts w:ascii="Times New Roman" w:hAnsi="Times New Roman" w:cs="Times New Roman"/>
          <w:bCs/>
        </w:rPr>
        <w:t>En la sede de San Antonio de Areco se registró la inscripción de 13 estudiantes en distintas carreras de la universidad. De ellos(as), 6 optaron por propuestas formativas de la Escuela de Desarrollo Productivo y Tecnológico (EDPyT): 4 estudiantes en la carrera de Ingeniería Zootecnia, 1 en la Tecnicatura Universitaria en Producción Agropecuaria y 1 en la Licenciatura en Informática. Por su parte, 7 estudiantes se inscribieron en carreras pertenecientes a la Escuela de Desarrollo Social y Humano (EDSyH), de los cuales 5 optaron por la Licenciatura en Administración y 2 por la carrera de Enfermería Universitaria.</w:t>
      </w:r>
    </w:p>
    <w:p w14:paraId="4954A11F" w14:textId="77777777" w:rsidR="005C3743" w:rsidRPr="005C3743" w:rsidRDefault="005C3743" w:rsidP="005C3743">
      <w:pPr>
        <w:spacing w:line="240" w:lineRule="auto"/>
        <w:jc w:val="both"/>
        <w:rPr>
          <w:rFonts w:ascii="Times New Roman" w:hAnsi="Times New Roman" w:cs="Times New Roman"/>
          <w:bCs/>
        </w:rPr>
      </w:pPr>
      <w:r w:rsidRPr="005C3743">
        <w:rPr>
          <w:rFonts w:ascii="Times New Roman" w:hAnsi="Times New Roman" w:cs="Times New Roman"/>
          <w:bCs/>
        </w:rPr>
        <w:t xml:space="preserve">En la sede de Baradero se registró la inscripción de 19 estudiantes provenientes del curso preuniversitario en carreras de la UNSAdA. De ellos(as), 7 se inscribieron en propuestas académicas de la Escuela de Desarrollo Productivo y Tecnológico (EDPyT): 4 estudiantes en la carrera de Analista en Informática y 3 en la Tecnicatura Universitaria en Mantenimiento Industrial. Asimismo, 12 estudiantes optaron por carreras de la Escuela de Desarrollo Social y Humano (EDSyH), distribuidos de la siguiente manera: 6 en la Licenciatura en Fonoaudiología, 3 en la Tecnicatura Universitaria en Administración y Gestión y 3 en la Licenciatura en Administración. </w:t>
      </w:r>
    </w:p>
    <w:p w14:paraId="2F6376F5" w14:textId="3A3DFA8F" w:rsidR="005C3743" w:rsidRDefault="005C3743" w:rsidP="005C3743">
      <w:pPr>
        <w:spacing w:line="240" w:lineRule="auto"/>
        <w:jc w:val="both"/>
        <w:rPr>
          <w:rFonts w:ascii="Times New Roman" w:hAnsi="Times New Roman" w:cs="Times New Roman"/>
          <w:bCs/>
        </w:rPr>
      </w:pPr>
      <w:r w:rsidRPr="005C3743">
        <w:rPr>
          <w:rFonts w:ascii="Times New Roman" w:hAnsi="Times New Roman" w:cs="Times New Roman"/>
          <w:bCs/>
        </w:rPr>
        <w:lastRenderedPageBreak/>
        <w:t>Cuadro 3 | Estudiantes del curso preuniversitario “Nexos UNSAdA” inscriptos(as) en carreras de la UNSAdA</w:t>
      </w:r>
    </w:p>
    <w:tbl>
      <w:tblPr>
        <w:tblStyle w:val="Tablaconcuadrcula"/>
        <w:tblW w:w="0" w:type="auto"/>
        <w:jc w:val="center"/>
        <w:tblLook w:val="04A0" w:firstRow="1" w:lastRow="0" w:firstColumn="1" w:lastColumn="0" w:noHBand="0" w:noVBand="1"/>
      </w:tblPr>
      <w:tblGrid>
        <w:gridCol w:w="1555"/>
        <w:gridCol w:w="3945"/>
        <w:gridCol w:w="995"/>
        <w:gridCol w:w="1293"/>
        <w:gridCol w:w="706"/>
      </w:tblGrid>
      <w:tr w:rsidR="005C3743" w:rsidRPr="005C3743" w14:paraId="5D2304DA" w14:textId="77777777" w:rsidTr="005C3743">
        <w:trPr>
          <w:jc w:val="center"/>
        </w:trPr>
        <w:tc>
          <w:tcPr>
            <w:tcW w:w="1555" w:type="dxa"/>
            <w:vAlign w:val="center"/>
            <w:hideMark/>
          </w:tcPr>
          <w:p w14:paraId="2876715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Escuela</w:t>
            </w:r>
          </w:p>
        </w:tc>
        <w:tc>
          <w:tcPr>
            <w:tcW w:w="3945" w:type="dxa"/>
            <w:vAlign w:val="center"/>
            <w:hideMark/>
          </w:tcPr>
          <w:p w14:paraId="62E70220"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Carrera</w:t>
            </w:r>
          </w:p>
        </w:tc>
        <w:tc>
          <w:tcPr>
            <w:tcW w:w="0" w:type="auto"/>
            <w:vAlign w:val="center"/>
            <w:hideMark/>
          </w:tcPr>
          <w:p w14:paraId="53497890"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Sede Areco</w:t>
            </w:r>
          </w:p>
        </w:tc>
        <w:tc>
          <w:tcPr>
            <w:tcW w:w="0" w:type="auto"/>
            <w:vAlign w:val="center"/>
            <w:hideMark/>
          </w:tcPr>
          <w:p w14:paraId="44A31E94"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Sede Baradero</w:t>
            </w:r>
          </w:p>
        </w:tc>
        <w:tc>
          <w:tcPr>
            <w:tcW w:w="0" w:type="auto"/>
            <w:vAlign w:val="center"/>
            <w:hideMark/>
          </w:tcPr>
          <w:p w14:paraId="40D8EDAE"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Total</w:t>
            </w:r>
          </w:p>
        </w:tc>
      </w:tr>
      <w:tr w:rsidR="005C3743" w:rsidRPr="005C3743" w14:paraId="3732E0B4" w14:textId="77777777" w:rsidTr="005C3743">
        <w:trPr>
          <w:jc w:val="center"/>
        </w:trPr>
        <w:tc>
          <w:tcPr>
            <w:tcW w:w="1555" w:type="dxa"/>
            <w:vMerge w:val="restart"/>
            <w:vAlign w:val="center"/>
            <w:hideMark/>
          </w:tcPr>
          <w:p w14:paraId="237DF477"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Escuela de Desarrollo Productivo y Tecnológico</w:t>
            </w:r>
          </w:p>
          <w:p w14:paraId="321847D5"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68887E9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Ingeniería Zootecnia</w:t>
            </w:r>
          </w:p>
        </w:tc>
        <w:tc>
          <w:tcPr>
            <w:tcW w:w="0" w:type="auto"/>
            <w:vAlign w:val="center"/>
            <w:hideMark/>
          </w:tcPr>
          <w:p w14:paraId="576E046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4</w:t>
            </w:r>
          </w:p>
        </w:tc>
        <w:tc>
          <w:tcPr>
            <w:tcW w:w="0" w:type="auto"/>
            <w:vAlign w:val="center"/>
            <w:hideMark/>
          </w:tcPr>
          <w:p w14:paraId="32ABEC8A"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089E2D0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4</w:t>
            </w:r>
          </w:p>
        </w:tc>
      </w:tr>
      <w:tr w:rsidR="005C3743" w:rsidRPr="005C3743" w14:paraId="0AA8E571" w14:textId="77777777" w:rsidTr="005C3743">
        <w:trPr>
          <w:jc w:val="center"/>
        </w:trPr>
        <w:tc>
          <w:tcPr>
            <w:tcW w:w="1555" w:type="dxa"/>
            <w:vMerge/>
            <w:vAlign w:val="center"/>
            <w:hideMark/>
          </w:tcPr>
          <w:p w14:paraId="35E32DD6"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6762396A"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Tecnicatura Universitaria en Producción Agropecuaria</w:t>
            </w:r>
          </w:p>
        </w:tc>
        <w:tc>
          <w:tcPr>
            <w:tcW w:w="0" w:type="auto"/>
            <w:vAlign w:val="center"/>
            <w:hideMark/>
          </w:tcPr>
          <w:p w14:paraId="3E418D12"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w:t>
            </w:r>
          </w:p>
        </w:tc>
        <w:tc>
          <w:tcPr>
            <w:tcW w:w="0" w:type="auto"/>
            <w:vAlign w:val="center"/>
            <w:hideMark/>
          </w:tcPr>
          <w:p w14:paraId="73CDC527"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38114C4D"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w:t>
            </w:r>
          </w:p>
        </w:tc>
      </w:tr>
      <w:tr w:rsidR="005C3743" w:rsidRPr="005C3743" w14:paraId="70B4CD30" w14:textId="77777777" w:rsidTr="005C3743">
        <w:trPr>
          <w:jc w:val="center"/>
        </w:trPr>
        <w:tc>
          <w:tcPr>
            <w:tcW w:w="1555" w:type="dxa"/>
            <w:vMerge/>
            <w:vAlign w:val="center"/>
            <w:hideMark/>
          </w:tcPr>
          <w:p w14:paraId="0C76CDC3"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44C05DA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Licenciatura en Informática</w:t>
            </w:r>
          </w:p>
        </w:tc>
        <w:tc>
          <w:tcPr>
            <w:tcW w:w="0" w:type="auto"/>
            <w:vAlign w:val="center"/>
            <w:hideMark/>
          </w:tcPr>
          <w:p w14:paraId="22D6734A"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w:t>
            </w:r>
          </w:p>
        </w:tc>
        <w:tc>
          <w:tcPr>
            <w:tcW w:w="0" w:type="auto"/>
            <w:vAlign w:val="center"/>
            <w:hideMark/>
          </w:tcPr>
          <w:p w14:paraId="1811B5A0"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7A71897F"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w:t>
            </w:r>
          </w:p>
        </w:tc>
      </w:tr>
      <w:tr w:rsidR="005C3743" w:rsidRPr="005C3743" w14:paraId="6F625FB5" w14:textId="77777777" w:rsidTr="005C3743">
        <w:trPr>
          <w:jc w:val="center"/>
        </w:trPr>
        <w:tc>
          <w:tcPr>
            <w:tcW w:w="1555" w:type="dxa"/>
            <w:vMerge/>
            <w:vAlign w:val="center"/>
            <w:hideMark/>
          </w:tcPr>
          <w:p w14:paraId="6330949C"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59C20D5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Analista en Informática</w:t>
            </w:r>
          </w:p>
        </w:tc>
        <w:tc>
          <w:tcPr>
            <w:tcW w:w="0" w:type="auto"/>
            <w:vAlign w:val="center"/>
            <w:hideMark/>
          </w:tcPr>
          <w:p w14:paraId="0486DFA9"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453EFF15"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4</w:t>
            </w:r>
          </w:p>
        </w:tc>
        <w:tc>
          <w:tcPr>
            <w:tcW w:w="0" w:type="auto"/>
            <w:vAlign w:val="center"/>
            <w:hideMark/>
          </w:tcPr>
          <w:p w14:paraId="1CCC944F"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4</w:t>
            </w:r>
          </w:p>
        </w:tc>
      </w:tr>
      <w:tr w:rsidR="005C3743" w:rsidRPr="005C3743" w14:paraId="6649DEC8" w14:textId="77777777" w:rsidTr="005C3743">
        <w:trPr>
          <w:jc w:val="center"/>
        </w:trPr>
        <w:tc>
          <w:tcPr>
            <w:tcW w:w="1555" w:type="dxa"/>
            <w:vMerge/>
            <w:vAlign w:val="center"/>
            <w:hideMark/>
          </w:tcPr>
          <w:p w14:paraId="2BFE87C2"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5EAAF19F"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Tecnicatura Universitaria en Mantenimiento Industrial</w:t>
            </w:r>
          </w:p>
        </w:tc>
        <w:tc>
          <w:tcPr>
            <w:tcW w:w="0" w:type="auto"/>
            <w:vAlign w:val="center"/>
            <w:hideMark/>
          </w:tcPr>
          <w:p w14:paraId="5F0439ED"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402F18C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w:t>
            </w:r>
          </w:p>
        </w:tc>
        <w:tc>
          <w:tcPr>
            <w:tcW w:w="0" w:type="auto"/>
            <w:vAlign w:val="center"/>
            <w:hideMark/>
          </w:tcPr>
          <w:p w14:paraId="69D688C5"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w:t>
            </w:r>
          </w:p>
        </w:tc>
      </w:tr>
      <w:tr w:rsidR="005C3743" w:rsidRPr="005C3743" w14:paraId="59A16105" w14:textId="77777777" w:rsidTr="005C3743">
        <w:trPr>
          <w:jc w:val="center"/>
        </w:trPr>
        <w:tc>
          <w:tcPr>
            <w:tcW w:w="1555" w:type="dxa"/>
            <w:vMerge w:val="restart"/>
            <w:vAlign w:val="center"/>
            <w:hideMark/>
          </w:tcPr>
          <w:p w14:paraId="3AF48A1B"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Escuela de Desarrollo Social y Humano</w:t>
            </w:r>
          </w:p>
          <w:p w14:paraId="5262F36B"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39211FE5"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Licenciatura en Administración</w:t>
            </w:r>
          </w:p>
        </w:tc>
        <w:tc>
          <w:tcPr>
            <w:tcW w:w="0" w:type="auto"/>
            <w:vAlign w:val="center"/>
            <w:hideMark/>
          </w:tcPr>
          <w:p w14:paraId="46D16DBB"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5</w:t>
            </w:r>
          </w:p>
        </w:tc>
        <w:tc>
          <w:tcPr>
            <w:tcW w:w="0" w:type="auto"/>
            <w:vAlign w:val="center"/>
            <w:hideMark/>
          </w:tcPr>
          <w:p w14:paraId="6B6B7B1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w:t>
            </w:r>
          </w:p>
        </w:tc>
        <w:tc>
          <w:tcPr>
            <w:tcW w:w="0" w:type="auto"/>
            <w:vAlign w:val="center"/>
            <w:hideMark/>
          </w:tcPr>
          <w:p w14:paraId="155E319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8</w:t>
            </w:r>
          </w:p>
        </w:tc>
      </w:tr>
      <w:tr w:rsidR="005C3743" w:rsidRPr="005C3743" w14:paraId="0FB35CD7" w14:textId="77777777" w:rsidTr="005C3743">
        <w:trPr>
          <w:jc w:val="center"/>
        </w:trPr>
        <w:tc>
          <w:tcPr>
            <w:tcW w:w="1555" w:type="dxa"/>
            <w:vMerge/>
            <w:vAlign w:val="center"/>
            <w:hideMark/>
          </w:tcPr>
          <w:p w14:paraId="1F13DDA0"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582A10AD"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Tecnicatura Universitaria en Administración y Gestión</w:t>
            </w:r>
          </w:p>
        </w:tc>
        <w:tc>
          <w:tcPr>
            <w:tcW w:w="0" w:type="auto"/>
            <w:vAlign w:val="center"/>
            <w:hideMark/>
          </w:tcPr>
          <w:p w14:paraId="60CE969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7074CFB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w:t>
            </w:r>
          </w:p>
        </w:tc>
        <w:tc>
          <w:tcPr>
            <w:tcW w:w="0" w:type="auto"/>
            <w:vAlign w:val="center"/>
            <w:hideMark/>
          </w:tcPr>
          <w:p w14:paraId="4C52632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w:t>
            </w:r>
          </w:p>
        </w:tc>
      </w:tr>
      <w:tr w:rsidR="005C3743" w:rsidRPr="005C3743" w14:paraId="2976EC58" w14:textId="77777777" w:rsidTr="005C3743">
        <w:trPr>
          <w:jc w:val="center"/>
        </w:trPr>
        <w:tc>
          <w:tcPr>
            <w:tcW w:w="1555" w:type="dxa"/>
            <w:vMerge/>
            <w:vAlign w:val="center"/>
            <w:hideMark/>
          </w:tcPr>
          <w:p w14:paraId="6EFD4D04"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0680730A"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Licenciatura en Fonoaudiología</w:t>
            </w:r>
          </w:p>
        </w:tc>
        <w:tc>
          <w:tcPr>
            <w:tcW w:w="0" w:type="auto"/>
            <w:vAlign w:val="center"/>
            <w:hideMark/>
          </w:tcPr>
          <w:p w14:paraId="08C9FF5B"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48560CCA"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6</w:t>
            </w:r>
          </w:p>
        </w:tc>
        <w:tc>
          <w:tcPr>
            <w:tcW w:w="0" w:type="auto"/>
            <w:vAlign w:val="center"/>
            <w:hideMark/>
          </w:tcPr>
          <w:p w14:paraId="28358D35"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6</w:t>
            </w:r>
          </w:p>
        </w:tc>
      </w:tr>
      <w:tr w:rsidR="005C3743" w:rsidRPr="005C3743" w14:paraId="438BFDB4" w14:textId="77777777" w:rsidTr="005C3743">
        <w:trPr>
          <w:jc w:val="center"/>
        </w:trPr>
        <w:tc>
          <w:tcPr>
            <w:tcW w:w="1555" w:type="dxa"/>
            <w:vMerge/>
            <w:vAlign w:val="center"/>
            <w:hideMark/>
          </w:tcPr>
          <w:p w14:paraId="5255A763" w14:textId="77777777" w:rsidR="005C3743" w:rsidRPr="005C3743" w:rsidRDefault="005C3743" w:rsidP="005C3743">
            <w:pPr>
              <w:spacing w:after="160"/>
              <w:jc w:val="center"/>
              <w:rPr>
                <w:rFonts w:ascii="Times New Roman" w:hAnsi="Times New Roman" w:cs="Times New Roman"/>
                <w:bCs/>
                <w:lang w:val="es-AR"/>
              </w:rPr>
            </w:pPr>
          </w:p>
        </w:tc>
        <w:tc>
          <w:tcPr>
            <w:tcW w:w="3945" w:type="dxa"/>
            <w:vAlign w:val="center"/>
            <w:hideMark/>
          </w:tcPr>
          <w:p w14:paraId="3B035C61"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Enfermería Universitaria</w:t>
            </w:r>
          </w:p>
        </w:tc>
        <w:tc>
          <w:tcPr>
            <w:tcW w:w="0" w:type="auto"/>
            <w:vAlign w:val="center"/>
            <w:hideMark/>
          </w:tcPr>
          <w:p w14:paraId="0AFBBFCC"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2</w:t>
            </w:r>
          </w:p>
        </w:tc>
        <w:tc>
          <w:tcPr>
            <w:tcW w:w="0" w:type="auto"/>
            <w:vAlign w:val="center"/>
            <w:hideMark/>
          </w:tcPr>
          <w:p w14:paraId="76F99E51"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w:t>
            </w:r>
          </w:p>
        </w:tc>
        <w:tc>
          <w:tcPr>
            <w:tcW w:w="0" w:type="auto"/>
            <w:vAlign w:val="center"/>
            <w:hideMark/>
          </w:tcPr>
          <w:p w14:paraId="613B85E1"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2</w:t>
            </w:r>
          </w:p>
        </w:tc>
      </w:tr>
      <w:tr w:rsidR="005C3743" w:rsidRPr="005C3743" w14:paraId="03BA6E0C" w14:textId="77777777" w:rsidTr="005C3743">
        <w:trPr>
          <w:jc w:val="center"/>
        </w:trPr>
        <w:tc>
          <w:tcPr>
            <w:tcW w:w="0" w:type="auto"/>
            <w:gridSpan w:val="2"/>
            <w:vAlign w:val="center"/>
            <w:hideMark/>
          </w:tcPr>
          <w:p w14:paraId="6C90AA9E"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Total estudiantes</w:t>
            </w:r>
          </w:p>
        </w:tc>
        <w:tc>
          <w:tcPr>
            <w:tcW w:w="0" w:type="auto"/>
            <w:vAlign w:val="center"/>
            <w:hideMark/>
          </w:tcPr>
          <w:p w14:paraId="04EE7380"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13</w:t>
            </w:r>
          </w:p>
        </w:tc>
        <w:tc>
          <w:tcPr>
            <w:tcW w:w="0" w:type="auto"/>
            <w:vAlign w:val="center"/>
            <w:hideMark/>
          </w:tcPr>
          <w:p w14:paraId="4AD1B1F8"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19</w:t>
            </w:r>
          </w:p>
        </w:tc>
        <w:tc>
          <w:tcPr>
            <w:tcW w:w="0" w:type="auto"/>
            <w:vAlign w:val="center"/>
            <w:hideMark/>
          </w:tcPr>
          <w:p w14:paraId="69A540F9" w14:textId="77777777" w:rsidR="005C3743" w:rsidRPr="005C3743" w:rsidRDefault="005C3743" w:rsidP="005C3743">
            <w:pPr>
              <w:spacing w:after="160"/>
              <w:jc w:val="center"/>
              <w:rPr>
                <w:rFonts w:ascii="Times New Roman" w:hAnsi="Times New Roman" w:cs="Times New Roman"/>
                <w:bCs/>
                <w:lang w:val="es-AR"/>
              </w:rPr>
            </w:pPr>
            <w:r w:rsidRPr="005C3743">
              <w:rPr>
                <w:rFonts w:ascii="Times New Roman" w:hAnsi="Times New Roman" w:cs="Times New Roman"/>
                <w:bCs/>
                <w:lang w:val="es-AR"/>
              </w:rPr>
              <w:t>32</w:t>
            </w:r>
          </w:p>
        </w:tc>
      </w:tr>
    </w:tbl>
    <w:p w14:paraId="68EB7842" w14:textId="77777777" w:rsidR="00F81740" w:rsidRPr="00F81740" w:rsidRDefault="00F81740" w:rsidP="00F81740">
      <w:pPr>
        <w:spacing w:line="240" w:lineRule="auto"/>
        <w:jc w:val="center"/>
        <w:rPr>
          <w:rFonts w:ascii="Times New Roman" w:hAnsi="Times New Roman" w:cs="Times New Roman"/>
          <w:bCs/>
        </w:rPr>
      </w:pPr>
      <w:r w:rsidRPr="00F81740">
        <w:rPr>
          <w:rFonts w:ascii="Times New Roman" w:hAnsi="Times New Roman" w:cs="Times New Roman"/>
          <w:bCs/>
        </w:rPr>
        <w:t>Fuente: Elaboración propia con datos provistos por la Secretaría Académica</w:t>
      </w:r>
    </w:p>
    <w:p w14:paraId="148E323C" w14:textId="7FB5CF96"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En términos generales, se observa que 32 de los y las 41 estudiantes que participaron efectivamente del curso formalizaron su inscripción en alguna carrera de la universidad, lo que representa el 78% del total de asistentes. Este indicador sugiere una alta continuidad educativa entre quienes formaron parte de la experiencia formativa, lo que permite reconocer el potencial del curso como herramienta de acercamiento al nivel superior.</w:t>
      </w:r>
    </w:p>
    <w:p w14:paraId="29EA8C4F" w14:textId="47B2FC65"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Asimismo, la diversidad de carreras elegidas refleja la amplitud de intereses formativos de los(as) participantes y el alcance de la oferta académica de la universidad. En este sentido, la participación en el curso preuniversitario puede haber contribuido no sólo al fortalecimiento de saberes académicos iniciales, sino también a los procesos de orientación y toma de decisiones vocacionales, al brindar a los(as) estudiantes una primera aproximación a las dinámicas de la vida universitaria y a las distintas áreas disciplinar</w:t>
      </w:r>
      <w:r>
        <w:rPr>
          <w:rFonts w:ascii="Times New Roman" w:hAnsi="Times New Roman" w:cs="Times New Roman"/>
          <w:bCs/>
        </w:rPr>
        <w:t>es presentes en la institución.</w:t>
      </w:r>
    </w:p>
    <w:p w14:paraId="7E736D3B" w14:textId="38898888" w:rsidR="00B271F7" w:rsidRDefault="00F81740" w:rsidP="00B271F7">
      <w:pPr>
        <w:spacing w:line="240" w:lineRule="auto"/>
        <w:rPr>
          <w:rFonts w:ascii="Times New Roman" w:hAnsi="Times New Roman" w:cs="Times New Roman"/>
          <w:b/>
          <w:bCs/>
        </w:rPr>
      </w:pPr>
      <w:r>
        <w:rPr>
          <w:rFonts w:ascii="Times New Roman" w:hAnsi="Times New Roman" w:cs="Times New Roman"/>
          <w:b/>
          <w:bCs/>
        </w:rPr>
        <w:t>Conclusiones</w:t>
      </w:r>
    </w:p>
    <w:p w14:paraId="4A02D8CC" w14:textId="77777777"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 xml:space="preserve">El análisis desarrollado permite reconocer al Curso Preuniversitario Nexos UNSAdA como una estrategia institucional orientada a fortalecer la articulación entre la educación secundaria y la educación superior. La experiencia evidencia el potencial de este tipo de </w:t>
      </w:r>
      <w:r w:rsidRPr="00F81740">
        <w:rPr>
          <w:rFonts w:ascii="Times New Roman" w:hAnsi="Times New Roman" w:cs="Times New Roman"/>
          <w:bCs/>
        </w:rPr>
        <w:lastRenderedPageBreak/>
        <w:t>dispositivos para generar instancias de acercamiento temprano al ámbito universitario, favoreciendo el conocimiento de sus dinámicas académicas y promoviendo el desarrollo de herramientas necesarias para el inicio de estudios superiores.</w:t>
      </w:r>
    </w:p>
    <w:p w14:paraId="6A43F747" w14:textId="77777777"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Los resultados obtenidos muestran que la propuesta logra convocar principalmente a estudiantes que se encuentran en la etapa final de la educación secundaria, aunque también participan personas con trayectorias educativas diversas interesadas en iniciar o retomar estudios universitarios. Esta diversidad de perfiles da cuenta del carácter abierto de la propuesta y de su capacidad para ampliar las oportunidades de acceso a la educación superior.</w:t>
      </w:r>
    </w:p>
    <w:p w14:paraId="4C725195" w14:textId="77777777"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El análisis del desempeño académico permite identificar diferencias entre las asignaturas que integran el curso. Mientras que los espacios orientados al desarrollo de habilidades académicas generales presentan altos niveles de aprobación, las asignaturas vinculadas con contenidos disciplinares específicos evidencian mayores niveles de dificultad para los y las estudiantes. Estos resultados manifiestan la importancia de continuar fortaleciendo las estrategias pedagógicas y los dispositivos de acompañamiento académico en aquellos espacios que demandan mayores niveles de apoyo para la construcción de saberes disciplinares iniciales.</w:t>
      </w:r>
    </w:p>
    <w:p w14:paraId="58B0A575" w14:textId="77777777"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Por otra parte, la continuidad educativa observada entre una proporción significativa de los y las participantes del curso constituye un indicador relevante del impacto de esta experiencia formativa. La inscripción de estudiantes en carreras de la universidad sugiere que la participación en este tipo de propuestas no sólo contribuye al fortalecimiento de competencias académicas, sino también a la construcción de expectativas y decisiones vinculadas con la continuidad de estudios superiores.</w:t>
      </w:r>
    </w:p>
    <w:p w14:paraId="0BC85BAA" w14:textId="77777777" w:rsidR="00F81740" w:rsidRPr="00F81740" w:rsidRDefault="00F81740" w:rsidP="00F81740">
      <w:pPr>
        <w:spacing w:line="240" w:lineRule="auto"/>
        <w:jc w:val="both"/>
        <w:rPr>
          <w:rFonts w:ascii="Times New Roman" w:hAnsi="Times New Roman" w:cs="Times New Roman"/>
          <w:bCs/>
        </w:rPr>
      </w:pPr>
      <w:r w:rsidRPr="00F81740">
        <w:rPr>
          <w:rFonts w:ascii="Times New Roman" w:hAnsi="Times New Roman" w:cs="Times New Roman"/>
          <w:bCs/>
        </w:rPr>
        <w:t>En conjunto, los resultados permiten considerar al Curso Preuniversitario Nexos UNSAdA como un dispositivo institucional que favorece la articulación entre niveles educativos, al generar un espacio de encuentro entre estudiantes de la educación secundaria y la universidad. Este tipo de iniciativas contribuye a reducir las brechas existentes entre ambos niveles del sistema educativo, al tiempo que fortalece las condiciones de acceso y continuidad en la educación superior.</w:t>
      </w:r>
    </w:p>
    <w:p w14:paraId="187B0535" w14:textId="51D262D3" w:rsidR="00B271F7" w:rsidRPr="00B271F7" w:rsidRDefault="00F81740" w:rsidP="00B271F7">
      <w:pPr>
        <w:spacing w:line="240" w:lineRule="auto"/>
        <w:jc w:val="both"/>
        <w:rPr>
          <w:rFonts w:ascii="Times New Roman" w:hAnsi="Times New Roman" w:cs="Times New Roman"/>
          <w:bCs/>
        </w:rPr>
      </w:pPr>
      <w:r w:rsidRPr="00F81740">
        <w:rPr>
          <w:rFonts w:ascii="Times New Roman" w:hAnsi="Times New Roman" w:cs="Times New Roman"/>
          <w:bCs/>
        </w:rPr>
        <w:t>Finalmente, el análisis realizado aporta elementos para la reflexión sobre el papel que las universidades pueden desempeñar en el desarrollo de políticas institucionales orientadas a acompañar las trayectorias educativas y promover procesos de articulación entre distintos niveles del sistema educativo. En este sentido, la experiencia analizada constituye un antecedente relevante para el diseño y fortalecimiento de futuras estrategias destinadas a facilitar la transición hacia el nivel universitario.</w:t>
      </w:r>
    </w:p>
    <w:p w14:paraId="39B57161" w14:textId="72B3FC85"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sdt>
      <w:sdtPr>
        <w:rPr>
          <w:rFonts w:ascii="Times New Roman" w:hAnsi="Times New Roman" w:cs="Times New Roman"/>
          <w:lang w:val="es-AR"/>
        </w:rPr>
        <w:id w:val="111145805"/>
        <w:bibliography/>
      </w:sdtPr>
      <w:sdtContent>
        <w:p w14:paraId="67F6B61A" w14:textId="77777777" w:rsidR="00F81740" w:rsidRPr="00F81740" w:rsidRDefault="00F81740" w:rsidP="00F81740">
          <w:pPr>
            <w:spacing w:line="240" w:lineRule="auto"/>
            <w:jc w:val="both"/>
            <w:rPr>
              <w:rFonts w:ascii="Times New Roman" w:hAnsi="Times New Roman" w:cs="Times New Roman"/>
              <w:lang w:val="es-ES"/>
            </w:rPr>
          </w:pPr>
          <w:r w:rsidRPr="00F81740">
            <w:rPr>
              <w:rFonts w:ascii="Times New Roman" w:hAnsi="Times New Roman" w:cs="Times New Roman"/>
              <w:lang w:val="es-AR"/>
            </w:rPr>
            <w:fldChar w:fldCharType="begin"/>
          </w:r>
          <w:r w:rsidRPr="00F81740">
            <w:rPr>
              <w:rFonts w:ascii="Times New Roman" w:hAnsi="Times New Roman" w:cs="Times New Roman"/>
              <w:lang w:val="es-AR"/>
            </w:rPr>
            <w:instrText>BIBLIOGRAPHY</w:instrText>
          </w:r>
          <w:r w:rsidRPr="00F81740">
            <w:rPr>
              <w:rFonts w:ascii="Times New Roman" w:hAnsi="Times New Roman" w:cs="Times New Roman"/>
              <w:lang w:val="es-AR"/>
            </w:rPr>
            <w:fldChar w:fldCharType="separate"/>
          </w:r>
          <w:r w:rsidRPr="00F81740">
            <w:rPr>
              <w:rFonts w:ascii="Times New Roman" w:hAnsi="Times New Roman" w:cs="Times New Roman"/>
              <w:lang w:val="es-ES"/>
            </w:rPr>
            <w:t xml:space="preserve">Dirección General de Cultura y Educación de la Provincia de Buenos Aires. (7 de </w:t>
          </w:r>
          <w:proofErr w:type="gramStart"/>
          <w:r w:rsidRPr="00F81740">
            <w:rPr>
              <w:rFonts w:ascii="Times New Roman" w:hAnsi="Times New Roman" w:cs="Times New Roman"/>
              <w:lang w:val="es-ES"/>
            </w:rPr>
            <w:t>Junio</w:t>
          </w:r>
          <w:proofErr w:type="gramEnd"/>
          <w:r w:rsidRPr="00F81740">
            <w:rPr>
              <w:rFonts w:ascii="Times New Roman" w:hAnsi="Times New Roman" w:cs="Times New Roman"/>
              <w:lang w:val="es-ES"/>
            </w:rPr>
            <w:t xml:space="preserve"> de 2024). RESOC-2024-1650-GDEBA-DGCYE. </w:t>
          </w:r>
          <w:r w:rsidRPr="00F81740">
            <w:rPr>
              <w:rFonts w:ascii="Times New Roman" w:hAnsi="Times New Roman" w:cs="Times New Roman"/>
              <w:i/>
              <w:iCs/>
              <w:lang w:val="es-ES"/>
            </w:rPr>
            <w:t>Régimen académico para la educación secundaria</w:t>
          </w:r>
          <w:r w:rsidRPr="00F81740">
            <w:rPr>
              <w:rFonts w:ascii="Times New Roman" w:hAnsi="Times New Roman" w:cs="Times New Roman"/>
              <w:lang w:val="es-ES"/>
            </w:rPr>
            <w:t>. La Plata, Buenos Aires, Argentina.</w:t>
          </w:r>
        </w:p>
        <w:p w14:paraId="7EB4E4EC" w14:textId="75D3487A" w:rsidR="00F81740" w:rsidRPr="00F81740" w:rsidRDefault="00F81740" w:rsidP="00F81740">
          <w:pPr>
            <w:spacing w:line="240" w:lineRule="auto"/>
            <w:jc w:val="both"/>
            <w:rPr>
              <w:rFonts w:ascii="Times New Roman" w:hAnsi="Times New Roman" w:cs="Times New Roman"/>
              <w:lang w:val="es-ES"/>
            </w:rPr>
          </w:pPr>
          <w:r w:rsidRPr="00F81740">
            <w:rPr>
              <w:rFonts w:ascii="Times New Roman" w:hAnsi="Times New Roman" w:cs="Times New Roman"/>
              <w:lang w:val="es-ES"/>
            </w:rPr>
            <w:lastRenderedPageBreak/>
            <w:t>Ley 27204. (08 de octubre de 2015). Ley de implementación efectiva de la responsabilidad del Estado en el nivel de educación superior. Ciudad de Buenos Aires, Buenos Aires, Argentina. Obtenido de https://servicios.infoleg.gob.a</w:t>
          </w:r>
          <w:r>
            <w:rPr>
              <w:rFonts w:ascii="Times New Roman" w:hAnsi="Times New Roman" w:cs="Times New Roman"/>
              <w:lang w:val="es-ES"/>
            </w:rPr>
            <w:t>r/infolegInternet/anexos/250000254999/254825/norma.ht</w:t>
          </w:r>
          <w:r w:rsidRPr="00F81740">
            <w:rPr>
              <w:rFonts w:ascii="Times New Roman" w:hAnsi="Times New Roman" w:cs="Times New Roman"/>
              <w:lang w:val="es-ES"/>
            </w:rPr>
            <w:t>m</w:t>
          </w:r>
        </w:p>
        <w:p w14:paraId="7CBF3DFF" w14:textId="77777777" w:rsidR="00F81740" w:rsidRPr="00F81740" w:rsidRDefault="00F81740" w:rsidP="00F81740">
          <w:pPr>
            <w:spacing w:line="240" w:lineRule="auto"/>
            <w:jc w:val="both"/>
            <w:rPr>
              <w:rFonts w:ascii="Times New Roman" w:hAnsi="Times New Roman" w:cs="Times New Roman"/>
              <w:lang w:val="es-ES"/>
            </w:rPr>
          </w:pPr>
          <w:r w:rsidRPr="00F81740">
            <w:rPr>
              <w:rFonts w:ascii="Times New Roman" w:hAnsi="Times New Roman" w:cs="Times New Roman"/>
              <w:lang w:val="es-ES"/>
            </w:rPr>
            <w:t xml:space="preserve">Universidad Nacional de San Antonio de Areco. (2016). Resolución RO N° 111/2016. </w:t>
          </w:r>
          <w:r w:rsidRPr="00F81740">
            <w:rPr>
              <w:rFonts w:ascii="Times New Roman" w:hAnsi="Times New Roman" w:cs="Times New Roman"/>
              <w:i/>
              <w:iCs/>
              <w:lang w:val="es-ES"/>
            </w:rPr>
            <w:t xml:space="preserve">Programa de ingreso, permanencia y egreso con calidad de estudiantes de la Universidad Nacional de </w:t>
          </w:r>
          <w:proofErr w:type="spellStart"/>
          <w:r w:rsidRPr="00F81740">
            <w:rPr>
              <w:rFonts w:ascii="Times New Roman" w:hAnsi="Times New Roman" w:cs="Times New Roman"/>
              <w:i/>
              <w:iCs/>
              <w:lang w:val="es-ES"/>
            </w:rPr>
            <w:t>SAn</w:t>
          </w:r>
          <w:proofErr w:type="spellEnd"/>
          <w:r w:rsidRPr="00F81740">
            <w:rPr>
              <w:rFonts w:ascii="Times New Roman" w:hAnsi="Times New Roman" w:cs="Times New Roman"/>
              <w:i/>
              <w:iCs/>
              <w:lang w:val="es-ES"/>
            </w:rPr>
            <w:t xml:space="preserve"> Antonio de Areco</w:t>
          </w:r>
          <w:r w:rsidRPr="00F81740">
            <w:rPr>
              <w:rFonts w:ascii="Times New Roman" w:hAnsi="Times New Roman" w:cs="Times New Roman"/>
              <w:lang w:val="es-ES"/>
            </w:rPr>
            <w:t>. San Antonio de Areco, Buenos Aires, Argentina.</w:t>
          </w:r>
        </w:p>
        <w:p w14:paraId="4FBA610A" w14:textId="77777777" w:rsidR="00F81740" w:rsidRPr="00F81740" w:rsidRDefault="00F81740" w:rsidP="00F81740">
          <w:pPr>
            <w:spacing w:line="240" w:lineRule="auto"/>
            <w:jc w:val="both"/>
            <w:rPr>
              <w:rFonts w:ascii="Times New Roman" w:hAnsi="Times New Roman" w:cs="Times New Roman"/>
              <w:lang w:val="es-ES"/>
            </w:rPr>
          </w:pPr>
          <w:r w:rsidRPr="00F81740">
            <w:rPr>
              <w:rFonts w:ascii="Times New Roman" w:hAnsi="Times New Roman" w:cs="Times New Roman"/>
              <w:lang w:val="es-ES"/>
            </w:rPr>
            <w:t xml:space="preserve">Universidad Nacional de San Antonio de Areco. (2019). Resolución CS N° 149/2019. </w:t>
          </w:r>
          <w:r w:rsidRPr="00F81740">
            <w:rPr>
              <w:rFonts w:ascii="Times New Roman" w:hAnsi="Times New Roman" w:cs="Times New Roman"/>
              <w:i/>
              <w:iCs/>
              <w:lang w:val="es-ES"/>
            </w:rPr>
            <w:t>Programa de Articulación Académica y Reconocimiento de trayectos Curriculares</w:t>
          </w:r>
          <w:r w:rsidRPr="00F81740">
            <w:rPr>
              <w:rFonts w:ascii="Times New Roman" w:hAnsi="Times New Roman" w:cs="Times New Roman"/>
              <w:lang w:val="es-ES"/>
            </w:rPr>
            <w:t>. San Antonio de Areco, Buenos Aires, Argentina.</w:t>
          </w:r>
        </w:p>
        <w:p w14:paraId="3C298AC9" w14:textId="77777777" w:rsidR="00F81740" w:rsidRPr="00F81740" w:rsidRDefault="00F81740" w:rsidP="00F81740">
          <w:pPr>
            <w:spacing w:line="240" w:lineRule="auto"/>
            <w:jc w:val="both"/>
            <w:rPr>
              <w:rFonts w:ascii="Times New Roman" w:hAnsi="Times New Roman" w:cs="Times New Roman"/>
              <w:lang w:val="es-ES"/>
            </w:rPr>
          </w:pPr>
          <w:r w:rsidRPr="00F81740">
            <w:rPr>
              <w:rFonts w:ascii="Times New Roman" w:hAnsi="Times New Roman" w:cs="Times New Roman"/>
              <w:lang w:val="es-ES"/>
            </w:rPr>
            <w:t xml:space="preserve">Universidad Nacional de San Antonio de Areco. (2025). Resolución CS N°648/2025. </w:t>
          </w:r>
          <w:r w:rsidRPr="00F81740">
            <w:rPr>
              <w:rFonts w:ascii="Times New Roman" w:hAnsi="Times New Roman" w:cs="Times New Roman"/>
              <w:i/>
              <w:iCs/>
              <w:lang w:val="es-ES"/>
            </w:rPr>
            <w:t>NEXOS UNSAdA - Curso Preuniversitario</w:t>
          </w:r>
          <w:r w:rsidRPr="00F81740">
            <w:rPr>
              <w:rFonts w:ascii="Times New Roman" w:hAnsi="Times New Roman" w:cs="Times New Roman"/>
              <w:lang w:val="es-ES"/>
            </w:rPr>
            <w:t>. San Antonio de Areco, Buenos Aires, Argentina.</w:t>
          </w:r>
        </w:p>
        <w:p w14:paraId="20BE05CE" w14:textId="45905DDE" w:rsidR="00F81740" w:rsidRPr="00F81740" w:rsidRDefault="00F81740" w:rsidP="00F81740">
          <w:pPr>
            <w:spacing w:line="240" w:lineRule="auto"/>
            <w:jc w:val="both"/>
            <w:rPr>
              <w:rFonts w:ascii="Times New Roman" w:hAnsi="Times New Roman" w:cs="Times New Roman"/>
              <w:lang w:val="es-ES"/>
            </w:rPr>
          </w:pPr>
          <w:proofErr w:type="spellStart"/>
          <w:r w:rsidRPr="00F81740">
            <w:rPr>
              <w:rFonts w:ascii="Times New Roman" w:hAnsi="Times New Roman" w:cs="Times New Roman"/>
              <w:lang w:val="es-ES"/>
            </w:rPr>
            <w:t>Wigdorovitz</w:t>
          </w:r>
          <w:proofErr w:type="spellEnd"/>
          <w:r w:rsidRPr="00F81740">
            <w:rPr>
              <w:rFonts w:ascii="Times New Roman" w:hAnsi="Times New Roman" w:cs="Times New Roman"/>
              <w:lang w:val="es-ES"/>
            </w:rPr>
            <w:t xml:space="preserve"> de </w:t>
          </w:r>
          <w:proofErr w:type="spellStart"/>
          <w:r w:rsidRPr="00F81740">
            <w:rPr>
              <w:rFonts w:ascii="Times New Roman" w:hAnsi="Times New Roman" w:cs="Times New Roman"/>
              <w:lang w:val="es-ES"/>
            </w:rPr>
            <w:t>Camilloni</w:t>
          </w:r>
          <w:proofErr w:type="spellEnd"/>
          <w:r w:rsidRPr="00F81740">
            <w:rPr>
              <w:rFonts w:ascii="Times New Roman" w:hAnsi="Times New Roman" w:cs="Times New Roman"/>
              <w:lang w:val="es-ES"/>
            </w:rPr>
            <w:t>, A. (2017). Ensayos:</w:t>
          </w:r>
          <w:r>
            <w:rPr>
              <w:rFonts w:ascii="Times New Roman" w:hAnsi="Times New Roman" w:cs="Times New Roman"/>
              <w:lang w:val="es-ES"/>
            </w:rPr>
            <w:t xml:space="preserve"> </w:t>
          </w:r>
          <w:r w:rsidRPr="00F81740">
            <w:rPr>
              <w:rFonts w:ascii="Times New Roman" w:hAnsi="Times New Roman" w:cs="Times New Roman"/>
              <w:lang w:val="es-ES"/>
            </w:rPr>
            <w:t xml:space="preserve">Tendencias y formatos en el currículo universitario. </w:t>
          </w:r>
          <w:r w:rsidRPr="00F81740">
            <w:rPr>
              <w:rFonts w:ascii="Times New Roman" w:hAnsi="Times New Roman" w:cs="Times New Roman"/>
              <w:i/>
              <w:iCs/>
              <w:lang w:val="es-ES"/>
            </w:rPr>
            <w:t xml:space="preserve">Itinerarios </w:t>
          </w:r>
          <w:proofErr w:type="gramStart"/>
          <w:r w:rsidRPr="00F81740">
            <w:rPr>
              <w:rFonts w:ascii="Times New Roman" w:hAnsi="Times New Roman" w:cs="Times New Roman"/>
              <w:i/>
              <w:iCs/>
              <w:lang w:val="es-ES"/>
            </w:rPr>
            <w:t>educativos</w:t>
          </w:r>
          <w:r w:rsidRPr="00F81740">
            <w:rPr>
              <w:rFonts w:ascii="Times New Roman" w:hAnsi="Times New Roman" w:cs="Times New Roman"/>
              <w:lang w:val="es-ES"/>
            </w:rPr>
            <w:t>(</w:t>
          </w:r>
          <w:proofErr w:type="gramEnd"/>
          <w:r w:rsidRPr="00F81740">
            <w:rPr>
              <w:rFonts w:ascii="Times New Roman" w:hAnsi="Times New Roman" w:cs="Times New Roman"/>
              <w:lang w:val="es-ES"/>
            </w:rPr>
            <w:t xml:space="preserve">9), 59-87. </w:t>
          </w:r>
          <w:proofErr w:type="spellStart"/>
          <w:r w:rsidRPr="00F81740">
            <w:rPr>
              <w:rFonts w:ascii="Times New Roman" w:hAnsi="Times New Roman" w:cs="Times New Roman"/>
              <w:lang w:val="es-ES"/>
            </w:rPr>
            <w:t>doi:https</w:t>
          </w:r>
          <w:proofErr w:type="spellEnd"/>
          <w:r w:rsidRPr="00F81740">
            <w:rPr>
              <w:rFonts w:ascii="Times New Roman" w:hAnsi="Times New Roman" w:cs="Times New Roman"/>
              <w:lang w:val="es-ES"/>
            </w:rPr>
            <w:t>://doi.org/10.14409/</w:t>
          </w:r>
          <w:proofErr w:type="gramStart"/>
          <w:r w:rsidRPr="00F81740">
            <w:rPr>
              <w:rFonts w:ascii="Times New Roman" w:hAnsi="Times New Roman" w:cs="Times New Roman"/>
              <w:lang w:val="es-ES"/>
            </w:rPr>
            <w:t>ie.v</w:t>
          </w:r>
          <w:proofErr w:type="gramEnd"/>
          <w:r w:rsidRPr="00F81740">
            <w:rPr>
              <w:rFonts w:ascii="Times New Roman" w:hAnsi="Times New Roman" w:cs="Times New Roman"/>
              <w:lang w:val="es-ES"/>
            </w:rPr>
            <w:t>0i9.6536</w:t>
          </w:r>
        </w:p>
        <w:p w14:paraId="34F17FEF" w14:textId="77777777" w:rsidR="00F81740" w:rsidRPr="00F81740" w:rsidRDefault="00F81740" w:rsidP="00F81740">
          <w:pPr>
            <w:spacing w:line="240" w:lineRule="auto"/>
            <w:jc w:val="both"/>
            <w:rPr>
              <w:rFonts w:ascii="Times New Roman" w:hAnsi="Times New Roman" w:cs="Times New Roman"/>
              <w:lang w:val="es-AR"/>
            </w:rPr>
          </w:pPr>
          <w:r w:rsidRPr="00F81740">
            <w:rPr>
              <w:rFonts w:ascii="Times New Roman" w:hAnsi="Times New Roman" w:cs="Times New Roman"/>
            </w:rPr>
            <w:fldChar w:fldCharType="end"/>
          </w:r>
        </w:p>
      </w:sdtContent>
    </w:sdt>
    <w:p w14:paraId="7E83515B" w14:textId="6594E1AD"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187EF" w14:textId="77777777" w:rsidR="00931CC6" w:rsidRPr="00BA642E" w:rsidRDefault="00931CC6" w:rsidP="00C802F5">
      <w:pPr>
        <w:spacing w:after="0" w:line="240" w:lineRule="auto"/>
      </w:pPr>
      <w:r w:rsidRPr="00BA642E">
        <w:separator/>
      </w:r>
    </w:p>
  </w:endnote>
  <w:endnote w:type="continuationSeparator" w:id="0">
    <w:p w14:paraId="2A8385B5" w14:textId="77777777" w:rsidR="00931CC6" w:rsidRPr="00BA642E" w:rsidRDefault="00931CC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47C63" w14:textId="77777777" w:rsidR="00931CC6" w:rsidRPr="00BA642E" w:rsidRDefault="00931CC6" w:rsidP="00C802F5">
      <w:pPr>
        <w:spacing w:after="0" w:line="240" w:lineRule="auto"/>
      </w:pPr>
      <w:r w:rsidRPr="00BA642E">
        <w:separator/>
      </w:r>
    </w:p>
  </w:footnote>
  <w:footnote w:type="continuationSeparator" w:id="0">
    <w:p w14:paraId="02573BE8" w14:textId="77777777" w:rsidR="00931CC6" w:rsidRPr="00BA642E" w:rsidRDefault="00931CC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36127E"/>
    <w:rsid w:val="003901D3"/>
    <w:rsid w:val="004040C0"/>
    <w:rsid w:val="00437E9C"/>
    <w:rsid w:val="00485B2F"/>
    <w:rsid w:val="00550766"/>
    <w:rsid w:val="00553495"/>
    <w:rsid w:val="005C3743"/>
    <w:rsid w:val="005F3B2E"/>
    <w:rsid w:val="006E1ABA"/>
    <w:rsid w:val="00701F64"/>
    <w:rsid w:val="007A2C5B"/>
    <w:rsid w:val="007B5B5F"/>
    <w:rsid w:val="007D233B"/>
    <w:rsid w:val="0085070B"/>
    <w:rsid w:val="00931CC6"/>
    <w:rsid w:val="009725D2"/>
    <w:rsid w:val="00A17247"/>
    <w:rsid w:val="00B271F7"/>
    <w:rsid w:val="00BA642E"/>
    <w:rsid w:val="00BC236F"/>
    <w:rsid w:val="00C802F5"/>
    <w:rsid w:val="00C96B2C"/>
    <w:rsid w:val="00CC04C1"/>
    <w:rsid w:val="00D843EC"/>
    <w:rsid w:val="00E7620D"/>
    <w:rsid w:val="00EC520B"/>
    <w:rsid w:val="00F713A1"/>
    <w:rsid w:val="00F817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table" w:styleId="Tabladecuadrcula5oscura-nfasis3">
    <w:name w:val="Grid Table 5 Dark Accent 3"/>
    <w:basedOn w:val="Tablanormal"/>
    <w:uiPriority w:val="50"/>
    <w:rsid w:val="00E762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
    <w:name w:val="Table Grid"/>
    <w:basedOn w:val="Tablanormal"/>
    <w:uiPriority w:val="39"/>
    <w:rsid w:val="00E7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B271F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018-41AD-9C20-2D07A562990E}"/>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1018-41AD-9C20-2D07A562990E}"/>
              </c:ext>
            </c:extLst>
          </c:dPt>
          <c:dLbls>
            <c:dLbl>
              <c:idx val="0"/>
              <c:layout>
                <c:manualLayout>
                  <c:x val="-0.23989908931838066"/>
                  <c:y val="-0.32505659765502287"/>
                </c:manualLayout>
              </c:layout>
              <c:showLegendKey val="0"/>
              <c:showVal val="0"/>
              <c:showCatName val="1"/>
              <c:showSerName val="0"/>
              <c:showPercent val="1"/>
              <c:showBubbleSize val="0"/>
              <c:extLst>
                <c:ext xmlns:c15="http://schemas.microsoft.com/office/drawing/2012/chart" uri="{CE6537A1-D6FC-4f65-9D91-7224C49458BB}">
                  <c15:layout>
                    <c:manualLayout>
                      <c:w val="0.26804123711340205"/>
                      <c:h val="0.17409766454352441"/>
                    </c:manualLayout>
                  </c15:layout>
                </c:ext>
                <c:ext xmlns:c16="http://schemas.microsoft.com/office/drawing/2014/chart" uri="{C3380CC4-5D6E-409C-BE32-E72D297353CC}">
                  <c16:uniqueId val="{00000001-1018-41AD-9C20-2D07A562990E}"/>
                </c:ext>
              </c:extLst>
            </c:dLbl>
            <c:dLbl>
              <c:idx val="1"/>
              <c:layout>
                <c:manualLayout>
                  <c:x val="0.18568678915135609"/>
                  <c:y val="0.12678604363643733"/>
                </c:manualLayout>
              </c:layout>
              <c:showLegendKey val="0"/>
              <c:showVal val="0"/>
              <c:showCatName val="1"/>
              <c:showSerName val="0"/>
              <c:showPercent val="1"/>
              <c:showBubbleSize val="0"/>
              <c:extLst>
                <c:ext xmlns:c15="http://schemas.microsoft.com/office/drawing/2012/chart" uri="{CE6537A1-D6FC-4f65-9D91-7224C49458BB}">
                  <c15:layout>
                    <c:manualLayout>
                      <c:w val="0.23917525773195877"/>
                      <c:h val="0.16135881104033969"/>
                    </c:manualLayout>
                  </c15:layout>
                </c:ext>
                <c:ext xmlns:c16="http://schemas.microsoft.com/office/drawing/2014/chart" uri="{C3380CC4-5D6E-409C-BE32-E72D297353CC}">
                  <c16:uniqueId val="{00000003-1018-41AD-9C20-2D07A562990E}"/>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AR"/>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Areco!$H$21:$I$21</c:f>
              <c:strCache>
                <c:ptCount val="2"/>
                <c:pt idx="0">
                  <c:v>Personas Jovenes</c:v>
                </c:pt>
                <c:pt idx="1">
                  <c:v>Personas adultas</c:v>
                </c:pt>
              </c:strCache>
            </c:strRef>
          </c:cat>
          <c:val>
            <c:numRef>
              <c:f>Areco!$H$22:$I$22</c:f>
              <c:numCache>
                <c:formatCode>General</c:formatCode>
                <c:ptCount val="2"/>
                <c:pt idx="0">
                  <c:v>32</c:v>
                </c:pt>
                <c:pt idx="1">
                  <c:v>9</c:v>
                </c:pt>
              </c:numCache>
            </c:numRef>
          </c:val>
          <c:extLst>
            <c:ext xmlns:c16="http://schemas.microsoft.com/office/drawing/2014/chart" uri="{C3380CC4-5D6E-409C-BE32-E72D297353CC}">
              <c16:uniqueId val="{00000004-1018-41AD-9C20-2D07A562990E}"/>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A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EF-45A9-B2D5-B62D9A00F84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1EF-45A9-B2D5-B62D9A00F84C}"/>
              </c:ext>
            </c:extLst>
          </c:dPt>
          <c:cat>
            <c:strRef>
              <c:f>Areco!$D$22:$D$23</c:f>
              <c:strCache>
                <c:ptCount val="2"/>
                <c:pt idx="0">
                  <c:v>SAdA</c:v>
                </c:pt>
                <c:pt idx="1">
                  <c:v>Baradero</c:v>
                </c:pt>
              </c:strCache>
            </c:strRef>
          </c:cat>
          <c:val>
            <c:numRef>
              <c:f>Areco!$E$22:$E$23</c:f>
              <c:numCache>
                <c:formatCode>General</c:formatCode>
                <c:ptCount val="2"/>
                <c:pt idx="0">
                  <c:v>14</c:v>
                </c:pt>
                <c:pt idx="1">
                  <c:v>27</c:v>
                </c:pt>
              </c:numCache>
            </c:numRef>
          </c:val>
          <c:extLst>
            <c:ext xmlns:c16="http://schemas.microsoft.com/office/drawing/2014/chart" uri="{C3380CC4-5D6E-409C-BE32-E72D297353CC}">
              <c16:uniqueId val="{00000004-61EF-45A9-B2D5-B62D9A00F84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A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Areco!$E$37</c:f>
              <c:strCache>
                <c:ptCount val="1"/>
                <c:pt idx="0">
                  <c:v>Inscriptos/as</c:v>
                </c:pt>
              </c:strCache>
            </c:strRef>
          </c:tx>
          <c:spPr>
            <a:solidFill>
              <a:schemeClr val="accent5"/>
            </a:solidFill>
            <a:ln>
              <a:noFill/>
            </a:ln>
            <a:effectLst/>
          </c:spPr>
          <c:invertIfNegative val="0"/>
          <c:cat>
            <c:strRef>
              <c:f>Areco!$B$38:$B$41</c:f>
              <c:strCache>
                <c:ptCount val="4"/>
                <c:pt idx="0">
                  <c:v>UCT</c:v>
                </c:pt>
                <c:pt idx="1">
                  <c:v>Biología</c:v>
                </c:pt>
                <c:pt idx="2">
                  <c:v>Inglés técnico</c:v>
                </c:pt>
                <c:pt idx="3">
                  <c:v>Introducción al álgebra</c:v>
                </c:pt>
              </c:strCache>
            </c:strRef>
          </c:cat>
          <c:val>
            <c:numRef>
              <c:f>Areco!$E$38:$E$41</c:f>
              <c:numCache>
                <c:formatCode>General</c:formatCode>
                <c:ptCount val="4"/>
                <c:pt idx="0">
                  <c:v>41</c:v>
                </c:pt>
                <c:pt idx="1">
                  <c:v>7</c:v>
                </c:pt>
                <c:pt idx="2">
                  <c:v>29</c:v>
                </c:pt>
                <c:pt idx="3">
                  <c:v>26</c:v>
                </c:pt>
              </c:numCache>
            </c:numRef>
          </c:val>
          <c:extLst>
            <c:ext xmlns:c16="http://schemas.microsoft.com/office/drawing/2014/chart" uri="{C3380CC4-5D6E-409C-BE32-E72D297353CC}">
              <c16:uniqueId val="{00000000-86C7-434E-826C-61FCADE8F7C8}"/>
            </c:ext>
          </c:extLst>
        </c:ser>
        <c:ser>
          <c:idx val="3"/>
          <c:order val="3"/>
          <c:tx>
            <c:strRef>
              <c:f>Areco!$F$37</c:f>
              <c:strCache>
                <c:ptCount val="1"/>
                <c:pt idx="0">
                  <c:v>Aprobados/as</c:v>
                </c:pt>
              </c:strCache>
            </c:strRef>
          </c:tx>
          <c:spPr>
            <a:solidFill>
              <a:schemeClr val="accent1">
                <a:lumMod val="60000"/>
              </a:schemeClr>
            </a:solidFill>
            <a:ln>
              <a:noFill/>
            </a:ln>
            <a:effectLst/>
          </c:spPr>
          <c:invertIfNegative val="0"/>
          <c:cat>
            <c:strRef>
              <c:f>Areco!$B$38:$B$41</c:f>
              <c:strCache>
                <c:ptCount val="4"/>
                <c:pt idx="0">
                  <c:v>UCT</c:v>
                </c:pt>
                <c:pt idx="1">
                  <c:v>Biología</c:v>
                </c:pt>
                <c:pt idx="2">
                  <c:v>Inglés técnico</c:v>
                </c:pt>
                <c:pt idx="3">
                  <c:v>Introducción al álgebra</c:v>
                </c:pt>
              </c:strCache>
            </c:strRef>
          </c:cat>
          <c:val>
            <c:numRef>
              <c:f>Areco!$F$38:$F$41</c:f>
              <c:numCache>
                <c:formatCode>General</c:formatCode>
                <c:ptCount val="4"/>
                <c:pt idx="0">
                  <c:v>31</c:v>
                </c:pt>
                <c:pt idx="1">
                  <c:v>5</c:v>
                </c:pt>
                <c:pt idx="2">
                  <c:v>29</c:v>
                </c:pt>
                <c:pt idx="3">
                  <c:v>5</c:v>
                </c:pt>
              </c:numCache>
            </c:numRef>
          </c:val>
          <c:extLst>
            <c:ext xmlns:c16="http://schemas.microsoft.com/office/drawing/2014/chart" uri="{C3380CC4-5D6E-409C-BE32-E72D297353CC}">
              <c16:uniqueId val="{00000001-86C7-434E-826C-61FCADE8F7C8}"/>
            </c:ext>
          </c:extLst>
        </c:ser>
        <c:dLbls>
          <c:showLegendKey val="0"/>
          <c:showVal val="0"/>
          <c:showCatName val="0"/>
          <c:showSerName val="0"/>
          <c:showPercent val="0"/>
          <c:showBubbleSize val="0"/>
        </c:dLbls>
        <c:gapWidth val="219"/>
        <c:overlap val="-27"/>
        <c:axId val="1444667743"/>
        <c:axId val="1444677311"/>
        <c:extLst>
          <c:ext xmlns:c15="http://schemas.microsoft.com/office/drawing/2012/chart" uri="{02D57815-91ED-43cb-92C2-25804820EDAC}">
            <c15:filteredBarSeries>
              <c15:ser>
                <c:idx val="0"/>
                <c:order val="0"/>
                <c:tx>
                  <c:strRef>
                    <c:extLst>
                      <c:ext uri="{02D57815-91ED-43cb-92C2-25804820EDAC}">
                        <c15:formulaRef>
                          <c15:sqref>Areco!$C$37</c15:sqref>
                        </c15:formulaRef>
                      </c:ext>
                    </c:extLst>
                    <c:strCache>
                      <c:ptCount val="1"/>
                    </c:strCache>
                  </c:strRef>
                </c:tx>
                <c:spPr>
                  <a:solidFill>
                    <a:schemeClr val="accent1"/>
                  </a:solidFill>
                  <a:ln>
                    <a:noFill/>
                  </a:ln>
                  <a:effectLst/>
                </c:spPr>
                <c:invertIfNegative val="0"/>
                <c:cat>
                  <c:strRef>
                    <c:extLst>
                      <c:ext uri="{02D57815-91ED-43cb-92C2-25804820EDAC}">
                        <c15:formulaRef>
                          <c15:sqref>Areco!$B$38:$B$41</c15:sqref>
                        </c15:formulaRef>
                      </c:ext>
                    </c:extLst>
                    <c:strCache>
                      <c:ptCount val="4"/>
                      <c:pt idx="0">
                        <c:v>UCT</c:v>
                      </c:pt>
                      <c:pt idx="1">
                        <c:v>Biología</c:v>
                      </c:pt>
                      <c:pt idx="2">
                        <c:v>Inglés técnico</c:v>
                      </c:pt>
                      <c:pt idx="3">
                        <c:v>Introducción al álgebra</c:v>
                      </c:pt>
                    </c:strCache>
                  </c:strRef>
                </c:cat>
                <c:val>
                  <c:numRef>
                    <c:extLst>
                      <c:ext uri="{02D57815-91ED-43cb-92C2-25804820EDAC}">
                        <c15:formulaRef>
                          <c15:sqref>Areco!$C$38:$C$41</c15:sqref>
                        </c15:formulaRef>
                      </c:ext>
                    </c:extLst>
                    <c:numCache>
                      <c:formatCode>General</c:formatCode>
                      <c:ptCount val="4"/>
                    </c:numCache>
                  </c:numRef>
                </c:val>
                <c:extLst>
                  <c:ext xmlns:c16="http://schemas.microsoft.com/office/drawing/2014/chart" uri="{C3380CC4-5D6E-409C-BE32-E72D297353CC}">
                    <c16:uniqueId val="{00000002-86C7-434E-826C-61FCADE8F7C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Areco!$D$37</c15:sqref>
                        </c15:formulaRef>
                      </c:ext>
                    </c:extLst>
                    <c:strCache>
                      <c:ptCount val="1"/>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Areco!$B$38:$B$41</c15:sqref>
                        </c15:formulaRef>
                      </c:ext>
                    </c:extLst>
                    <c:strCache>
                      <c:ptCount val="4"/>
                      <c:pt idx="0">
                        <c:v>UCT</c:v>
                      </c:pt>
                      <c:pt idx="1">
                        <c:v>Biología</c:v>
                      </c:pt>
                      <c:pt idx="2">
                        <c:v>Inglés técnico</c:v>
                      </c:pt>
                      <c:pt idx="3">
                        <c:v>Introducción al álgebra</c:v>
                      </c:pt>
                    </c:strCache>
                  </c:strRef>
                </c:cat>
                <c:val>
                  <c:numRef>
                    <c:extLst xmlns:c15="http://schemas.microsoft.com/office/drawing/2012/chart">
                      <c:ext xmlns:c15="http://schemas.microsoft.com/office/drawing/2012/chart" uri="{02D57815-91ED-43cb-92C2-25804820EDAC}">
                        <c15:formulaRef>
                          <c15:sqref>Areco!$D$38:$D$41</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86C7-434E-826C-61FCADE8F7C8}"/>
                  </c:ext>
                </c:extLst>
              </c15:ser>
            </c15:filteredBarSeries>
          </c:ext>
        </c:extLst>
      </c:barChart>
      <c:catAx>
        <c:axId val="14446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1444677311"/>
        <c:crosses val="autoZero"/>
        <c:auto val="1"/>
        <c:lblAlgn val="ctr"/>
        <c:lblOffset val="100"/>
        <c:noMultiLvlLbl val="0"/>
      </c:catAx>
      <c:valAx>
        <c:axId val="1444677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crossAx val="14446677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A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AR"/>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b:Tag>
    <b:SourceType>ElectronicSource</b:SourceType>
    <b:Guid>{C80D0BA7-AFAE-4AF2-AA1E-D8F57BF26C9A}</b:Guid>
    <b:Author>
      <b:Author>
        <b:Corporate>Universidad Nacional de San Antonio de Areco</b:Corporate>
      </b:Author>
    </b:Author>
    <b:Title>Resolución CS N°648/2025</b:Title>
    <b:City>San Antonio de Areco</b:City>
    <b:StateProvince>Buenos Aires</b:StateProvince>
    <b:CountryRegion>Argentina</b:CountryRegion>
    <b:PublicationTitle>NEXOS UNSAdA - Curso Preuniversitario</b:PublicationTitle>
    <b:Year>2025</b:Year>
    <b:RefOrder>6</b:RefOrder>
  </b:Source>
  <b:Source>
    <b:Tag>Wig17</b:Tag>
    <b:SourceType>JournalArticle</b:SourceType>
    <b:Guid>{B0703474-2657-4480-A0E5-A215C840CEBC}</b:Guid>
    <b:Title> Ensayos:Tendencias y formatos en el currículo universitario</b:Title>
    <b:JournalName>Itinerarios educativos</b:JournalName>
    <b:Year>2017</b:Year>
    <b:Pages>59-87</b:Pages>
    <b:Author>
      <b:Author>
        <b:NameList>
          <b:Person>
            <b:Last>Wigdorovitz de Camilloni</b:Last>
            <b:First>Alicia</b:First>
          </b:Person>
        </b:NameList>
      </b:Author>
    </b:Author>
    <b:Issue>9</b:Issue>
    <b:DOI>https://doi.org/10.14409/ie.v0i9.6536</b:DOI>
    <b:RefOrder>2</b:RefOrder>
  </b:Source>
  <b:Source>
    <b:Tag>Dir24</b:Tag>
    <b:SourceType>ElectronicSource</b:SourceType>
    <b:Guid>{C390F8A7-85A1-49C6-BDA7-0504AE0F84F0}</b:Guid>
    <b:Author>
      <b:Author>
        <b:Corporate>Dirección General de Cultura y Educación de la Provincia de Buenos Aires</b:Corporate>
      </b:Author>
    </b:Author>
    <b:Title>RESOC-2024-1650-GDEBA-DGCYE</b:Title>
    <b:City>La Plata</b:City>
    <b:StateProvince>Buenos Aires</b:StateProvince>
    <b:CountryRegion>Argentina</b:CountryRegion>
    <b:Year>2024</b:Year>
    <b:Month>Junio</b:Month>
    <b:Day>7</b:Day>
    <b:PublicationTitle>Régimen académico para la educación secundaria</b:PublicationTitle>
    <b:RefOrder>1</b:RefOrder>
  </b:Source>
  <b:Source>
    <b:Tag>Ley151</b:Tag>
    <b:SourceType>ElectronicSource</b:SourceType>
    <b:Guid>{DB2C1F99-B9B8-4ADD-838F-549CFB07CB35}</b:Guid>
    <b:Title>Ley de implementación efectiva de la responsabilidad del Estado en el nivel de educación superior</b:Title>
    <b:Year>2015</b:Year>
    <b:City>Ciudad de Buenos Aires</b:City>
    <b:Author>
      <b:Author>
        <b:Corporate>Ley 27204</b:Corporate>
      </b:Author>
    </b:Author>
    <b:StateProvince>Buenos Aires</b:StateProvince>
    <b:CountryRegion>Argentina</b:CountryRegion>
    <b:Month>octubre</b:Month>
    <b:Day>08</b:Day>
    <b:URL>https://servicios.infoleg.gob.ar/infolegInternet/anexos/250000-254999/254825/norma.htm</b:URL>
    <b:RefOrder>3</b:RefOrder>
  </b:Source>
  <b:Source>
    <b:Tag>Uni16</b:Tag>
    <b:SourceType>ElectronicSource</b:SourceType>
    <b:Guid>{ECFC2BD0-47B8-4959-8952-E0337C395973}</b:Guid>
    <b:Author>
      <b:Author>
        <b:Corporate>Universidad Nacional de San Antonio de Areco</b:Corporate>
      </b:Author>
    </b:Author>
    <b:Title>Resolución RO N° 111/2016</b:Title>
    <b:City>San Antonio de Areco</b:City>
    <b:StateProvince>Buenos Aires</b:StateProvince>
    <b:CountryRegion>Argentina</b:CountryRegion>
    <b:Year>2016</b:Year>
    <b:PublicationTitle>Programa de ingreso, permanencia y egreso con calidad de estudiantes de la Universidad Nacional de SAn Antonio de Areco</b:PublicationTitle>
    <b:RefOrder>4</b:RefOrder>
  </b:Source>
  <b:Source>
    <b:Tag>Uni</b:Tag>
    <b:SourceType>ElectronicSource</b:SourceType>
    <b:Guid>{4C1082E0-C67A-42E6-A295-47949B0FEF38}</b:Guid>
    <b:Title>Resolución CS N° 149/2019</b:Title>
    <b:City>San Antonio de Areco</b:City>
    <b:StateProvince>Buenos Aires</b:StateProvince>
    <b:CountryRegion>Argentina</b:CountryRegion>
    <b:Author>
      <b:Author>
        <b:Corporate>Universidad Nacional de San Antonio de Areco</b:Corporate>
      </b:Author>
    </b:Author>
    <b:PublicationTitle>Programa de Articulación Académica y Reconocimiento de trayectos Curriculares</b:PublicationTitle>
    <b:Year>2019</b:Year>
    <b:RefOrder>5</b:RefOrder>
  </b:Source>
</b:Sources>
</file>

<file path=customXml/itemProps1.xml><?xml version="1.0" encoding="utf-8"?>
<ds:datastoreItem xmlns:ds="http://schemas.openxmlformats.org/officeDocument/2006/customXml" ds:itemID="{C1B3B8E7-C110-4828-BE50-6D20E036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5538</Words>
  <Characters>30465</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14</cp:revision>
  <dcterms:created xsi:type="dcterms:W3CDTF">2026-03-14T03:50:00Z</dcterms:created>
  <dcterms:modified xsi:type="dcterms:W3CDTF">2026-04-23T23:32:00Z</dcterms:modified>
</cp:coreProperties>
</file>