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BA642E" w:rsidRDefault="00C802F5" w:rsidP="001923DC">
      <w:pPr>
        <w:jc w:val="center"/>
        <w:rPr>
          <w:rFonts w:ascii="Times New Roman" w:hAnsi="Times New Roman" w:cs="Times New Roman"/>
        </w:rPr>
      </w:pPr>
    </w:p>
    <w:p w14:paraId="1DABD42B" w14:textId="1760FADD" w:rsidR="001923DC" w:rsidRPr="001E0483" w:rsidRDefault="001E0483" w:rsidP="001923DC">
      <w:pPr>
        <w:jc w:val="center"/>
        <w:rPr>
          <w:rFonts w:ascii="Times New Roman" w:hAnsi="Times New Roman" w:cs="Times New Roman"/>
          <w:b/>
          <w:bCs/>
          <w:sz w:val="24"/>
          <w:szCs w:val="24"/>
        </w:rPr>
      </w:pPr>
      <w:r w:rsidRPr="001E0483">
        <w:rPr>
          <w:rFonts w:ascii="Times New Roman" w:hAnsi="Times New Roman" w:cs="Times New Roman"/>
          <w:b/>
          <w:bCs/>
          <w:color w:val="000000"/>
          <w:sz w:val="24"/>
          <w:szCs w:val="24"/>
        </w:rPr>
        <w:t>A</w:t>
      </w:r>
      <w:r>
        <w:rPr>
          <w:rFonts w:ascii="Times New Roman" w:hAnsi="Times New Roman" w:cs="Times New Roman"/>
          <w:b/>
          <w:bCs/>
          <w:color w:val="000000"/>
          <w:sz w:val="24"/>
          <w:szCs w:val="24"/>
        </w:rPr>
        <w:t xml:space="preserve">compañamiento pedagógico a la transición entre secundaria y universidad </w:t>
      </w:r>
    </w:p>
    <w:p w14:paraId="43C49479" w14:textId="77777777" w:rsidR="005F3B2E" w:rsidRPr="00BA642E" w:rsidRDefault="005F3B2E" w:rsidP="001923DC">
      <w:pPr>
        <w:jc w:val="center"/>
        <w:rPr>
          <w:rFonts w:ascii="Times New Roman" w:hAnsi="Times New Roman" w:cs="Times New Roman"/>
        </w:rPr>
      </w:pPr>
    </w:p>
    <w:p w14:paraId="2C1462E1" w14:textId="7AE448C1" w:rsidR="005244D7" w:rsidRPr="005244D7" w:rsidRDefault="005244D7" w:rsidP="005244D7">
      <w:pPr>
        <w:spacing w:after="0" w:line="240" w:lineRule="auto"/>
        <w:jc w:val="right"/>
        <w:rPr>
          <w:rFonts w:ascii="Times New Roman" w:hAnsi="Times New Roman" w:cs="Times New Roman"/>
          <w:sz w:val="24"/>
          <w:szCs w:val="24"/>
        </w:rPr>
      </w:pPr>
      <w:r>
        <w:rPr>
          <w:rFonts w:ascii="Times New Roman" w:hAnsi="Times New Roman" w:cs="Times New Roman"/>
        </w:rPr>
        <w:t xml:space="preserve"> </w:t>
      </w:r>
      <w:proofErr w:type="spellStart"/>
      <w:r w:rsidRPr="005244D7">
        <w:rPr>
          <w:rFonts w:ascii="Times New Roman" w:hAnsi="Times New Roman" w:cs="Times New Roman"/>
          <w:sz w:val="24"/>
          <w:szCs w:val="24"/>
        </w:rPr>
        <w:t>Benvegnú</w:t>
      </w:r>
      <w:proofErr w:type="spellEnd"/>
      <w:r w:rsidRPr="005244D7">
        <w:rPr>
          <w:rFonts w:ascii="Times New Roman" w:hAnsi="Times New Roman" w:cs="Times New Roman"/>
          <w:sz w:val="24"/>
          <w:szCs w:val="24"/>
        </w:rPr>
        <w:t>, María Adelaida</w:t>
      </w:r>
    </w:p>
    <w:p w14:paraId="0D958732" w14:textId="77777777" w:rsidR="005244D7" w:rsidRPr="005244D7" w:rsidRDefault="005244D7" w:rsidP="005244D7">
      <w:pPr>
        <w:pStyle w:val="NormalWeb"/>
        <w:shd w:val="clear" w:color="auto" w:fill="FFFFFF"/>
        <w:spacing w:before="0" w:beforeAutospacing="0" w:after="300" w:afterAutospacing="0"/>
        <w:ind w:left="6372" w:firstLine="708"/>
        <w:contextualSpacing/>
        <w:rPr>
          <w:color w:val="000000"/>
        </w:rPr>
      </w:pPr>
      <w:proofErr w:type="spellStart"/>
      <w:r w:rsidRPr="005244D7">
        <w:rPr>
          <w:color w:val="000000"/>
          <w:sz w:val="24"/>
          <w:szCs w:val="24"/>
        </w:rPr>
        <w:t>UNLu-UNPaz</w:t>
      </w:r>
      <w:proofErr w:type="spellEnd"/>
    </w:p>
    <w:p w14:paraId="754B2299" w14:textId="31EE5F18" w:rsidR="005244D7" w:rsidRPr="005244D7" w:rsidRDefault="005244D7" w:rsidP="005244D7">
      <w:pPr>
        <w:pStyle w:val="NormalWeb"/>
        <w:shd w:val="clear" w:color="auto" w:fill="FFFFFF"/>
        <w:spacing w:before="0" w:beforeAutospacing="0" w:after="300" w:afterAutospacing="0"/>
        <w:ind w:left="5664"/>
        <w:contextualSpacing/>
      </w:pPr>
      <w:r w:rsidRPr="005244D7">
        <w:rPr>
          <w:rFonts w:eastAsiaTheme="minorHAnsi"/>
          <w:color w:val="000000"/>
          <w:kern w:val="2"/>
          <w:lang w:val="es-419" w:eastAsia="en-US"/>
          <w14:ligatures w14:val="standardContextual"/>
        </w:rPr>
        <w:t xml:space="preserve">          </w:t>
      </w:r>
      <w:hyperlink r:id="rId6" w:history="1">
        <w:r w:rsidRPr="005244D7">
          <w:rPr>
            <w:rStyle w:val="Hipervnculo"/>
            <w:rFonts w:eastAsiaTheme="minorHAnsi"/>
            <w:color w:val="auto"/>
            <w:kern w:val="2"/>
            <w:u w:val="none"/>
            <w:lang w:val="es-419" w:eastAsia="en-US"/>
            <w14:ligatures w14:val="standardContextual"/>
          </w:rPr>
          <w:t>mabenvegnu@gmail.com</w:t>
        </w:r>
      </w:hyperlink>
    </w:p>
    <w:p w14:paraId="1275A9C7" w14:textId="22478A5F" w:rsidR="005F3B2E" w:rsidRPr="00BA642E" w:rsidRDefault="005244D7" w:rsidP="005F3B2E">
      <w:pPr>
        <w:spacing w:after="0" w:line="240" w:lineRule="auto"/>
        <w:jc w:val="right"/>
        <w:rPr>
          <w:rFonts w:ascii="Times New Roman" w:hAnsi="Times New Roman" w:cs="Times New Roman"/>
        </w:rPr>
      </w:pPr>
      <w:r>
        <w:rPr>
          <w:rFonts w:ascii="Times New Roman" w:hAnsi="Times New Roman" w:cs="Times New Roman"/>
        </w:rPr>
        <w:t>Plaza, Betina Laura</w:t>
      </w:r>
    </w:p>
    <w:p w14:paraId="78603F2E" w14:textId="7728F306" w:rsidR="005244D7" w:rsidRPr="005244D7" w:rsidRDefault="005244D7" w:rsidP="005244D7">
      <w:pPr>
        <w:spacing w:after="0" w:line="240" w:lineRule="auto"/>
        <w:jc w:val="right"/>
        <w:rPr>
          <w:rFonts w:ascii="Times New Roman" w:eastAsiaTheme="minorHAnsi" w:hAnsi="Times New Roman" w:cs="Times New Roman"/>
          <w:kern w:val="2"/>
          <w:sz w:val="24"/>
          <w:szCs w:val="24"/>
          <w:lang w:val="es-419"/>
          <w14:ligatures w14:val="standardContextual"/>
        </w:rPr>
      </w:pPr>
      <w:hyperlink r:id="rId7" w:history="1">
        <w:r w:rsidRPr="005244D7">
          <w:rPr>
            <w:rFonts w:ascii="Times New Roman" w:eastAsia="Times New Roman" w:hAnsi="Times New Roman" w:cs="Times New Roman"/>
            <w:color w:val="000000"/>
            <w:sz w:val="24"/>
            <w:szCs w:val="24"/>
            <w:lang w:eastAsia="es-AR"/>
          </w:rPr>
          <w:t>betinaplaza@gmail.com</w:t>
        </w:r>
      </w:hyperlink>
      <w:r w:rsidRPr="005244D7">
        <w:rPr>
          <w:rFonts w:ascii="Times New Roman" w:eastAsia="Times New Roman" w:hAnsi="Times New Roman" w:cs="Times New Roman"/>
          <w:color w:val="000000"/>
          <w:sz w:val="24"/>
          <w:szCs w:val="24"/>
          <w:lang w:eastAsia="es-AR"/>
        </w:rPr>
        <w:t> </w:t>
      </w:r>
    </w:p>
    <w:p w14:paraId="7B9027E2" w14:textId="77777777" w:rsidR="00BA642E" w:rsidRPr="00BA642E" w:rsidRDefault="00BA642E" w:rsidP="005F3B2E">
      <w:pPr>
        <w:rPr>
          <w:rFonts w:ascii="Times New Roman" w:hAnsi="Times New Roman" w:cs="Times New Roman"/>
          <w:b/>
          <w:bCs/>
        </w:rPr>
      </w:pPr>
    </w:p>
    <w:p w14:paraId="35A6682C" w14:textId="4DFA6B46" w:rsidR="00BA642E" w:rsidRPr="007B5B5F" w:rsidRDefault="00BA642E" w:rsidP="007B5B5F">
      <w:pPr>
        <w:spacing w:line="240" w:lineRule="auto"/>
        <w:rPr>
          <w:rFonts w:ascii="Times New Roman" w:hAnsi="Times New Roman" w:cs="Times New Roman"/>
          <w:b/>
          <w:bC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
    <w:p w14:paraId="44C61A75" w14:textId="77777777" w:rsidR="005244D7" w:rsidRPr="005244D7" w:rsidRDefault="005244D7" w:rsidP="005244D7">
      <w:pPr>
        <w:pStyle w:val="NormalWeb"/>
        <w:shd w:val="clear" w:color="auto" w:fill="FFFFFF"/>
        <w:spacing w:before="0" w:beforeAutospacing="0" w:after="0" w:afterAutospacing="0"/>
        <w:rPr>
          <w:sz w:val="24"/>
          <w:szCs w:val="24"/>
        </w:rPr>
      </w:pPr>
      <w:r w:rsidRPr="005244D7">
        <w:rPr>
          <w:color w:val="000000"/>
          <w:sz w:val="24"/>
          <w:szCs w:val="24"/>
        </w:rPr>
        <w:t>La División Pedagogía Universitaria y Capacitación Docente del Departamento Educación de la Universidad Nacional de Luján focaliza, como una de sus áreas de estudio e intervención, la problemática de la transición entre el último tramo de la escuela secundaria y los inicios de la universidad. </w:t>
      </w:r>
    </w:p>
    <w:p w14:paraId="7EF1E57F" w14:textId="252DB2AF" w:rsidR="005244D7" w:rsidRPr="005244D7" w:rsidRDefault="005244D7" w:rsidP="005244D7">
      <w:pPr>
        <w:pStyle w:val="NormalWeb"/>
        <w:shd w:val="clear" w:color="auto" w:fill="FFFFFF"/>
        <w:spacing w:before="0" w:beforeAutospacing="0" w:after="0" w:afterAutospacing="0"/>
        <w:rPr>
          <w:sz w:val="24"/>
          <w:szCs w:val="24"/>
        </w:rPr>
      </w:pPr>
      <w:r w:rsidRPr="005244D7">
        <w:rPr>
          <w:color w:val="000000"/>
          <w:sz w:val="24"/>
          <w:szCs w:val="24"/>
        </w:rPr>
        <w:t xml:space="preserve">En ese marco, el equipo de Acompañamiento al Ingreso y Articulación desarrolla una línea de trabajo que convoca a docentes de los niveles secundario y superior a pensar juntos sobre las condiciones pedagógicas y didácticas que es necesario generar en nuestras instituciones y en nuestras aulas para que el aprendizaje de los estudiantes sea posible, tanto en las asignaturas obligatorias de la escuela como en las disciplinas o carreras en las que eligen formarse. Se trata de espacios sistemáticos que asumen las características de cursos extracurriculares y de posgrado, talleres o trayectos formativos. En ellos proponemos un recorrido de lecturas, análisis de situaciones concretas, discusiones y conceptualizaciones que problematizan la transición como un proceso complejo, entramando los aportes teóricos con las miradas y experiencias de los docentes participantes. Este diálogo se encamina a profundizar la comprensión de los procesos vinculados con la formación de los estudiantes para el trabajo intelectual, y a construir sentidos compartidos que ayuden a ensayar nuevas respuestas. Entendemos que esta tarea resulta especialmente significativa y relevante en un contexto incierto y de profundas transformaciones sociales, culturales y tecnológicas. Los grandes núcleos de problemas que se han mostrado fértiles para este análisis se vinculan con las relaciones entre diversidad y desigualdad; el papel de las condiciones institucionales en las trayectorias estudiantiles; la grupalidad como tejido de sostén; los procesos sociales e intelectuales que favorecen la filiación de las/los estudiantes universitarios/as; la centralidad de las propuestas de enseñanza en la construcción de autonomía frente al conocimiento y el lugar del lenguaje en los procesos de enseñanza y aprendizaje. Una pregunta central que orienta el rumbo de estas reflexiones es ¿cómo construir condiciones pedagógicas y didácticas que incidan favorablemente sobre las posibilidades de los y las estudiantes de sostener su pertenencia a las instituciones y avanzar en sus aprendizajes? El camino transitado en estos espacios sistemáticos a lo largo de varios años, y los debates sostenidos hacia dentro del equipo y con otros colegas han dado lugar a la elaboración de algunas </w:t>
      </w:r>
      <w:r w:rsidRPr="005244D7">
        <w:rPr>
          <w:color w:val="000000"/>
          <w:sz w:val="24"/>
          <w:szCs w:val="24"/>
        </w:rPr>
        <w:lastRenderedPageBreak/>
        <w:t xml:space="preserve">conceptualizaciones y, en especial, a la formulación de nuevas preguntas, que comentamos en esta ponencia. </w:t>
      </w:r>
    </w:p>
    <w:p w14:paraId="699D2DFE" w14:textId="77777777" w:rsidR="005244D7" w:rsidRDefault="005244D7" w:rsidP="007B5B5F">
      <w:pPr>
        <w:spacing w:line="240" w:lineRule="auto"/>
        <w:rPr>
          <w:rFonts w:ascii="Times New Roman" w:hAnsi="Times New Roman" w:cs="Times New Roman"/>
          <w:b/>
          <w:bCs/>
        </w:rPr>
      </w:pPr>
    </w:p>
    <w:p w14:paraId="3025B4AA" w14:textId="77777777" w:rsidR="005244D7" w:rsidRDefault="00BA642E" w:rsidP="005244D7">
      <w:pPr>
        <w:pStyle w:val="NormalWeb"/>
        <w:shd w:val="clear" w:color="auto" w:fill="FFFFFF"/>
        <w:spacing w:before="240" w:beforeAutospacing="0" w:after="240" w:afterAutospacing="0"/>
      </w:pPr>
      <w:r w:rsidRPr="007B5B5F">
        <w:rPr>
          <w:b/>
          <w:bCs/>
        </w:rPr>
        <w:t xml:space="preserve">Palabras clave: </w:t>
      </w:r>
      <w:r w:rsidR="005244D7">
        <w:rPr>
          <w:color w:val="000000"/>
        </w:rPr>
        <w:t xml:space="preserve">INGRESO UNIVERSITARIO, </w:t>
      </w:r>
      <w:proofErr w:type="gramStart"/>
      <w:r w:rsidR="005244D7">
        <w:rPr>
          <w:color w:val="000000"/>
        </w:rPr>
        <w:t>TRANSICIÓN,  DIVERSIDAD</w:t>
      </w:r>
      <w:proofErr w:type="gramEnd"/>
      <w:r w:rsidR="005244D7">
        <w:rPr>
          <w:color w:val="000000"/>
        </w:rPr>
        <w:t xml:space="preserve"> DE TRAYECTORIAS, AFILIACIÓN ACADÉMICA, TRABAJO INTELECTUAL</w:t>
      </w:r>
    </w:p>
    <w:p w14:paraId="2994BAB3" w14:textId="3190A5D7" w:rsidR="00BA642E" w:rsidRPr="007B5B5F" w:rsidRDefault="00BA642E" w:rsidP="007B5B5F">
      <w:pPr>
        <w:spacing w:line="240" w:lineRule="auto"/>
        <w:rPr>
          <w:rFonts w:ascii="Times New Roman" w:hAnsi="Times New Roman" w:cs="Times New Roman"/>
          <w:b/>
          <w:bCs/>
        </w:rPr>
      </w:pP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6115F3B" w14:textId="4EEB65A7" w:rsidR="005244D7" w:rsidRPr="00750D40" w:rsidRDefault="00750D40" w:rsidP="007B5B5F">
      <w:pPr>
        <w:spacing w:line="240" w:lineRule="auto"/>
        <w:rPr>
          <w:rFonts w:ascii="Times New Roman" w:hAnsi="Times New Roman" w:cs="Times New Roman"/>
          <w:b/>
          <w:bCs/>
        </w:rPr>
      </w:pPr>
      <w:r w:rsidRPr="00750D40">
        <w:rPr>
          <w:rFonts w:ascii="Times New Roman" w:hAnsi="Times New Roman" w:cs="Times New Roman"/>
          <w:color w:val="000000"/>
        </w:rPr>
        <w:t>La desigualdad social y su incidencia sobre la producción de desigualdades en el acceso al conocimiento en el nivel superior, es un problema central que enmarca nuestros análisis y discusiones acerca de las posibilidades de los estudiantes de elegir seguir estudiando, así como de sostener su pertenencia a la universidad y avanzar en sus carreras (</w:t>
      </w:r>
      <w:proofErr w:type="spellStart"/>
      <w:r w:rsidRPr="00750D40">
        <w:rPr>
          <w:rFonts w:ascii="Times New Roman" w:hAnsi="Times New Roman" w:cs="Times New Roman"/>
          <w:color w:val="000000"/>
        </w:rPr>
        <w:t>Benvegnú</w:t>
      </w:r>
      <w:proofErr w:type="spellEnd"/>
      <w:r w:rsidRPr="00750D40">
        <w:rPr>
          <w:rFonts w:ascii="Times New Roman" w:hAnsi="Times New Roman" w:cs="Times New Roman"/>
          <w:color w:val="000000"/>
        </w:rPr>
        <w:t xml:space="preserve"> M. A. y Lerner D., 2026) En las últimas décadas se han realizado muchos estudios y desarrollos teóricos que nos brindan categorías conceptuales para comprender los procesos sociales, subjetivos, intelectuales e institucionales involucrados en la transición y el ingreso (</w:t>
      </w:r>
      <w:proofErr w:type="spellStart"/>
      <w:r w:rsidRPr="00750D40">
        <w:rPr>
          <w:rFonts w:ascii="Times New Roman" w:hAnsi="Times New Roman" w:cs="Times New Roman"/>
          <w:color w:val="000000"/>
          <w:shd w:val="clear" w:color="auto" w:fill="FFFFFF"/>
        </w:rPr>
        <w:t>Paparini</w:t>
      </w:r>
      <w:proofErr w:type="spellEnd"/>
      <w:r w:rsidRPr="00750D40">
        <w:rPr>
          <w:rFonts w:ascii="Times New Roman" w:hAnsi="Times New Roman" w:cs="Times New Roman"/>
          <w:color w:val="000000"/>
          <w:shd w:val="clear" w:color="auto" w:fill="FFFFFF"/>
        </w:rPr>
        <w:t xml:space="preserve">, 2019; </w:t>
      </w:r>
      <w:r w:rsidRPr="00750D40">
        <w:rPr>
          <w:rFonts w:ascii="Times New Roman" w:hAnsi="Times New Roman" w:cs="Times New Roman"/>
          <w:color w:val="000000"/>
        </w:rPr>
        <w:t xml:space="preserve">Terigi y </w:t>
      </w:r>
      <w:proofErr w:type="spellStart"/>
      <w:r w:rsidRPr="00750D40">
        <w:rPr>
          <w:rFonts w:ascii="Times New Roman" w:hAnsi="Times New Roman" w:cs="Times New Roman"/>
          <w:color w:val="000000"/>
        </w:rPr>
        <w:t>Briscioli</w:t>
      </w:r>
      <w:proofErr w:type="spellEnd"/>
      <w:r w:rsidRPr="00750D40">
        <w:rPr>
          <w:rFonts w:ascii="Times New Roman" w:hAnsi="Times New Roman" w:cs="Times New Roman"/>
          <w:color w:val="000000"/>
        </w:rPr>
        <w:t>, 2020)</w:t>
      </w:r>
      <w:r w:rsidRPr="00750D40">
        <w:rPr>
          <w:rFonts w:ascii="Times New Roman" w:hAnsi="Times New Roman" w:cs="Times New Roman"/>
          <w:color w:val="000000"/>
          <w:shd w:val="clear" w:color="auto" w:fill="FFFFFF"/>
        </w:rPr>
        <w:t xml:space="preserve">. </w:t>
      </w:r>
      <w:r w:rsidRPr="00750D40">
        <w:rPr>
          <w:rFonts w:ascii="Times New Roman" w:hAnsi="Times New Roman" w:cs="Times New Roman"/>
          <w:color w:val="000000"/>
        </w:rPr>
        <w:t xml:space="preserve">Conceptos como los de </w:t>
      </w:r>
      <w:r w:rsidRPr="00750D40">
        <w:rPr>
          <w:rFonts w:ascii="Times New Roman" w:hAnsi="Times New Roman" w:cs="Times New Roman"/>
          <w:i/>
          <w:iCs/>
          <w:color w:val="000000"/>
        </w:rPr>
        <w:t xml:space="preserve">inclusión excluyente </w:t>
      </w:r>
      <w:r w:rsidRPr="00750D40">
        <w:rPr>
          <w:rFonts w:ascii="Times New Roman" w:hAnsi="Times New Roman" w:cs="Times New Roman"/>
          <w:color w:val="000000"/>
        </w:rPr>
        <w:t xml:space="preserve">(Ezcurra, 2011; Gentili, 2009), </w:t>
      </w:r>
      <w:r w:rsidRPr="00750D40">
        <w:rPr>
          <w:rFonts w:ascii="Times New Roman" w:hAnsi="Times New Roman" w:cs="Times New Roman"/>
          <w:i/>
          <w:iCs/>
          <w:color w:val="000000"/>
        </w:rPr>
        <w:t>trayectoria real / trayectoria</w:t>
      </w:r>
      <w:r w:rsidRPr="00750D40">
        <w:rPr>
          <w:rFonts w:ascii="Times New Roman" w:hAnsi="Times New Roman" w:cs="Times New Roman"/>
          <w:color w:val="000000"/>
        </w:rPr>
        <w:t xml:space="preserve"> </w:t>
      </w:r>
      <w:r w:rsidRPr="00750D40">
        <w:rPr>
          <w:rFonts w:ascii="Times New Roman" w:hAnsi="Times New Roman" w:cs="Times New Roman"/>
          <w:i/>
          <w:iCs/>
          <w:color w:val="000000"/>
        </w:rPr>
        <w:t xml:space="preserve">encauzada </w:t>
      </w:r>
      <w:r w:rsidRPr="00750D40">
        <w:rPr>
          <w:rFonts w:ascii="Times New Roman" w:hAnsi="Times New Roman" w:cs="Times New Roman"/>
          <w:color w:val="000000"/>
        </w:rPr>
        <w:t xml:space="preserve">(Terigi, 2017, </w:t>
      </w:r>
      <w:proofErr w:type="spellStart"/>
      <w:r w:rsidRPr="00750D40">
        <w:rPr>
          <w:rFonts w:ascii="Times New Roman" w:hAnsi="Times New Roman" w:cs="Times New Roman"/>
          <w:color w:val="000000"/>
        </w:rPr>
        <w:t>Briscioli</w:t>
      </w:r>
      <w:proofErr w:type="spellEnd"/>
      <w:r w:rsidRPr="00750D40">
        <w:rPr>
          <w:rFonts w:ascii="Times New Roman" w:hAnsi="Times New Roman" w:cs="Times New Roman"/>
          <w:color w:val="000000"/>
        </w:rPr>
        <w:t>, 1017)</w:t>
      </w:r>
      <w:r w:rsidRPr="00750D40">
        <w:rPr>
          <w:rFonts w:ascii="Times New Roman" w:hAnsi="Times New Roman" w:cs="Times New Roman"/>
          <w:i/>
          <w:iCs/>
          <w:color w:val="000000"/>
        </w:rPr>
        <w:t xml:space="preserve">; oficio de estudiante, afiliación institucional y académica </w:t>
      </w:r>
      <w:r w:rsidRPr="00750D40">
        <w:rPr>
          <w:rFonts w:ascii="Times New Roman" w:hAnsi="Times New Roman" w:cs="Times New Roman"/>
          <w:color w:val="000000"/>
        </w:rPr>
        <w:t>(</w:t>
      </w:r>
      <w:proofErr w:type="spellStart"/>
      <w:r w:rsidRPr="00750D40">
        <w:rPr>
          <w:rFonts w:ascii="Times New Roman" w:hAnsi="Times New Roman" w:cs="Times New Roman"/>
          <w:color w:val="000000"/>
        </w:rPr>
        <w:t>Coulon</w:t>
      </w:r>
      <w:proofErr w:type="spellEnd"/>
      <w:r w:rsidRPr="00750D40">
        <w:rPr>
          <w:rFonts w:ascii="Times New Roman" w:hAnsi="Times New Roman" w:cs="Times New Roman"/>
          <w:color w:val="000000"/>
        </w:rPr>
        <w:t xml:space="preserve">, 1995), </w:t>
      </w:r>
      <w:proofErr w:type="spellStart"/>
      <w:r w:rsidRPr="00750D40">
        <w:rPr>
          <w:rFonts w:ascii="Times New Roman" w:hAnsi="Times New Roman" w:cs="Times New Roman"/>
          <w:i/>
          <w:iCs/>
          <w:color w:val="000000"/>
        </w:rPr>
        <w:t>habitus</w:t>
      </w:r>
      <w:proofErr w:type="spellEnd"/>
      <w:r w:rsidRPr="00750D40">
        <w:rPr>
          <w:rFonts w:ascii="Times New Roman" w:hAnsi="Times New Roman" w:cs="Times New Roman"/>
          <w:i/>
          <w:iCs/>
          <w:color w:val="000000"/>
        </w:rPr>
        <w:t xml:space="preserve"> institucional </w:t>
      </w:r>
      <w:r w:rsidRPr="00750D40">
        <w:rPr>
          <w:rFonts w:ascii="Times New Roman" w:hAnsi="Times New Roman" w:cs="Times New Roman"/>
          <w:color w:val="000000"/>
        </w:rPr>
        <w:t>(</w:t>
      </w:r>
      <w:proofErr w:type="spellStart"/>
      <w:r w:rsidRPr="00750D40">
        <w:rPr>
          <w:rFonts w:ascii="Times New Roman" w:hAnsi="Times New Roman" w:cs="Times New Roman"/>
          <w:color w:val="000000"/>
        </w:rPr>
        <w:t>Tarabini</w:t>
      </w:r>
      <w:proofErr w:type="spellEnd"/>
      <w:r w:rsidRPr="00750D40">
        <w:rPr>
          <w:rFonts w:ascii="Times New Roman" w:hAnsi="Times New Roman" w:cs="Times New Roman"/>
          <w:color w:val="000000"/>
        </w:rPr>
        <w:t xml:space="preserve">, 2015), </w:t>
      </w:r>
      <w:r w:rsidRPr="00750D40">
        <w:rPr>
          <w:rFonts w:ascii="Times New Roman" w:hAnsi="Times New Roman" w:cs="Times New Roman"/>
          <w:i/>
          <w:iCs/>
          <w:color w:val="000000"/>
        </w:rPr>
        <w:t xml:space="preserve">alfabetización académica </w:t>
      </w:r>
      <w:r w:rsidRPr="00750D40">
        <w:rPr>
          <w:rFonts w:ascii="Times New Roman" w:hAnsi="Times New Roman" w:cs="Times New Roman"/>
          <w:color w:val="000000"/>
        </w:rPr>
        <w:t>(</w:t>
      </w:r>
      <w:proofErr w:type="spellStart"/>
      <w:r w:rsidRPr="00750D40">
        <w:rPr>
          <w:rFonts w:ascii="Times New Roman" w:hAnsi="Times New Roman" w:cs="Times New Roman"/>
          <w:color w:val="000000"/>
        </w:rPr>
        <w:t>Carlino</w:t>
      </w:r>
      <w:proofErr w:type="spellEnd"/>
      <w:r w:rsidRPr="00750D40">
        <w:rPr>
          <w:rFonts w:ascii="Times New Roman" w:hAnsi="Times New Roman" w:cs="Times New Roman"/>
          <w:color w:val="000000"/>
        </w:rPr>
        <w:t xml:space="preserve"> 2013) entre otros, nos ayudan a reconocer la complejidad de la situación y a vislumbrar cómo la potencia democratizadora de la expansión del sistema universitario se pone en riesgo si el acceso formal a las instituciones no se acompaña de acciones que aseguren también el acceso al conocimiento. Sabemos que las experiencias sociales e intelectuales que la escuela y la universidad ofrecen durante el tiempo de transición, afectan fuertemente los aprendizajes y las posibilidades de construir una posición de autonomía frente al conocimiento. La pregunta entonces es ¿cuáles son las líneas de acción concretas que pueden favorecer esas adquisiciones? Desde su creación -hace décadas- el equipo de Pedagogía Universitaria y Capacitación Docente de la Universidad Nacional de Luján, asume esta pregunta como eje articulador de su tarea y enfoca de manera particular los procesos de enseñanza y de aprendizaje, situados en el contexto de cada época. En nuestros días, la enseñanza y el aprendizaje escolar y universitario transcurren en un contexto incierto y de profundas transformaciones sociales, culturales y tecnológicas.</w:t>
      </w:r>
    </w:p>
    <w:p w14:paraId="62AECB78" w14:textId="77777777" w:rsidR="005244D7" w:rsidRDefault="005244D7" w:rsidP="007B5B5F">
      <w:pPr>
        <w:spacing w:line="240" w:lineRule="auto"/>
        <w:rPr>
          <w:rFonts w:ascii="Times New Roman" w:hAnsi="Times New Roman" w:cs="Times New Roman"/>
          <w:b/>
          <w:bCs/>
        </w:rPr>
      </w:pPr>
    </w:p>
    <w:p w14:paraId="2FD138AD" w14:textId="237F38B2"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1BDBE1B4" w14:textId="2CDB1E2B" w:rsidR="00750D40" w:rsidRPr="00750D40" w:rsidRDefault="00750D40" w:rsidP="00750D40">
      <w:pPr>
        <w:shd w:val="clear" w:color="auto" w:fill="FFFFFF"/>
        <w:spacing w:before="240"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La División Pedagogía Universitaria y Capacitación </w:t>
      </w:r>
      <w:r w:rsidRPr="00750D40">
        <w:rPr>
          <w:rFonts w:ascii="Times New Roman" w:eastAsia="Times New Roman" w:hAnsi="Times New Roman" w:cs="Times New Roman"/>
          <w:color w:val="000000"/>
          <w:sz w:val="24"/>
          <w:szCs w:val="24"/>
          <w:lang w:eastAsia="es-AR"/>
        </w:rPr>
        <w:t>docente pertenece</w:t>
      </w:r>
      <w:r w:rsidRPr="00750D40">
        <w:rPr>
          <w:rFonts w:ascii="Times New Roman" w:eastAsia="Times New Roman" w:hAnsi="Times New Roman" w:cs="Times New Roman"/>
          <w:color w:val="000000"/>
          <w:sz w:val="24"/>
          <w:szCs w:val="24"/>
          <w:lang w:eastAsia="es-AR"/>
        </w:rPr>
        <w:t xml:space="preserve"> al Departamento de Educación y organiza su trabajo en cuatro Áreas: Prácticas académicas de lectura y escritura, Formación y actualización pedagógica, Acompañamiento a los proyectos de formación, y Articulación de la Universidad con los otros niveles del sistema educativo/Atención a la problemática del Ingreso.</w:t>
      </w:r>
    </w:p>
    <w:p w14:paraId="5D6E6C43"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El equipo de esta última Área desarrolla una línea de trabajo que convoca a los docentes a pensar sobre cómo generar, en las instituciones y dentro de las aulas, las condiciones pedagógicas y didácticas que pueden favorecer el pasaje hacia una nueva relación con el estudio y con el conocimiento, tanto en las asignaturas obligatorias de la escuela secundaria como en las disciplinas o carreras en las que eligen formarse. El modelo que el equipo fue construyendo, como herramienta de trabajo pedagógico para el acompañamiento a la tarea de enseñanza, consiste principalmente en abrir espacios de </w:t>
      </w:r>
      <w:r w:rsidRPr="00750D40">
        <w:rPr>
          <w:rFonts w:ascii="Times New Roman" w:eastAsia="Times New Roman" w:hAnsi="Times New Roman" w:cs="Times New Roman"/>
          <w:color w:val="000000"/>
          <w:sz w:val="24"/>
          <w:szCs w:val="24"/>
          <w:lang w:eastAsia="es-AR"/>
        </w:rPr>
        <w:lastRenderedPageBreak/>
        <w:t>intercambio horizontal entre docentes de pertenencia institucional y variada formación académica. Aspiramos a que esta diversidad de miradas contribuya a configurar el ingreso a la universidad como una problemática compleja, y aporte a diseñar dispositivos de acompañamiento eficaces, como parte de la tarea formativa institucional. </w:t>
      </w:r>
    </w:p>
    <w:p w14:paraId="703C372E" w14:textId="65F5E8CE"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La propuesta que referimos en este trabajo consiste en espacios que asumen la forma de cursos extracurriculares y de posgrado, talleres o trayectos formativos, que algunas veces son compartidos por docentes de ambos niveles y otras veces presentan propuestas específicas Asimismo se ofrecen otros espacios  dirigidos a  estudiantes de la universidad para fortalecer su formación docente como ayudantes alumnos/as, y talleres destinados a ingresantes con el objetivo de acompañar la transición entre niveles. En esta línea se han abierto propuestas enmarcadas en la Extensión Universitaria, en un proyecto que propone desarrollar acciones para favorecer la afiliación académica considerando la perspectiva de estudiantes avanzados/as. En el mismo sentido, desde 2025 ofrecemos un curso extracurricular -en coordinación con el Programa de Acompañamiento a Escuelas Secundarias del Servicio de Orientación Vocacional de la </w:t>
      </w:r>
      <w:proofErr w:type="spellStart"/>
      <w:r w:rsidRPr="00750D40">
        <w:rPr>
          <w:rFonts w:ascii="Times New Roman" w:eastAsia="Times New Roman" w:hAnsi="Times New Roman" w:cs="Times New Roman"/>
          <w:color w:val="000000"/>
          <w:sz w:val="24"/>
          <w:szCs w:val="24"/>
          <w:lang w:eastAsia="es-AR"/>
        </w:rPr>
        <w:t>UNLu</w:t>
      </w:r>
      <w:proofErr w:type="spellEnd"/>
      <w:r w:rsidRPr="00750D40">
        <w:rPr>
          <w:rFonts w:ascii="Times New Roman" w:eastAsia="Times New Roman" w:hAnsi="Times New Roman" w:cs="Times New Roman"/>
          <w:color w:val="000000"/>
          <w:sz w:val="24"/>
          <w:szCs w:val="24"/>
          <w:lang w:eastAsia="es-AR"/>
        </w:rPr>
        <w:t>- destinado a equipos de orientación escolar, directivos y docentes de las escuelas del distrito.</w:t>
      </w:r>
    </w:p>
    <w:p w14:paraId="511DCEAE"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Nos proponemos elaborar un elemental marco de referencia común -algunas ideas compartidas- que permita problematizar los procesos de enseñanza y de aprendizaje que tienen lugar en las aulas, y poner de relieve cuestiones que muchas veces no son evidentes desde dentro del propio ámbito. Los grandes núcleos de problemas que se han mostrado fértiles para este análisis se vinculan con las relaciones entre diversidad y desigualdad, el papel de las condiciones institucionales en las trayectorias estudiantiles, la grupalidad como tejido de sostén, los procesos sociales e intelectuales que favorecen la filiación de las/los estudiantes universitarios/as, la centralidad de las propuestas de enseñanza en la construcción de autonomía frente al conocimiento y el lugar del lenguaje en los procesos de enseñanza y aprendizaje. Estas cuestiones se encuentran imbricadas entre sí, por lo que proponemos un recorrido que entrama escenas y preocupaciones de la práctica cotidiana que aportan los participantes con aportes conceptuales, formulando preguntas y compartiendo textos específicos, así como análisis de situaciones de clases realizadas por otros. </w:t>
      </w:r>
    </w:p>
    <w:p w14:paraId="7F8EC37F"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Desplegamos brevemente algunos de estos ejes, que han resultado especialmente productivos para la reflexión. </w:t>
      </w:r>
    </w:p>
    <w:p w14:paraId="05A6AADF" w14:textId="77777777" w:rsidR="00750D40" w:rsidRDefault="00750D40" w:rsidP="00750D40">
      <w:pPr>
        <w:shd w:val="clear" w:color="auto" w:fill="FFFFFF"/>
        <w:spacing w:after="0" w:line="240" w:lineRule="auto"/>
        <w:rPr>
          <w:rFonts w:ascii="Times New Roman" w:eastAsia="Times New Roman" w:hAnsi="Times New Roman" w:cs="Times New Roman"/>
          <w:b/>
          <w:bCs/>
          <w:color w:val="000000"/>
          <w:sz w:val="24"/>
          <w:szCs w:val="24"/>
          <w:lang w:eastAsia="es-AR"/>
        </w:rPr>
      </w:pPr>
    </w:p>
    <w:p w14:paraId="22EEDA9F" w14:textId="02DA2413"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b/>
          <w:bCs/>
          <w:color w:val="000000"/>
          <w:sz w:val="24"/>
          <w:szCs w:val="24"/>
          <w:lang w:eastAsia="es-AR"/>
        </w:rPr>
        <w:t>Entrar a la universidad y quedarse</w:t>
      </w:r>
    </w:p>
    <w:p w14:paraId="4045C66D" w14:textId="233351E9"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Desde el punto de vista del estudiante, el ingreso a la universidad supone la entrada a un campo de conocimiento nuevo, mediatizado por una institución que ostenta una cultura propia y desconocida, a la que él deberá ajustarse para permanecer y avanzar. Sabemos que gran parte del éxito académico depende de la construcción de la posición de </w:t>
      </w:r>
      <w:r w:rsidRPr="00750D40">
        <w:rPr>
          <w:rFonts w:ascii="Times New Roman" w:eastAsia="Times New Roman" w:hAnsi="Times New Roman" w:cs="Times New Roman"/>
          <w:i/>
          <w:iCs/>
          <w:color w:val="000000"/>
          <w:sz w:val="24"/>
          <w:szCs w:val="24"/>
          <w:lang w:eastAsia="es-AR"/>
        </w:rPr>
        <w:t>estudiante universitario</w:t>
      </w:r>
      <w:r w:rsidRPr="00750D40">
        <w:rPr>
          <w:rFonts w:ascii="Times New Roman" w:eastAsia="Times New Roman" w:hAnsi="Times New Roman" w:cs="Times New Roman"/>
          <w:color w:val="000000"/>
          <w:sz w:val="24"/>
          <w:szCs w:val="24"/>
          <w:lang w:eastAsia="es-AR"/>
        </w:rPr>
        <w:t xml:space="preserve">, lo cual requiere, además de comprender las reglas de funcionamiento institucionales (explícitas e implícitas), apropiarse de herramientas para el trabajo intelectual, ligado a los distintos campos disciplinares. Desde el punto de vista de los docentes, existe una distancia, una brecha, entre el estudiante imaginado o esperado y los estudiantes reales, portadores de historias de vida y trayectorias educativas diversas, muchas veces alejadas de las representaciones que los formadores tenemos sobre ellos. Esas representaciones no son azarosas sino resultado de procesos de construcción </w:t>
      </w:r>
      <w:r w:rsidRPr="00750D40">
        <w:rPr>
          <w:rFonts w:ascii="Times New Roman" w:eastAsia="Times New Roman" w:hAnsi="Times New Roman" w:cs="Times New Roman"/>
          <w:color w:val="000000"/>
          <w:sz w:val="24"/>
          <w:szCs w:val="24"/>
          <w:lang w:eastAsia="es-AR"/>
        </w:rPr>
        <w:lastRenderedPageBreak/>
        <w:t xml:space="preserve">histórica y social que constituyen sentidos colectivos -más o menos homogéneos o contrapuestos entre sí- que permanecen latentes y desde allí condicionan la enseñanza. Por </w:t>
      </w:r>
      <w:r w:rsidRPr="00750D40">
        <w:rPr>
          <w:rFonts w:ascii="Times New Roman" w:eastAsia="Times New Roman" w:hAnsi="Times New Roman" w:cs="Times New Roman"/>
          <w:color w:val="000000"/>
          <w:sz w:val="24"/>
          <w:szCs w:val="24"/>
          <w:lang w:eastAsia="es-AR"/>
        </w:rPr>
        <w:t>ejemplo,</w:t>
      </w:r>
      <w:r w:rsidRPr="00750D40">
        <w:rPr>
          <w:rFonts w:ascii="Times New Roman" w:eastAsia="Times New Roman" w:hAnsi="Times New Roman" w:cs="Times New Roman"/>
          <w:color w:val="000000"/>
          <w:sz w:val="24"/>
          <w:szCs w:val="24"/>
          <w:lang w:eastAsia="es-AR"/>
        </w:rPr>
        <w:t xml:space="preserve"> solemos dar por supuesto que disponen de ciertas habilidades académicas ya consolidadas en los tramos previos de escolarización, como tomar apuntes en clase, navegar en aulas virtuales, armar su propio recorrido de lecturas, leer y comprender textos académicos, buscar en internet, disponer de estrategias para controlar el propio aprendizaje y del tiempo necesario para transitarlo acompasadamente… entre otros. La sensación de que nuestros y nuestras estudiantes “no son lo que esperábamos” lleva a responsabilizarlos por las dificultades que encuentran al entrar en la universidad: esta visión dominante, en realidad oculta el papel condicionante de las instituciones y del sistema de enseñanza (Ezcurra 2011, </w:t>
      </w:r>
      <w:proofErr w:type="spellStart"/>
      <w:r w:rsidRPr="00750D40">
        <w:rPr>
          <w:rFonts w:ascii="Times New Roman" w:eastAsia="Times New Roman" w:hAnsi="Times New Roman" w:cs="Times New Roman"/>
          <w:color w:val="000000"/>
          <w:sz w:val="24"/>
          <w:szCs w:val="24"/>
          <w:lang w:eastAsia="es-AR"/>
        </w:rPr>
        <w:t>Gentilli</w:t>
      </w:r>
      <w:proofErr w:type="spellEnd"/>
      <w:r w:rsidRPr="00750D40">
        <w:rPr>
          <w:rFonts w:ascii="Times New Roman" w:eastAsia="Times New Roman" w:hAnsi="Times New Roman" w:cs="Times New Roman"/>
          <w:color w:val="000000"/>
          <w:sz w:val="24"/>
          <w:szCs w:val="24"/>
          <w:lang w:eastAsia="es-AR"/>
        </w:rPr>
        <w:t xml:space="preserve"> 2009). </w:t>
      </w:r>
    </w:p>
    <w:p w14:paraId="4FDA1412"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Para comprender mejor cómo los centros educativos juegan un rol central en la explicación de las oportunidades de los y las jóvenes, recurrimos al concepto de</w:t>
      </w:r>
      <w:r w:rsidRPr="00750D40">
        <w:rPr>
          <w:rFonts w:ascii="Times New Roman" w:eastAsia="Times New Roman" w:hAnsi="Times New Roman" w:cs="Times New Roman"/>
          <w:i/>
          <w:iCs/>
          <w:color w:val="000000"/>
          <w:sz w:val="24"/>
          <w:szCs w:val="24"/>
          <w:lang w:eastAsia="es-AR"/>
        </w:rPr>
        <w:t xml:space="preserve"> </w:t>
      </w:r>
      <w:proofErr w:type="spellStart"/>
      <w:r w:rsidRPr="00750D40">
        <w:rPr>
          <w:rFonts w:ascii="Times New Roman" w:eastAsia="Times New Roman" w:hAnsi="Times New Roman" w:cs="Times New Roman"/>
          <w:i/>
          <w:iCs/>
          <w:color w:val="000000"/>
          <w:sz w:val="24"/>
          <w:szCs w:val="24"/>
          <w:lang w:eastAsia="es-AR"/>
        </w:rPr>
        <w:t>habitus</w:t>
      </w:r>
      <w:proofErr w:type="spellEnd"/>
      <w:r w:rsidRPr="00750D40">
        <w:rPr>
          <w:rFonts w:ascii="Times New Roman" w:eastAsia="Times New Roman" w:hAnsi="Times New Roman" w:cs="Times New Roman"/>
          <w:i/>
          <w:iCs/>
          <w:color w:val="000000"/>
          <w:sz w:val="24"/>
          <w:szCs w:val="24"/>
          <w:lang w:eastAsia="es-AR"/>
        </w:rPr>
        <w:t xml:space="preserve"> institucional, </w:t>
      </w:r>
      <w:r w:rsidRPr="00750D40">
        <w:rPr>
          <w:rFonts w:ascii="Times New Roman" w:eastAsia="Times New Roman" w:hAnsi="Times New Roman" w:cs="Times New Roman"/>
          <w:color w:val="000000"/>
          <w:sz w:val="24"/>
          <w:szCs w:val="24"/>
          <w:lang w:eastAsia="es-AR"/>
        </w:rPr>
        <w:t>según el cual cada establecimiento crea marcos de oportunidad para la realización del derecho a la educación superior: abren o cierran puertas, proveen un cierto tipo de orientaciones, ofrecen o no distintos tipos de sostén técnico o afectivo… Se trata de “</w:t>
      </w:r>
      <w:r w:rsidRPr="00750D40">
        <w:rPr>
          <w:rFonts w:ascii="Times New Roman" w:eastAsia="Times New Roman" w:hAnsi="Times New Roman" w:cs="Times New Roman"/>
          <w:i/>
          <w:iCs/>
          <w:color w:val="000000"/>
          <w:sz w:val="24"/>
          <w:szCs w:val="24"/>
          <w:lang w:eastAsia="es-AR"/>
        </w:rPr>
        <w:t>el conjunto de predisposiciones, esquemas de percepción y expectativas dadas por descontado en base a las cuales se organizan los centros educativos</w:t>
      </w:r>
      <w:proofErr w:type="gramStart"/>
      <w:r w:rsidRPr="00750D40">
        <w:rPr>
          <w:rFonts w:ascii="Times New Roman" w:eastAsia="Times New Roman" w:hAnsi="Times New Roman" w:cs="Times New Roman"/>
          <w:i/>
          <w:iCs/>
          <w:color w:val="000000"/>
          <w:sz w:val="24"/>
          <w:szCs w:val="24"/>
          <w:lang w:eastAsia="es-AR"/>
        </w:rPr>
        <w:t xml:space="preserve">”, </w:t>
      </w:r>
      <w:r w:rsidRPr="00750D40">
        <w:rPr>
          <w:rFonts w:ascii="Times New Roman" w:eastAsia="Times New Roman" w:hAnsi="Times New Roman" w:cs="Times New Roman"/>
          <w:color w:val="000000"/>
          <w:sz w:val="24"/>
          <w:szCs w:val="24"/>
          <w:lang w:eastAsia="es-AR"/>
        </w:rPr>
        <w:t> (</w:t>
      </w:r>
      <w:proofErr w:type="spellStart"/>
      <w:proofErr w:type="gramEnd"/>
      <w:r w:rsidRPr="00750D40">
        <w:rPr>
          <w:rFonts w:ascii="Times New Roman" w:eastAsia="Times New Roman" w:hAnsi="Times New Roman" w:cs="Times New Roman"/>
          <w:color w:val="000000"/>
          <w:sz w:val="24"/>
          <w:szCs w:val="24"/>
          <w:lang w:eastAsia="es-AR"/>
        </w:rPr>
        <w:t>Tarabini</w:t>
      </w:r>
      <w:proofErr w:type="spellEnd"/>
      <w:r w:rsidRPr="00750D40">
        <w:rPr>
          <w:rFonts w:ascii="Times New Roman" w:eastAsia="Times New Roman" w:hAnsi="Times New Roman" w:cs="Times New Roman"/>
          <w:color w:val="000000"/>
          <w:sz w:val="24"/>
          <w:szCs w:val="24"/>
          <w:lang w:eastAsia="es-AR"/>
        </w:rPr>
        <w:t xml:space="preserve"> et al., 2015), construcción colectiva que subyace al funcionamiento de la institución  </w:t>
      </w:r>
      <w:r w:rsidRPr="00750D40">
        <w:rPr>
          <w:rFonts w:ascii="Times New Roman" w:eastAsia="Times New Roman" w:hAnsi="Times New Roman" w:cs="Times New Roman"/>
          <w:i/>
          <w:iCs/>
          <w:color w:val="000000"/>
          <w:sz w:val="24"/>
          <w:szCs w:val="24"/>
          <w:lang w:eastAsia="es-AR"/>
        </w:rPr>
        <w:t>como una corriente que guía las expectativas del profesorado hacia una dirección particular. </w:t>
      </w:r>
    </w:p>
    <w:p w14:paraId="7C40D386"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En la reflexión entre docentes, este concepto permite prestar atención a cómo cada institución ofrece o no oportunidades a los estudiantes, y analizar las relaciones entre el </w:t>
      </w:r>
      <w:proofErr w:type="spellStart"/>
      <w:r w:rsidRPr="00750D40">
        <w:rPr>
          <w:rFonts w:ascii="Times New Roman" w:eastAsia="Times New Roman" w:hAnsi="Times New Roman" w:cs="Times New Roman"/>
          <w:i/>
          <w:iCs/>
          <w:color w:val="000000"/>
          <w:sz w:val="24"/>
          <w:szCs w:val="24"/>
          <w:lang w:eastAsia="es-AR"/>
        </w:rPr>
        <w:t>habitus</w:t>
      </w:r>
      <w:proofErr w:type="spellEnd"/>
      <w:r w:rsidRPr="00750D40">
        <w:rPr>
          <w:rFonts w:ascii="Times New Roman" w:eastAsia="Times New Roman" w:hAnsi="Times New Roman" w:cs="Times New Roman"/>
          <w:i/>
          <w:iCs/>
          <w:color w:val="000000"/>
          <w:sz w:val="24"/>
          <w:szCs w:val="24"/>
          <w:lang w:eastAsia="es-AR"/>
        </w:rPr>
        <w:t xml:space="preserve"> </w:t>
      </w:r>
      <w:r w:rsidRPr="00750D40">
        <w:rPr>
          <w:rFonts w:ascii="Times New Roman" w:eastAsia="Times New Roman" w:hAnsi="Times New Roman" w:cs="Times New Roman"/>
          <w:color w:val="000000"/>
          <w:sz w:val="24"/>
          <w:szCs w:val="24"/>
          <w:lang w:eastAsia="es-AR"/>
        </w:rPr>
        <w:t>institucional y las decisiones individuales que tomamos en el aula.</w:t>
      </w:r>
    </w:p>
    <w:p w14:paraId="5DFFA57A"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Es posible así vislumbrar el papel de las instituciones como condicionantes primarios de las posibilidades de los alumnos, decisivas para el sostenimiento y el avance en la carrera. En ese marco, son las experiencias académicas cotidianas -es decir las propuestas de enseñanza- las que operan de modo determinante, en especial en las franjas iniciales: toma forma la idea de que el esfuerzo institucional orientado a la retención de los y las estudiantes debería organizarse fundamentalmente en torno a dichas experiencias. (Tinto, 2021)</w:t>
      </w:r>
    </w:p>
    <w:p w14:paraId="337C2571"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b/>
          <w:bCs/>
          <w:color w:val="000000"/>
          <w:sz w:val="24"/>
          <w:szCs w:val="24"/>
          <w:lang w:eastAsia="es-AR"/>
        </w:rPr>
        <w:t>Convertirse en estudiante</w:t>
      </w:r>
    </w:p>
    <w:p w14:paraId="3CB53E03"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Nos detenemos a revisar qué aspectos de la lógica de funcionamiento de la universidad entran en tensión con el esfuerzo adaptativo y qué propuestas de acompañamiento pueden favorecer la construcción de una participación activa y autónoma por parte de los y las estudiantes, es decir, su posicionamiento como estudiante en la universidad. Aunque el recorrido que proponemos enfatiza la apropiación por parte de los estudiantes de herramientas para el trabajo intelectual, es imprescindible situar esos procesos en las tramas vinculares que les permiten comenzar a sentirse parte de la comunidad -social, disciplinar y profesional- a la que están intentando ingresar.</w:t>
      </w:r>
    </w:p>
    <w:p w14:paraId="1018CA64"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La posibilidad de afiliarse, de pasar de una situación de incertidumbre y alienación -propias de las etapas de extrañamiento y aprendizaje (</w:t>
      </w:r>
      <w:proofErr w:type="spellStart"/>
      <w:r w:rsidRPr="00750D40">
        <w:rPr>
          <w:rFonts w:ascii="Times New Roman" w:eastAsia="Times New Roman" w:hAnsi="Times New Roman" w:cs="Times New Roman"/>
          <w:color w:val="000000"/>
          <w:sz w:val="24"/>
          <w:szCs w:val="24"/>
          <w:lang w:eastAsia="es-AR"/>
        </w:rPr>
        <w:t>Coulon</w:t>
      </w:r>
      <w:proofErr w:type="spellEnd"/>
      <w:r w:rsidRPr="00750D40">
        <w:rPr>
          <w:rFonts w:ascii="Times New Roman" w:eastAsia="Times New Roman" w:hAnsi="Times New Roman" w:cs="Times New Roman"/>
          <w:color w:val="000000"/>
          <w:sz w:val="24"/>
          <w:szCs w:val="24"/>
          <w:lang w:eastAsia="es-AR"/>
        </w:rPr>
        <w:t xml:space="preserve"> 2005)- a la conquista del lugar de </w:t>
      </w:r>
      <w:r w:rsidRPr="00750D40">
        <w:rPr>
          <w:rFonts w:ascii="Times New Roman" w:eastAsia="Times New Roman" w:hAnsi="Times New Roman" w:cs="Times New Roman"/>
          <w:i/>
          <w:iCs/>
          <w:color w:val="000000"/>
          <w:sz w:val="24"/>
          <w:szCs w:val="24"/>
          <w:lang w:eastAsia="es-AR"/>
        </w:rPr>
        <w:t>estudiante</w:t>
      </w:r>
      <w:r w:rsidRPr="00750D40">
        <w:rPr>
          <w:rFonts w:ascii="Times New Roman" w:eastAsia="Times New Roman" w:hAnsi="Times New Roman" w:cs="Times New Roman"/>
          <w:color w:val="000000"/>
          <w:sz w:val="24"/>
          <w:szCs w:val="24"/>
          <w:lang w:eastAsia="es-AR"/>
        </w:rPr>
        <w:t xml:space="preserve">, guarda relación estrecha con sentirse reconocidos por otros en este nuevo espacio simbólico. En este sentido el vínculo cotidiano con los docentes, con los compañeros y con el conocimiento incide de manera crucial en la experiencia de los y las estudiantes. Más allá de los dispositivos institucionales que puedan ponerse en marcha, </w:t>
      </w:r>
      <w:r w:rsidRPr="00750D40">
        <w:rPr>
          <w:rFonts w:ascii="Times New Roman" w:eastAsia="Times New Roman" w:hAnsi="Times New Roman" w:cs="Times New Roman"/>
          <w:color w:val="000000"/>
          <w:sz w:val="24"/>
          <w:szCs w:val="24"/>
          <w:lang w:eastAsia="es-AR"/>
        </w:rPr>
        <w:lastRenderedPageBreak/>
        <w:t>el recibimiento de los nuevos se opera a través de los profesores, en especial los del primer año, quienes -es central reconocer- se encuentran a su vez acechados por las complejidades de la superpoblación y por las desfavorables condiciones laborales en que desempeñan su tarea.</w:t>
      </w:r>
    </w:p>
    <w:p w14:paraId="221914E1"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En los relatos y entrevistas realizadas en distintos momentos e instituciones, los estudiantes valoran fuertemente los primeros vínculos con los docentes, distinguiendo entre aquellos que habilitan la permanencia y aquellos que propician una pronta salida. De acuerdo con </w:t>
      </w:r>
      <w:proofErr w:type="spellStart"/>
      <w:r w:rsidRPr="00750D40">
        <w:rPr>
          <w:rFonts w:ascii="Times New Roman" w:eastAsia="Times New Roman" w:hAnsi="Times New Roman" w:cs="Times New Roman"/>
          <w:color w:val="000000"/>
          <w:sz w:val="24"/>
          <w:szCs w:val="24"/>
          <w:lang w:eastAsia="es-AR"/>
        </w:rPr>
        <w:t>Pierella</w:t>
      </w:r>
      <w:proofErr w:type="spellEnd"/>
      <w:r w:rsidRPr="00750D40">
        <w:rPr>
          <w:rFonts w:ascii="Times New Roman" w:eastAsia="Times New Roman" w:hAnsi="Times New Roman" w:cs="Times New Roman"/>
          <w:color w:val="000000"/>
          <w:sz w:val="24"/>
          <w:szCs w:val="24"/>
          <w:lang w:eastAsia="es-AR"/>
        </w:rPr>
        <w:t xml:space="preserve"> (2014) los profesores señalados como hospitalarios o inclusivos son portadores de una “voluntad de reconocimiento”: recuerdan a sus alumnos, los saludan al cruzarlos, se esfuerzan por recordar sus nombres o alguna de sus condiciones personales. La mirada estudiantil también identifica a estos profesores como personas comprometidas con la tarea de enseñanza, que dominan los conocimientos de su campo disciplinar y disponen de un saber pedagógico que los hace buenos transmisores; preparan sus clases y anticipan el desarrollo del curso, muestran buena predisposición a explicar y responder consultas, toman en cuenta a los estudiantes. Básicamente comunican un tipo de relación con el conocimiento y con los sujetos con quienes comparten la tarea cognitiva, entre ellos los mismos estudiantes.</w:t>
      </w:r>
    </w:p>
    <w:p w14:paraId="3742B835"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En resumen, es en las prácticas de enseñanza y en los vínculos que se establecen en ese marco que pueden o no sostenerse las aspiraciones igualitarias del dispositivo institucional; reconocer al estudiante como sujeto del conocer constituye el corazón de los problemas del ingreso y la permanencia en la universidad. Así, los profesores del primer año, por ser los primeros referentes visibles que encarnan esos vínculos, operan como lazo con la institución en los primeros recorridos de la formación y son, por lo tanto, actores claves en el diseño de políticas inclusivas.</w:t>
      </w:r>
      <w:r w:rsidRPr="00750D40">
        <w:rPr>
          <w:rFonts w:ascii="Times New Roman" w:eastAsia="Times New Roman" w:hAnsi="Times New Roman" w:cs="Times New Roman"/>
          <w:color w:val="000000"/>
          <w:sz w:val="24"/>
          <w:szCs w:val="24"/>
          <w:lang w:eastAsia="es-AR"/>
        </w:rPr>
        <w:br/>
        <w:t xml:space="preserve">Ahora bien: reconocernos a nosotros mismos -docentes- como parte de la compleja situación del ingreso, implica también problematizar los supuestos que están detrás de nuestras percepciones. Es necesario admitir que los y las docentes “vemos” a los y las estudiantes a través del prisma de las representaciones que hemos construido, y que esa mirada, moldeada también por el </w:t>
      </w:r>
      <w:proofErr w:type="spellStart"/>
      <w:r w:rsidRPr="00750D40">
        <w:rPr>
          <w:rFonts w:ascii="Times New Roman" w:eastAsia="Times New Roman" w:hAnsi="Times New Roman" w:cs="Times New Roman"/>
          <w:i/>
          <w:iCs/>
          <w:color w:val="000000"/>
          <w:sz w:val="24"/>
          <w:szCs w:val="24"/>
          <w:lang w:eastAsia="es-AR"/>
        </w:rPr>
        <w:t>habitus</w:t>
      </w:r>
      <w:proofErr w:type="spellEnd"/>
      <w:r w:rsidRPr="00750D40">
        <w:rPr>
          <w:rFonts w:ascii="Times New Roman" w:eastAsia="Times New Roman" w:hAnsi="Times New Roman" w:cs="Times New Roman"/>
          <w:i/>
          <w:iCs/>
          <w:color w:val="000000"/>
          <w:sz w:val="24"/>
          <w:szCs w:val="24"/>
          <w:lang w:eastAsia="es-AR"/>
        </w:rPr>
        <w:t xml:space="preserve"> institucional</w:t>
      </w:r>
      <w:r w:rsidRPr="00750D40">
        <w:rPr>
          <w:rFonts w:ascii="Times New Roman" w:eastAsia="Times New Roman" w:hAnsi="Times New Roman" w:cs="Times New Roman"/>
          <w:color w:val="000000"/>
          <w:sz w:val="24"/>
          <w:szCs w:val="24"/>
          <w:lang w:eastAsia="es-AR"/>
        </w:rPr>
        <w:t xml:space="preserve">, afecta las relaciones que los y las ingresantes van estableciendo como parte de su proceso de afiliación. De modo particular interesa poner el foco en cómo inciden estas representaciones en la posición que asumimos en la situación de enseñanza, que es, como dijimos, el espacio privilegiado en donde se construyen las posibilidades de conquistar y conservar un lugar como </w:t>
      </w:r>
      <w:r w:rsidRPr="00750D40">
        <w:rPr>
          <w:rFonts w:ascii="Times New Roman" w:eastAsia="Times New Roman" w:hAnsi="Times New Roman" w:cs="Times New Roman"/>
          <w:i/>
          <w:iCs/>
          <w:color w:val="000000"/>
          <w:sz w:val="24"/>
          <w:szCs w:val="24"/>
          <w:lang w:eastAsia="es-AR"/>
        </w:rPr>
        <w:t>estudiante.</w:t>
      </w:r>
    </w:p>
    <w:p w14:paraId="08BA8098" w14:textId="77777777" w:rsidR="00750D40" w:rsidRDefault="00750D40" w:rsidP="00750D40">
      <w:pPr>
        <w:shd w:val="clear" w:color="auto" w:fill="FFFFFF"/>
        <w:spacing w:after="0" w:line="240" w:lineRule="auto"/>
        <w:rPr>
          <w:rFonts w:ascii="Times New Roman" w:eastAsia="Times New Roman" w:hAnsi="Times New Roman" w:cs="Times New Roman"/>
          <w:b/>
          <w:bCs/>
          <w:color w:val="000000"/>
          <w:sz w:val="24"/>
          <w:szCs w:val="24"/>
          <w:lang w:eastAsia="es-AR"/>
        </w:rPr>
      </w:pPr>
    </w:p>
    <w:p w14:paraId="15A19323" w14:textId="21DF25D1"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b/>
          <w:bCs/>
          <w:color w:val="000000"/>
          <w:sz w:val="24"/>
          <w:szCs w:val="24"/>
          <w:lang w:eastAsia="es-AR"/>
        </w:rPr>
        <w:t>Involucrarse con el aprendizaje o tomar un atajo: el papel de la institución en la fabricación del fracaso</w:t>
      </w:r>
    </w:p>
    <w:p w14:paraId="72965CEF" w14:textId="5C85BF02"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Entendemos que no es posible establecer una separación tajante entre los procesos de habituación a las reglas institucionales (</w:t>
      </w:r>
      <w:r w:rsidRPr="00750D40">
        <w:rPr>
          <w:rFonts w:ascii="Times New Roman" w:eastAsia="Times New Roman" w:hAnsi="Times New Roman" w:cs="Times New Roman"/>
          <w:i/>
          <w:iCs/>
          <w:color w:val="000000"/>
          <w:sz w:val="24"/>
          <w:szCs w:val="24"/>
          <w:lang w:eastAsia="es-AR"/>
        </w:rPr>
        <w:t xml:space="preserve">afiliación institucional) </w:t>
      </w:r>
      <w:r w:rsidRPr="00750D40">
        <w:rPr>
          <w:rFonts w:ascii="Times New Roman" w:eastAsia="Times New Roman" w:hAnsi="Times New Roman" w:cs="Times New Roman"/>
          <w:color w:val="000000"/>
          <w:sz w:val="24"/>
          <w:szCs w:val="24"/>
          <w:lang w:eastAsia="es-AR"/>
        </w:rPr>
        <w:t>y a las exigencias que presenta un trabajo intelectual de nuevo tipo (</w:t>
      </w:r>
      <w:r w:rsidRPr="00750D40">
        <w:rPr>
          <w:rFonts w:ascii="Times New Roman" w:eastAsia="Times New Roman" w:hAnsi="Times New Roman" w:cs="Times New Roman"/>
          <w:i/>
          <w:iCs/>
          <w:color w:val="000000"/>
          <w:sz w:val="24"/>
          <w:szCs w:val="24"/>
          <w:lang w:eastAsia="es-AR"/>
        </w:rPr>
        <w:t xml:space="preserve">afiliación académica o intelectual), </w:t>
      </w:r>
      <w:r w:rsidRPr="00750D40">
        <w:rPr>
          <w:rFonts w:ascii="Times New Roman" w:eastAsia="Times New Roman" w:hAnsi="Times New Roman" w:cs="Times New Roman"/>
          <w:color w:val="000000"/>
          <w:sz w:val="24"/>
          <w:szCs w:val="24"/>
          <w:lang w:eastAsia="es-AR"/>
        </w:rPr>
        <w:t xml:space="preserve">ya que algunos aspectos del funcionamiento institucional afectan profundamente la relación que los estudiantes establecen con el saber. Invitamos a observar que la postura dependiente -muchas veces superficial y externa- que los ingresantes disponen al comenzar la carrera ha sido socialmente construida en el marco de prácticas educativas preuniversitarias y que, lejos de deconstruir, suele prolongarse y consolidarse en la universidad al amparo </w:t>
      </w:r>
      <w:r w:rsidRPr="00750D40">
        <w:rPr>
          <w:rFonts w:ascii="Times New Roman" w:eastAsia="Times New Roman" w:hAnsi="Times New Roman" w:cs="Times New Roman"/>
          <w:color w:val="000000"/>
          <w:sz w:val="24"/>
          <w:szCs w:val="24"/>
          <w:lang w:eastAsia="es-AR"/>
        </w:rPr>
        <w:lastRenderedPageBreak/>
        <w:t xml:space="preserve">del </w:t>
      </w:r>
      <w:proofErr w:type="spellStart"/>
      <w:r w:rsidRPr="00750D40">
        <w:rPr>
          <w:rFonts w:ascii="Times New Roman" w:eastAsia="Times New Roman" w:hAnsi="Times New Roman" w:cs="Times New Roman"/>
          <w:color w:val="000000"/>
          <w:sz w:val="24"/>
          <w:szCs w:val="24"/>
          <w:lang w:eastAsia="es-AR"/>
        </w:rPr>
        <w:t>habitus</w:t>
      </w:r>
      <w:proofErr w:type="spellEnd"/>
      <w:r w:rsidRPr="00750D40">
        <w:rPr>
          <w:rFonts w:ascii="Times New Roman" w:eastAsia="Times New Roman" w:hAnsi="Times New Roman" w:cs="Times New Roman"/>
          <w:color w:val="000000"/>
          <w:sz w:val="24"/>
          <w:szCs w:val="24"/>
          <w:lang w:eastAsia="es-AR"/>
        </w:rPr>
        <w:t xml:space="preserve"> institucional y a través de estrategias educativas que resultan complementarias. Este análisis resulta resonante para los docentes, que encuentran en ello un modo de conceptualizar un fenómeno muy frecuente del que no es fácil tomar distancia porque muchas veces se ven inadvertidamente involucrados.</w:t>
      </w:r>
    </w:p>
    <w:p w14:paraId="0D783802" w14:textId="6758BD49"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En el marco de los estudios sobre la deserción en la universidad, Ortega (2011) postula que actualmente y desde la primaria suele establecerse una relación negativa o de rechazo hacia el conocimiento. Ese es el origen de lo que el autor denomina </w:t>
      </w:r>
      <w:r w:rsidRPr="00750D40">
        <w:rPr>
          <w:rFonts w:ascii="Times New Roman" w:eastAsia="Times New Roman" w:hAnsi="Times New Roman" w:cs="Times New Roman"/>
          <w:i/>
          <w:iCs/>
          <w:color w:val="000000"/>
          <w:sz w:val="24"/>
          <w:szCs w:val="24"/>
          <w:lang w:eastAsia="es-AR"/>
        </w:rPr>
        <w:t xml:space="preserve">estrategias de evasión, </w:t>
      </w:r>
      <w:r w:rsidRPr="00750D40">
        <w:rPr>
          <w:rFonts w:ascii="Times New Roman" w:eastAsia="Times New Roman" w:hAnsi="Times New Roman" w:cs="Times New Roman"/>
          <w:color w:val="000000"/>
          <w:sz w:val="24"/>
          <w:szCs w:val="24"/>
          <w:lang w:eastAsia="es-AR"/>
        </w:rPr>
        <w:t>disposiciones -no siempre voluntarias o conscientes-</w:t>
      </w:r>
      <w:r w:rsidRPr="00750D40">
        <w:rPr>
          <w:rFonts w:ascii="Times New Roman" w:eastAsia="Times New Roman" w:hAnsi="Times New Roman" w:cs="Times New Roman"/>
          <w:i/>
          <w:iCs/>
          <w:color w:val="000000"/>
          <w:sz w:val="24"/>
          <w:szCs w:val="24"/>
          <w:lang w:eastAsia="es-AR"/>
        </w:rPr>
        <w:t xml:space="preserve"> </w:t>
      </w:r>
      <w:r w:rsidRPr="00750D40">
        <w:rPr>
          <w:rFonts w:ascii="Times New Roman" w:eastAsia="Times New Roman" w:hAnsi="Times New Roman" w:cs="Times New Roman"/>
          <w:color w:val="000000"/>
          <w:sz w:val="24"/>
          <w:szCs w:val="24"/>
          <w:lang w:eastAsia="es-AR"/>
        </w:rPr>
        <w:t xml:space="preserve">que permiten escapar del esfuerzo de construcción para alcanzar, vía un rodeo, directamente el producto. La evasión como estrategia representa una forma de relacionarse con el mundo donde los mecanismos están ocultos: “Cuando media la obligación de </w:t>
      </w:r>
      <w:r w:rsidRPr="00750D40">
        <w:rPr>
          <w:rFonts w:ascii="Times New Roman" w:eastAsia="Times New Roman" w:hAnsi="Times New Roman" w:cs="Times New Roman"/>
          <w:i/>
          <w:iCs/>
          <w:color w:val="000000"/>
          <w:sz w:val="24"/>
          <w:szCs w:val="24"/>
          <w:lang w:eastAsia="es-AR"/>
        </w:rPr>
        <w:t xml:space="preserve">conocer algo, </w:t>
      </w:r>
      <w:r w:rsidRPr="00750D40">
        <w:rPr>
          <w:rFonts w:ascii="Times New Roman" w:eastAsia="Times New Roman" w:hAnsi="Times New Roman" w:cs="Times New Roman"/>
          <w:color w:val="000000"/>
          <w:sz w:val="24"/>
          <w:szCs w:val="24"/>
          <w:lang w:eastAsia="es-AR"/>
        </w:rPr>
        <w:t xml:space="preserve">la economía de los atajos conduce directamente al producto y dentro de él al esquema. El conocimiento es ajeno, solo           puede aplicarse mecánicamente, no solo no se construye la dinámica del </w:t>
      </w:r>
      <w:r w:rsidRPr="00750D40">
        <w:rPr>
          <w:rFonts w:ascii="Times New Roman" w:eastAsia="Times New Roman" w:hAnsi="Times New Roman" w:cs="Times New Roman"/>
          <w:color w:val="000000"/>
          <w:sz w:val="24"/>
          <w:szCs w:val="24"/>
          <w:lang w:eastAsia="es-AR"/>
        </w:rPr>
        <w:t>saber,</w:t>
      </w:r>
      <w:r w:rsidRPr="00750D40">
        <w:rPr>
          <w:rFonts w:ascii="Times New Roman" w:eastAsia="Times New Roman" w:hAnsi="Times New Roman" w:cs="Times New Roman"/>
          <w:color w:val="000000"/>
          <w:sz w:val="24"/>
          <w:szCs w:val="24"/>
          <w:lang w:eastAsia="es-AR"/>
        </w:rPr>
        <w:t xml:space="preserve"> sino que se construye la del no saber” (Ortega, 2008:12)</w:t>
      </w:r>
    </w:p>
    <w:p w14:paraId="58096FE1"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Es decir que, a través de estos mecanismos de rodeo o evasión, “lo que se debe estudiar” no produce cambios en el conocimiento ni en la posición frente al mundo, sino que se queda en los límites de lo ya conocido. Comprender se vuelve el camino más largo y construir conocimientos es casi imposible, a no ser que pueda aparecer como si estuviera “al alcance de la mano”. Esa dinámica de interacción con el conocimiento hace que el saber desaparezca como contenido, como mensaje, y que subsista únicamente bajo la forma de un </w:t>
      </w:r>
      <w:r w:rsidRPr="00750D40">
        <w:rPr>
          <w:rFonts w:ascii="Times New Roman" w:eastAsia="Times New Roman" w:hAnsi="Times New Roman" w:cs="Times New Roman"/>
          <w:i/>
          <w:iCs/>
          <w:color w:val="000000"/>
          <w:sz w:val="24"/>
          <w:szCs w:val="24"/>
          <w:lang w:eastAsia="es-AR"/>
        </w:rPr>
        <w:t>como si</w:t>
      </w:r>
      <w:r w:rsidRPr="00750D40">
        <w:rPr>
          <w:rFonts w:ascii="Times New Roman" w:eastAsia="Times New Roman" w:hAnsi="Times New Roman" w:cs="Times New Roman"/>
          <w:color w:val="000000"/>
          <w:sz w:val="24"/>
          <w:szCs w:val="24"/>
          <w:lang w:eastAsia="es-AR"/>
        </w:rPr>
        <w:t xml:space="preserve">; sin embargo, lejos de quedar en evidencia como un procedimiento perverso, esta modalidad forma parte de la trama de lo social en un mundo en el que el divorcio del conocimiento con respecto a su relación con el mundo (es decir, su sentido) es visto como legítimo. La </w:t>
      </w:r>
      <w:r w:rsidRPr="00750D40">
        <w:rPr>
          <w:rFonts w:ascii="Times New Roman" w:eastAsia="Times New Roman" w:hAnsi="Times New Roman" w:cs="Times New Roman"/>
          <w:i/>
          <w:iCs/>
          <w:color w:val="000000"/>
          <w:sz w:val="24"/>
          <w:szCs w:val="24"/>
          <w:lang w:eastAsia="es-AR"/>
        </w:rPr>
        <w:t>apariencia del saber</w:t>
      </w:r>
      <w:r w:rsidRPr="00750D40">
        <w:rPr>
          <w:rFonts w:ascii="Times New Roman" w:eastAsia="Times New Roman" w:hAnsi="Times New Roman" w:cs="Times New Roman"/>
          <w:color w:val="000000"/>
          <w:sz w:val="24"/>
          <w:szCs w:val="24"/>
          <w:lang w:eastAsia="es-AR"/>
        </w:rPr>
        <w:t xml:space="preserve"> es valorada como </w:t>
      </w:r>
      <w:r w:rsidRPr="00750D40">
        <w:rPr>
          <w:rFonts w:ascii="Times New Roman" w:eastAsia="Times New Roman" w:hAnsi="Times New Roman" w:cs="Times New Roman"/>
          <w:i/>
          <w:iCs/>
          <w:color w:val="000000"/>
          <w:sz w:val="24"/>
          <w:szCs w:val="24"/>
          <w:lang w:eastAsia="es-AR"/>
        </w:rPr>
        <w:t>saber</w:t>
      </w:r>
      <w:r w:rsidRPr="00750D40">
        <w:rPr>
          <w:rFonts w:ascii="Times New Roman" w:eastAsia="Times New Roman" w:hAnsi="Times New Roman" w:cs="Times New Roman"/>
          <w:color w:val="000000"/>
          <w:sz w:val="24"/>
          <w:szCs w:val="24"/>
          <w:lang w:eastAsia="es-AR"/>
        </w:rPr>
        <w:t>.</w:t>
      </w:r>
    </w:p>
    <w:p w14:paraId="7D15EBB1" w14:textId="77777777" w:rsidR="00750D40" w:rsidRPr="00750D40" w:rsidRDefault="00750D40" w:rsidP="00750D40">
      <w:pPr>
        <w:shd w:val="clear" w:color="auto" w:fill="FFFFFF"/>
        <w:spacing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Ortega advierte que la mirada sobre los estudiantes queda incompleta si prescindimos de la contribución de los docentes. Se pregunta: </w:t>
      </w:r>
    </w:p>
    <w:p w14:paraId="4CFFE727" w14:textId="77777777" w:rsidR="00750D40" w:rsidRPr="00750D40" w:rsidRDefault="00750D40" w:rsidP="00750D40">
      <w:pPr>
        <w:shd w:val="clear" w:color="auto" w:fill="FFFFFF"/>
        <w:spacing w:line="240" w:lineRule="auto"/>
        <w:ind w:left="720"/>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“¿De qué modo participan los docentes en la deserción estudiantil? ¿Hay correspondencia entre las exigencias docentes y sus propias prácticas? ¿Juegan las exigencias docentes como efecto de demostración frente a los demás docentes? ¿Cómo "participan" en la construcción del desinterés que manifiestan los alumnos en relación a la mayoría de las asignaturas? ¿Cómo actúa la relación que los docentes mismos tienen con el conocimiento con aquella que se va constituyendo (o confirmando) en los alumnos? Los conflictos en la lucha por la imposición de un orden en los capitales simbólicos ¿tienen injerencia en la distancia al conocimiento?” (Ortega 2011: 92)</w:t>
      </w:r>
    </w:p>
    <w:p w14:paraId="105394C5"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Entendemos que al considerar la dimensión subjetiva de la relación de los y las estudiantes con el conocimiento es preciso tener en cuenta las mediaciones institucionales, es decir su significado social y su dinámica interna. Las construcciones evasivas, que se aprenden a manejar de modo rápido y con economía de esfuerzos, sólo adquieren sentido desde el receptor, esto es, desde el docente; para el docente también es posible dejar “en suspenso” la construcción de sentido y trabajar con el conocimiento bajo la forma del cliché. Es cierto que el ingreso a la universidad implica un cambio de situación para el estudiante, pero ello no necesariamente implica, sin embargo, un cambio en las estrategias escolares, que no se modifican mediante un simple cambio de posición. </w:t>
      </w:r>
      <w:r w:rsidRPr="00750D40">
        <w:rPr>
          <w:rFonts w:ascii="Times New Roman" w:eastAsia="Times New Roman" w:hAnsi="Times New Roman" w:cs="Times New Roman"/>
          <w:color w:val="000000"/>
          <w:sz w:val="24"/>
          <w:szCs w:val="24"/>
          <w:lang w:eastAsia="es-AR"/>
        </w:rPr>
        <w:lastRenderedPageBreak/>
        <w:t>“Quebrar” las estrategias evasivas de relación con el conocimiento requiere también un cambio de posición de los docentes.</w:t>
      </w:r>
    </w:p>
    <w:p w14:paraId="717EF59F"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El despliegue de este análisis nos permite nuevamente volver a la escena cotidiana para tratar de pensar qué condiciones –materiales y simbólicas— sería necesario generar en las asignaturas iniciales para favorecer el involucramiento de los y las estudiantes y evitar efectos expulsivos, y de qué modo el o la docente podría convocar emocionalmente e interpelar intelectualmente a los alumnos dentro de sus clases.</w:t>
      </w:r>
    </w:p>
    <w:p w14:paraId="3AD53F03" w14:textId="77777777" w:rsidR="00750D40" w:rsidRDefault="00750D40" w:rsidP="00750D40">
      <w:pPr>
        <w:shd w:val="clear" w:color="auto" w:fill="FFFFFF"/>
        <w:spacing w:after="0" w:line="240" w:lineRule="auto"/>
        <w:rPr>
          <w:rFonts w:ascii="Times New Roman" w:eastAsia="Times New Roman" w:hAnsi="Times New Roman" w:cs="Times New Roman"/>
          <w:b/>
          <w:bCs/>
          <w:color w:val="000000"/>
          <w:sz w:val="24"/>
          <w:szCs w:val="24"/>
          <w:lang w:eastAsia="es-AR"/>
        </w:rPr>
      </w:pPr>
    </w:p>
    <w:p w14:paraId="2EA1CD79" w14:textId="078956D8"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b/>
          <w:bCs/>
          <w:color w:val="000000"/>
          <w:sz w:val="24"/>
          <w:szCs w:val="24"/>
          <w:lang w:eastAsia="es-AR"/>
        </w:rPr>
        <w:t>El estudiante como sujeto de saber: la experiencia universitaria como encuentro con el conocimiento </w:t>
      </w:r>
    </w:p>
    <w:p w14:paraId="1054666A"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Profundizamos en la construcción por parte de los estudiantes de un posicionamiento que les permita hacer frente a las exigencias del estudio en la universidad. Nos interesa entender mejor qué implica para ellos/ellas el esfuerzo por resolver la disonancia entre las prácticas de conocimiento a las que están habituados -y que han sido construidas histórica y socialmente a lo largo de sus trayectorias- y el universo cognitivo legitimado por la cultura universitaria; reflexionar en qué consisten las nuevas prácticas de trabajo intelectual a las que deben habituarse y por qué se vuelven un obstáculo para los estudiantes. </w:t>
      </w:r>
    </w:p>
    <w:p w14:paraId="10E9A09D" w14:textId="379A0CD8"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El proceso formativo científico profesional que tiene lugar en la universidad de masas implica una experiencia de encuentro cultural con lo público y con lo diverso que impacta sobre la producción de subjetividades. Lo común y lo singular se combinan entre sí, dando lugar a una gran heterogeneidad, en la que es posible reconocer discontinuidades y continuidades respecto de experiencias anteriores, puntos de inflexión y procesos de apertura. ¿Cómo se expresa esa heterogeneidad en el plano del conocimiento? ¿Qué propuestas de trabajo intelectual pueden ayudarlos a encontrarle un sentido adecuado a los conceptos, categorizaciones, discursos y prácticas del mundo académico? Brindar ayudas que habiliten el tipo de trabajo cognitivo esperado no es una tarea sencilla, porque las reglas de afiliación intelectual -es decir, las claves para comprender y apropiarse de los modos legítimos del conocimiento dentro de la universidad- son en su mayoría implícitas y han sido naturalizadas por quienes ya pertenecen a ese ámbito; no basta con “explicar” el sentido de las normas y las consignas, sino proponer situaciones concretas de las que ellos puedan participar. Casco (2009) señala que, para ello, es necesario conocer las experiencias educativas y las adquisiciones cognitivas previas de los nuevos estudiantes, explicitar lo implícito del mundo universitario y revisar la práctica docente. Estas condiciones hacen referencia a un modo de acompañar las experiencias educativas (no necesariamente limitadas a los primeros momentos) y nos alejan de la idea de que es posible resolver la </w:t>
      </w:r>
      <w:r w:rsidRPr="00750D40">
        <w:rPr>
          <w:rFonts w:ascii="Times New Roman" w:eastAsia="Times New Roman" w:hAnsi="Times New Roman" w:cs="Times New Roman"/>
          <w:i/>
          <w:iCs/>
          <w:color w:val="000000"/>
          <w:sz w:val="24"/>
          <w:szCs w:val="24"/>
          <w:lang w:eastAsia="es-AR"/>
        </w:rPr>
        <w:t>afiliación intelectual</w:t>
      </w:r>
      <w:r w:rsidRPr="00750D40">
        <w:rPr>
          <w:rFonts w:ascii="Times New Roman" w:eastAsia="Times New Roman" w:hAnsi="Times New Roman" w:cs="Times New Roman"/>
          <w:color w:val="000000"/>
          <w:sz w:val="24"/>
          <w:szCs w:val="24"/>
          <w:lang w:eastAsia="es-AR"/>
        </w:rPr>
        <w:t> proponiendo únicamente o primordialmente espacios ad hoc, previos o paralelos a las clases, como cursos que comunican "técnicas de estudio" o cuestiones similares; se trata más bien de una construcción que atraviesa todas las situaciones de enseñanza y de aprendizaje.</w:t>
      </w:r>
    </w:p>
    <w:p w14:paraId="6DC37209" w14:textId="15E183C8"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Así,</w:t>
      </w:r>
      <w:r w:rsidRPr="00750D40">
        <w:rPr>
          <w:rFonts w:ascii="Times New Roman" w:eastAsia="Times New Roman" w:hAnsi="Times New Roman" w:cs="Times New Roman"/>
          <w:color w:val="000000"/>
          <w:sz w:val="24"/>
          <w:szCs w:val="24"/>
          <w:lang w:eastAsia="es-AR"/>
        </w:rPr>
        <w:t xml:space="preserve"> por ejemplo, conocer "qué traen" (qué aprendieron antes, cuánto saben de algún tema, cuáles son sus costumbres en el estudio, en qué consistieron sus experiencias como aprendices) sólo es posible cuando favorecemos, dentro de las clases de las asignaturas que están cursando, que pongan en juego sus ideas y que circule públicamente cómo están pensando aquello que estamos tratando de enseñarles. En cuanto a la segunda </w:t>
      </w:r>
      <w:r w:rsidRPr="00750D40">
        <w:rPr>
          <w:rFonts w:ascii="Times New Roman" w:eastAsia="Times New Roman" w:hAnsi="Times New Roman" w:cs="Times New Roman"/>
          <w:color w:val="000000"/>
          <w:sz w:val="24"/>
          <w:szCs w:val="24"/>
          <w:lang w:eastAsia="es-AR"/>
        </w:rPr>
        <w:lastRenderedPageBreak/>
        <w:t xml:space="preserve">condición, hacer explícito lo oculto no es algo que puede ocurrir de modo descontextualizado, por fuera de las situaciones en las que ese desconocimiento obstaculiza la comprensión o la posibilidad de acción en relación con alguna cuestión concreta. Así, compartir con los/las estudiantes las "claves" para la comprensión de lo escrito (cuestión </w:t>
      </w:r>
      <w:r w:rsidRPr="00750D40">
        <w:rPr>
          <w:rFonts w:ascii="Times New Roman" w:eastAsia="Times New Roman" w:hAnsi="Times New Roman" w:cs="Times New Roman"/>
          <w:color w:val="000000"/>
          <w:sz w:val="24"/>
          <w:szCs w:val="24"/>
          <w:lang w:eastAsia="es-AR"/>
        </w:rPr>
        <w:t>central,</w:t>
      </w:r>
      <w:r w:rsidRPr="00750D40">
        <w:rPr>
          <w:rFonts w:ascii="Times New Roman" w:eastAsia="Times New Roman" w:hAnsi="Times New Roman" w:cs="Times New Roman"/>
          <w:color w:val="000000"/>
          <w:sz w:val="24"/>
          <w:szCs w:val="24"/>
          <w:lang w:eastAsia="es-AR"/>
        </w:rPr>
        <w:t xml:space="preserve"> aunque no única) sólo podrá tener lugar -y sentido- en el marco del trabajo con los textos concretos que deben leer a propósito de un tema que se está estudiando. </w:t>
      </w:r>
    </w:p>
    <w:p w14:paraId="7DFABCA6"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Por último (y como consecuencia de las dos anteriores) revisar la práctica docente resulta una condición insoslayable para construir, en el marco de las propuestas de enseñanza, una modalidad de interacción que otorgue a los y las estudiantes el lugar de productores -y no reproductores- de conocimientos; de ese modo favorecemos que se impliquen como sujetos en situaciones prácticas en las que las reglas de funcionamiento y las consignas pueden tener sentido para ellos.</w:t>
      </w:r>
    </w:p>
    <w:p w14:paraId="17243666" w14:textId="244E0D53"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Para ello es preciso que pongamos en cuestión la tradición transmisiva de la enseñanza universitaria. Una idea muy alojada en la universidad es que la enseñanza comunica de manera unívoca los contenidos a aprender: si el docente domina suficientemente la disciplina y “sabe explicar”, el aprendizaje se producirá, en tanto el alumno se comprometa con su parte del trabajo. Frecuentemente se considera que el conocimiento en un campo específico puede ser complejo, difícil, abstracto… pero es así, no admite discusión: la función del profesor es entonces transmitir lo más fielmente posible esos conocimientos, </w:t>
      </w:r>
      <w:r w:rsidRPr="00750D40">
        <w:rPr>
          <w:rFonts w:ascii="Times New Roman" w:eastAsia="Times New Roman" w:hAnsi="Times New Roman" w:cs="Times New Roman"/>
          <w:i/>
          <w:iCs/>
          <w:color w:val="000000"/>
          <w:sz w:val="24"/>
          <w:szCs w:val="24"/>
          <w:lang w:eastAsia="es-AR"/>
        </w:rPr>
        <w:t>tal como son</w:t>
      </w:r>
      <w:r w:rsidRPr="00750D40">
        <w:rPr>
          <w:rFonts w:ascii="Times New Roman" w:eastAsia="Times New Roman" w:hAnsi="Times New Roman" w:cs="Times New Roman"/>
          <w:color w:val="000000"/>
          <w:sz w:val="24"/>
          <w:szCs w:val="24"/>
          <w:lang w:eastAsia="es-AR"/>
        </w:rPr>
        <w:t xml:space="preserve">. Subyace a estas ideas una concepción lineal, transmisiva, según la </w:t>
      </w:r>
      <w:r w:rsidRPr="00750D40">
        <w:rPr>
          <w:rFonts w:ascii="Times New Roman" w:eastAsia="Times New Roman" w:hAnsi="Times New Roman" w:cs="Times New Roman"/>
          <w:color w:val="000000"/>
          <w:sz w:val="24"/>
          <w:szCs w:val="24"/>
          <w:lang w:eastAsia="es-AR"/>
        </w:rPr>
        <w:t>cual el</w:t>
      </w:r>
      <w:r w:rsidRPr="00750D40">
        <w:rPr>
          <w:rFonts w:ascii="Times New Roman" w:eastAsia="Times New Roman" w:hAnsi="Times New Roman" w:cs="Times New Roman"/>
          <w:color w:val="000000"/>
          <w:sz w:val="24"/>
          <w:szCs w:val="24"/>
          <w:lang w:eastAsia="es-AR"/>
        </w:rPr>
        <w:t xml:space="preserve"> alumno tendría posibilidades de “incorporar” los conceptos tal y como le son enseñados, a condición de que le sean claramente presentados. Sin </w:t>
      </w:r>
      <w:r w:rsidRPr="00750D40">
        <w:rPr>
          <w:rFonts w:ascii="Times New Roman" w:eastAsia="Times New Roman" w:hAnsi="Times New Roman" w:cs="Times New Roman"/>
          <w:color w:val="000000"/>
          <w:sz w:val="24"/>
          <w:szCs w:val="24"/>
          <w:lang w:eastAsia="es-AR"/>
        </w:rPr>
        <w:t>embargo,</w:t>
      </w:r>
      <w:r w:rsidRPr="00750D40">
        <w:rPr>
          <w:rFonts w:ascii="Times New Roman" w:eastAsia="Times New Roman" w:hAnsi="Times New Roman" w:cs="Times New Roman"/>
          <w:color w:val="000000"/>
          <w:sz w:val="24"/>
          <w:szCs w:val="24"/>
          <w:lang w:eastAsia="es-AR"/>
        </w:rPr>
        <w:t xml:space="preserve"> se verifican distancias entre lo que el profesor propone y espera que los estudiantes adquieran, y los aprendizajes que ellos alcanzan. Las explicaciones de este desencuentro suelen caer del lado de los estudiantes. L</w:t>
      </w:r>
      <w:r w:rsidRPr="00750D40">
        <w:rPr>
          <w:rFonts w:ascii="Times New Roman" w:eastAsia="Times New Roman" w:hAnsi="Times New Roman" w:cs="Times New Roman"/>
          <w:color w:val="000000"/>
          <w:sz w:val="24"/>
          <w:szCs w:val="24"/>
          <w:shd w:val="clear" w:color="auto" w:fill="FFFFFF"/>
          <w:lang w:eastAsia="es-AR"/>
        </w:rPr>
        <w:t>as dificultades y los fracasos -que preocupan genuinamente a los profesores- tienden a ser atribuidos a las características o capacidades de los estudiantes, adquiridos en instancias previas de su vida: su trayectoria social o escolar, su capacidad de atención, su interés por aprender y mejorar, sus conocimientos técnicos sobre el estudio, etc. </w:t>
      </w:r>
    </w:p>
    <w:p w14:paraId="6347B7E7"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Por lo contrario, los estudios psicológicos y didácticos plantean claramente que quien aprende, necesariamente produce una interpretación personal –permeada por su formación- del contenido que se está enseñando, y que es preciso intervenir didácticamente para favorecer los intercambios que pueden llevar a la construcción esperada del conocimiento.</w:t>
      </w:r>
    </w:p>
    <w:p w14:paraId="5166F262"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Aun cuando enseñar es el propósito primordial de la escuela y una de las funciones institucionales básicas de la universidad, los procesos que ocurren en el aula entre el docente y los alumnos a propósito de la construcción o reconstrucción de un objeto particular de conocimiento, son frecuentemente naturalizados y escapan a un análisis que permita trascender las explicaciones de sentido común. Entendemos que la concepción transmisiva de la enseñanza y su forma de funcionar en el aula solo se vuelve visible al promover un distanciamiento de los docentes con respecto a la escena cotidiana. Desde el punto de vista discursivo, existe acuerdo explícito entre la mayoría de los docentes en reconocer la importancia de la participación activa de los estudiantes en los distintos momentos de las propuestas de enseñanza; sin embargo, al analizar situaciones concretas, </w:t>
      </w:r>
      <w:r w:rsidRPr="00750D40">
        <w:rPr>
          <w:rFonts w:ascii="Times New Roman" w:eastAsia="Times New Roman" w:hAnsi="Times New Roman" w:cs="Times New Roman"/>
          <w:color w:val="000000"/>
          <w:sz w:val="24"/>
          <w:szCs w:val="24"/>
          <w:lang w:eastAsia="es-AR"/>
        </w:rPr>
        <w:lastRenderedPageBreak/>
        <w:t xml:space="preserve">se comienza a vislumbrar que el “juego didáctico” propuesto no suele privilegiar el trabajo intelectual de los alumnos, sino que les reclama esencialmente el cumplimiento de las tareas indicadas (lecturas, respuesta a preguntas durante la clase o completamiento de consignas de trabajo, resolución de ejercicios, etc.) y se toman sus respuestas con sentido evaluativo, más que como indicios de su esfuerzo de comprensión. Los estudiantes participan implícitamente de estas reglas de juego, y asumen de manera natural un lugar de dependencia con relación al docente y al conocimiento; confluyen así en </w:t>
      </w:r>
      <w:r w:rsidRPr="00750D40">
        <w:rPr>
          <w:rFonts w:ascii="Times New Roman" w:eastAsia="Times New Roman" w:hAnsi="Times New Roman" w:cs="Times New Roman"/>
          <w:color w:val="000000"/>
          <w:sz w:val="24"/>
          <w:szCs w:val="24"/>
          <w:shd w:val="clear" w:color="auto" w:fill="FFFFFF"/>
          <w:lang w:eastAsia="es-AR"/>
        </w:rPr>
        <w:t>el reforzamiento de la idea transmisiva y de las posiciones tradicionales respecto del conocimiento. </w:t>
      </w:r>
    </w:p>
    <w:p w14:paraId="756D6ECB"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shd w:val="clear" w:color="auto" w:fill="FFFFFF"/>
          <w:lang w:eastAsia="es-AR"/>
        </w:rPr>
        <w:t>La posición que el sujeto adopta en relación con el trabajo intelectual es un aspecto central de los procesos que estamos considerando. Tomamos d</w:t>
      </w:r>
      <w:r w:rsidRPr="00750D40">
        <w:rPr>
          <w:rFonts w:ascii="Times New Roman" w:eastAsia="Times New Roman" w:hAnsi="Times New Roman" w:cs="Times New Roman"/>
          <w:color w:val="000000"/>
          <w:sz w:val="24"/>
          <w:szCs w:val="24"/>
          <w:lang w:eastAsia="es-AR"/>
        </w:rPr>
        <w:t>e Charlot (2006) la idea de “relación con el saber” como una relación con el aprender, "que implica al mismo tiempo una relación consigo mismo, con los otros y con el mundo". Aun sin profundizar en toda su complejidad, el concepto nos ayuda a comprender mejor de qué modos los y las estudiantes se aproximan al objeto de conocimiento: los deseos que los movilizan, la posibilidad de construir sentidos, la profundidad o superficialidad con que los abordan, etcétera. Para Charlot (2015), el desafío central para favorecer el tipo de relación con el saber que el estudiante universitario ne</w:t>
      </w:r>
      <w:r w:rsidRPr="00750D40">
        <w:rPr>
          <w:rFonts w:ascii="Times New Roman" w:eastAsia="Times New Roman" w:hAnsi="Times New Roman" w:cs="Times New Roman"/>
          <w:color w:val="000000"/>
          <w:sz w:val="24"/>
          <w:szCs w:val="24"/>
          <w:shd w:val="clear" w:color="auto" w:fill="FFFFFF"/>
          <w:lang w:eastAsia="es-AR"/>
        </w:rPr>
        <w:t xml:space="preserve">cesita, consiste en convertir el </w:t>
      </w:r>
      <w:r w:rsidRPr="00750D40">
        <w:rPr>
          <w:rFonts w:ascii="Times New Roman" w:eastAsia="Times New Roman" w:hAnsi="Times New Roman" w:cs="Times New Roman"/>
          <w:i/>
          <w:iCs/>
          <w:color w:val="000000"/>
          <w:sz w:val="24"/>
          <w:szCs w:val="24"/>
          <w:shd w:val="clear" w:color="auto" w:fill="FFFFFF"/>
          <w:lang w:eastAsia="es-AR"/>
        </w:rPr>
        <w:t xml:space="preserve">sujeto empírico </w:t>
      </w:r>
      <w:r w:rsidRPr="00750D40">
        <w:rPr>
          <w:rFonts w:ascii="Times New Roman" w:eastAsia="Times New Roman" w:hAnsi="Times New Roman" w:cs="Times New Roman"/>
          <w:color w:val="000000"/>
          <w:sz w:val="24"/>
          <w:szCs w:val="24"/>
          <w:shd w:val="clear" w:color="auto" w:fill="FFFFFF"/>
          <w:lang w:eastAsia="es-AR"/>
        </w:rPr>
        <w:t xml:space="preserve">en </w:t>
      </w:r>
      <w:r w:rsidRPr="00750D40">
        <w:rPr>
          <w:rFonts w:ascii="Times New Roman" w:eastAsia="Times New Roman" w:hAnsi="Times New Roman" w:cs="Times New Roman"/>
          <w:i/>
          <w:iCs/>
          <w:color w:val="000000"/>
          <w:sz w:val="24"/>
          <w:szCs w:val="24"/>
          <w:shd w:val="clear" w:color="auto" w:fill="FFFFFF"/>
          <w:lang w:eastAsia="es-AR"/>
        </w:rPr>
        <w:t>sujeto epistémico</w:t>
      </w:r>
      <w:r w:rsidRPr="00750D40">
        <w:rPr>
          <w:rFonts w:ascii="Times New Roman" w:eastAsia="Times New Roman" w:hAnsi="Times New Roman" w:cs="Times New Roman"/>
          <w:color w:val="000000"/>
          <w:sz w:val="24"/>
          <w:szCs w:val="24"/>
          <w:shd w:val="clear" w:color="auto" w:fill="FFFFFF"/>
          <w:lang w:eastAsia="es-AR"/>
        </w:rPr>
        <w:t>, es decir en alguien capaz de responder no desde su cúmulo de saberes y experiencias de la vida cotidiana sino desde la argumentación, desde la objetivación, desde el distanciamiento de la vida cotidiana. El autor propone: “La ecuación pedagógica fundamental es simple: aprender es igual a actividad intelectual más sentido, más placer. Si no hay actividad intelectual no se aprende; si no hay un sentido relacionado con la escuela -o con la universidad- no se aprende.” (Charlot, 2015: 43) Cuando no se encuentra sentido no se produce la movilización necesaria para hacer el esfuerzo que implica la tarea de aprender.</w:t>
      </w:r>
    </w:p>
    <w:p w14:paraId="02404FBF" w14:textId="77777777" w:rsidR="00750D40" w:rsidRPr="00750D40" w:rsidRDefault="00750D40" w:rsidP="00750D40">
      <w:pPr>
        <w:shd w:val="clear" w:color="auto" w:fill="FFFFFF"/>
        <w:spacing w:after="24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shd w:val="clear" w:color="auto" w:fill="FFFFFF"/>
          <w:lang w:eastAsia="es-AR"/>
        </w:rPr>
        <w:t>Un resultado interesante de sus investigaciones refiere a cómo los estudiantes secundarios se perciben a sí mismos en relación con el aprendizaje:</w:t>
      </w:r>
    </w:p>
    <w:p w14:paraId="783FF85F" w14:textId="77777777" w:rsidR="00750D40" w:rsidRPr="00750D40" w:rsidRDefault="00750D40" w:rsidP="00750D40">
      <w:pPr>
        <w:shd w:val="clear" w:color="auto" w:fill="FFFFFF"/>
        <w:spacing w:before="240" w:after="240" w:line="240" w:lineRule="auto"/>
        <w:ind w:left="720"/>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shd w:val="clear" w:color="auto" w:fill="FFFFFF"/>
          <w:lang w:eastAsia="es-AR"/>
        </w:rPr>
        <w:t> "En la lógica de los alumnos, quien es activo en el aprendizaje no es el alumno, es el profesor. Y si el profesor es muy bueno, cuando él enseña "sus palabras entran directamente en mi cabeza"; ese es el ideal epistemológico y pedagógico del alumno más frecuente. La profesora habla, el alumno escucha, en la escuela se debe "escuchar", sus palabras entran directamente en la cabeza del alumno. (....) Probablemente el primer trabajo que tenemos que hacer es encontrar la forma de cómo ellos pueden entender que el trabajo del estudiante no es escuchar al profesor, el trabajo del estudiante es estudiar y el profesor es uno de los recursos -entre varios recursos- para estudiar.” (Charlot, 2015:56)</w:t>
      </w:r>
    </w:p>
    <w:p w14:paraId="4928583D" w14:textId="77777777" w:rsidR="00750D40" w:rsidRPr="00750D40" w:rsidRDefault="00750D40" w:rsidP="00750D40">
      <w:pPr>
        <w:shd w:val="clear" w:color="auto" w:fill="FFFFFF"/>
        <w:spacing w:before="240"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Este análisis resulta productivo para comenzar a poner en cuestión el modelo transmisivo de enseñanza y problematizar las explicaciones lineales que ubican las dificultades en los alumnos. En este acercamiento, resulta relevante para los docentes advertir que la postura que ellos adoptan en relación con el objeto de conocimiento incide sobre el modo de presentarlo a los alumnos y, en consecuencia, sobre el aprendizaje. Sostenemos la hipótesis de que existe cierta correspondencia entre una perspectiva naturalista o </w:t>
      </w:r>
      <w:r w:rsidRPr="00750D40">
        <w:rPr>
          <w:rFonts w:ascii="Times New Roman" w:eastAsia="Times New Roman" w:hAnsi="Times New Roman" w:cs="Times New Roman"/>
          <w:color w:val="000000"/>
          <w:sz w:val="24"/>
          <w:szCs w:val="24"/>
          <w:lang w:eastAsia="es-AR"/>
        </w:rPr>
        <w:lastRenderedPageBreak/>
        <w:t>positivista acerca del conocimiento, una idea transmisiva de la enseñanza y una concepción del lenguaje como instrumento dotado de transparencia, que representa conceptualmente el mundo. Desde esa perspectiva el discurso del saber es concebido como unívoco y no admitiría ser reinterpretado por los alumnos. Entendemos que estas cuestiones intervienen al considerar la posibilidad de darles la palabra durante el trabajo en clase. </w:t>
      </w:r>
    </w:p>
    <w:p w14:paraId="2BCDF327"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Pensar en el conocimiento como construcción provisoria, tomar en cuenta los procesos que dieron origen a la constitución del campo y a su configuración conceptual, favorece que los profesores puedan admitir interpretaciones distintas de las científicamente aceptadas en la actualidad y habilita al alumno a situarse en el lugar de sujeto que reflexiona o conjetura acerca de lo que está intentando comprender. La construcción de una posición de autonomía frente al conocimiento depende en buena parte de ello.</w:t>
      </w:r>
    </w:p>
    <w:p w14:paraId="16F5F497" w14:textId="61620084" w:rsidR="00750D40" w:rsidRDefault="00750D40" w:rsidP="00750D40">
      <w:pPr>
        <w:shd w:val="clear" w:color="auto" w:fill="FFFFFF"/>
        <w:spacing w:after="0" w:line="240" w:lineRule="auto"/>
        <w:rPr>
          <w:rFonts w:ascii="Times New Roman" w:eastAsia="Times New Roman" w:hAnsi="Times New Roman" w:cs="Times New Roman"/>
          <w:color w:val="000000"/>
          <w:sz w:val="24"/>
          <w:szCs w:val="24"/>
          <w:lang w:eastAsia="es-AR"/>
        </w:rPr>
      </w:pPr>
      <w:r w:rsidRPr="00750D40">
        <w:rPr>
          <w:rFonts w:ascii="Times New Roman" w:eastAsia="Times New Roman" w:hAnsi="Times New Roman" w:cs="Times New Roman"/>
          <w:color w:val="000000"/>
          <w:sz w:val="24"/>
          <w:szCs w:val="24"/>
          <w:lang w:eastAsia="es-AR"/>
        </w:rPr>
        <w:t>Como recurso que promueve la reflexión reconocemos una gran potencialidad al análisis de registros de situaciones de clase y de intervenciones didácticas orientadas a poner en circulación dentro de la clase el conocimiento que aportan los alumnos. Esto permite que también los docentes se vean a sí mismos como productores de conocimiento, no como reproductores de porciones de saber disciplinar o como ejecutantes de un libreto didáctico.</w:t>
      </w:r>
    </w:p>
    <w:p w14:paraId="07BAC037"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p>
    <w:p w14:paraId="74B4FB07"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b/>
          <w:bCs/>
          <w:color w:val="000000"/>
          <w:sz w:val="24"/>
          <w:szCs w:val="24"/>
          <w:lang w:eastAsia="es-AR"/>
        </w:rPr>
        <w:t>Lenguaje y construcción de conocimientos</w:t>
      </w:r>
    </w:p>
    <w:p w14:paraId="5E0F21E5"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Proponemos trabajar sobre la lectura y la escritura como un asunto que atañe a la enseñanza, y del que los docentes y la institución necesitan hacerse cargo porque, de lo contrario -y como ya sabemos-, si dejamos que los estudiantes </w:t>
      </w:r>
      <w:r w:rsidRPr="00750D40">
        <w:rPr>
          <w:rFonts w:ascii="Times New Roman" w:eastAsia="Times New Roman" w:hAnsi="Times New Roman" w:cs="Times New Roman"/>
          <w:i/>
          <w:iCs/>
          <w:color w:val="000000"/>
          <w:sz w:val="24"/>
          <w:szCs w:val="24"/>
          <w:lang w:eastAsia="es-AR"/>
        </w:rPr>
        <w:t>se arreglen solos</w:t>
      </w:r>
      <w:r w:rsidRPr="00750D40">
        <w:rPr>
          <w:rFonts w:ascii="Times New Roman" w:eastAsia="Times New Roman" w:hAnsi="Times New Roman" w:cs="Times New Roman"/>
          <w:color w:val="000000"/>
          <w:sz w:val="24"/>
          <w:szCs w:val="24"/>
          <w:lang w:eastAsia="es-AR"/>
        </w:rPr>
        <w:t xml:space="preserve"> contribuimos a afianzar las desigualdades preexistentes y a acentuar la exclusión. Hacemos foco en la necesidad de acompañar a los y las estudiantes ingresantes en la apropiación de las prácticas del lenguaje propias de los modos de construcción de conocimientos en los distintos campos disciplinares.</w:t>
      </w:r>
    </w:p>
    <w:p w14:paraId="05942CD4" w14:textId="77777777" w:rsidR="00750D40" w:rsidRPr="00750D40" w:rsidRDefault="00750D40" w:rsidP="00750D40">
      <w:pPr>
        <w:shd w:val="clear" w:color="auto" w:fill="FFFFFF"/>
        <w:spacing w:after="0"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 xml:space="preserve">Estudiar requiere poner en marcha prácticas específicas de lenguaje oral y escrito. En cualquiera de las áreas disciplinares, la búsqueda y selección de material pertinente, la indagación de los autores relevantes, la consulta a expertos, la jerarquización y organización de la información obtenida, su profundización con el fin de comprender sus aspectos centrales y el esfuerzo por retenerlos en la memoria, su reformulación en un formato comunicable, entre otras muchas tareas, forman parte de un proceso en el que las situaciones de lectura y de escritura, así como los intercambios orales, se suceden y combinan entre sí permanentemente y de múltiples maneras. Estos modos de usar el lenguaje son específicos del contexto académico e implican esfuerzos intelectuales diferentes de los que se ponen en práctica en otros contextos, por lo que no es esperable que los alumnos tengan reales oportunidades de adquirirlos por fuera de las situaciones en las que resultan necesarios. El estatus de hablante/interlocutor oportuno y eficaz, y de lector/escritor autónomo, asiduo y crítico (componentes de la imagen ideal de estudiante autónomo) no es homogéneo ni universal, y se alcanza a través de la participación en situaciones concretas de enseñanza y aprendizaje propias de cada disciplina. Sostenemos que es necesario incluir intencionada y sistemáticamente en la propuesta de enseñanza, situaciones de lectura, escritura, oralidad, reflexión y discusión que les permitan a los </w:t>
      </w:r>
      <w:r w:rsidRPr="00750D40">
        <w:rPr>
          <w:rFonts w:ascii="Times New Roman" w:eastAsia="Times New Roman" w:hAnsi="Times New Roman" w:cs="Times New Roman"/>
          <w:color w:val="000000"/>
          <w:sz w:val="24"/>
          <w:szCs w:val="24"/>
          <w:lang w:eastAsia="es-AR"/>
        </w:rPr>
        <w:lastRenderedPageBreak/>
        <w:t>alumnos ser progresivamente más capaces de resolver por su cuenta los problemas que se enfrentan al profundizar en el conocimiento de un tema.</w:t>
      </w:r>
    </w:p>
    <w:p w14:paraId="2088844E" w14:textId="77777777" w:rsidR="00750D40" w:rsidRPr="00750D40" w:rsidRDefault="00750D40" w:rsidP="00750D40">
      <w:pPr>
        <w:shd w:val="clear" w:color="auto" w:fill="FFFFFF"/>
        <w:spacing w:line="240" w:lineRule="auto"/>
        <w:rPr>
          <w:rFonts w:ascii="Times New Roman" w:eastAsia="Times New Roman" w:hAnsi="Times New Roman" w:cs="Times New Roman"/>
          <w:sz w:val="24"/>
          <w:szCs w:val="24"/>
          <w:lang w:eastAsia="es-AR"/>
        </w:rPr>
      </w:pPr>
      <w:r w:rsidRPr="00750D40">
        <w:rPr>
          <w:rFonts w:ascii="Times New Roman" w:eastAsia="Times New Roman" w:hAnsi="Times New Roman" w:cs="Times New Roman"/>
          <w:color w:val="000000"/>
          <w:sz w:val="24"/>
          <w:szCs w:val="24"/>
          <w:lang w:eastAsia="es-AR"/>
        </w:rPr>
        <w:t>La reflexión compartida acerca de los procesos de lectura y escritura involucrados en la construcción de conocimientos, pone en primer plano la interpretación y la elaboración de significados; hace posible para los docentes revisar los modos de proponer en la clase el trabajo con los textos y la posibilidad de utilizar la escritura no únicamente como instrumento de evaluación sino al servicio del pensamiento y de la comprensión. En ese marco compartimos el acercamiento a un concepto del lenguaje como práctica social y a sus especificidades en el ámbito académico. Profundizamos en las condiciones que es necesario generar en el aula para que la lectura y la escritura tengan verdaderas oportunidades de constituirse en herramientas epistémicas, y analizamos el funcionamiento de algunas propuestas dentro del aula como las guías, la elaboración de consignas, las escrituras de trabajo, la reorganización de la información con el propósito de comunicar oralmente, entre otros. </w:t>
      </w:r>
    </w:p>
    <w:p w14:paraId="4399AC39" w14:textId="7CB7DAEB" w:rsidR="00750D40" w:rsidRDefault="00750D40" w:rsidP="007B5B5F">
      <w:pPr>
        <w:spacing w:line="240" w:lineRule="auto"/>
        <w:rPr>
          <w:rFonts w:ascii="Times New Roman" w:hAnsi="Times New Roman" w:cs="Times New Roman"/>
        </w:rPr>
      </w:pPr>
    </w:p>
    <w:p w14:paraId="12CE0BCB" w14:textId="7970E75D"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544B704F" w14:textId="44A4F449" w:rsidR="00BC236F" w:rsidRPr="00750D40" w:rsidRDefault="00750D40" w:rsidP="007B5B5F">
      <w:pPr>
        <w:spacing w:line="240" w:lineRule="auto"/>
        <w:rPr>
          <w:rFonts w:ascii="Times New Roman" w:hAnsi="Times New Roman" w:cs="Times New Roman"/>
          <w:sz w:val="24"/>
          <w:szCs w:val="24"/>
        </w:rPr>
      </w:pPr>
      <w:r w:rsidRPr="00750D40">
        <w:rPr>
          <w:rFonts w:ascii="Times New Roman" w:hAnsi="Times New Roman" w:cs="Times New Roman"/>
          <w:color w:val="000000"/>
          <w:sz w:val="24"/>
          <w:szCs w:val="24"/>
        </w:rPr>
        <w:t xml:space="preserve">Como enunciamos al inicio de este escrito, el equipo de Pedagogía Universitaria ha sostenido de manera continua un modelo de trabajo horizontal con los colegas docentes de los dos niveles, proponiendo el análisis crítico e informado de problemas vinculados con la enseñanza y el aprendizaje, y favoreciendo el diseño de propuestas de acción directas. Sin </w:t>
      </w:r>
      <w:r w:rsidRPr="00750D40">
        <w:rPr>
          <w:rFonts w:ascii="Times New Roman" w:hAnsi="Times New Roman" w:cs="Times New Roman"/>
          <w:color w:val="000000"/>
          <w:sz w:val="24"/>
          <w:szCs w:val="24"/>
        </w:rPr>
        <w:t>embargo,</w:t>
      </w:r>
      <w:r w:rsidRPr="00750D40">
        <w:rPr>
          <w:rFonts w:ascii="Times New Roman" w:hAnsi="Times New Roman" w:cs="Times New Roman"/>
          <w:color w:val="000000"/>
          <w:sz w:val="24"/>
          <w:szCs w:val="24"/>
        </w:rPr>
        <w:t xml:space="preserve"> aún creemos que el intento no tiene el alcance necesario, sino que apenas abre una rendija que necesita afianzarse y agrandarse. Aun cuando estos esfuerzos son reconocidos como muy valiosos y con cierta efectividad -por las instituciones y las personas participantes- sabemos que la construcción de las condiciones que identificamos como necesarias requiere tomar decisiones e intervenir a mayor escala, así como producir más conocimiento pedagógico y didáctico específico para el nivel superior. En particular señalamos la importancia de avanzar en la investigación sobre la potencialidad de distintas situaciones de enseñanza disciplinar, y el modo en que consiguen favorecer la construcción de conocimientos por parte de los estudiantes; esta producción constituye, además, un aporte imprescindible para la formación pedagógica de los docentes de las distintas áreas. En este punto se plantea un desafío que no es nuevo, pero que en estos días enfrenta enormes obstáculos, como las drásticas restricciones presupuestarias y la tendencia a minimizar la centralidad del trabajo pedagógico -reflexivo, presencial, colaborativo entre colegas-, a abreviar la duración y la intensidad de los procesos y a reemplazar ciertos aspectos del trabajo humano por propuestas artificiales y generativas. </w:t>
      </w:r>
    </w:p>
    <w:p w14:paraId="48E6CFE0" w14:textId="77777777" w:rsidR="00750D40" w:rsidRPr="00BA642E" w:rsidRDefault="00750D40" w:rsidP="007B5B5F">
      <w:pPr>
        <w:spacing w:line="240" w:lineRule="auto"/>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755691B8"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Briscioli</w:t>
      </w:r>
      <w:proofErr w:type="spellEnd"/>
      <w:r w:rsidRPr="001E0483">
        <w:rPr>
          <w:rFonts w:ascii="Times New Roman" w:eastAsia="Times New Roman" w:hAnsi="Times New Roman" w:cs="Times New Roman"/>
          <w:color w:val="000000"/>
          <w:sz w:val="24"/>
          <w:szCs w:val="24"/>
          <w:lang w:eastAsia="es-AR"/>
        </w:rPr>
        <w:t xml:space="preserve">, B. (2017). Aportes para la construcción conceptual de las “trayectorias escolares” </w:t>
      </w:r>
      <w:r w:rsidRPr="001E0483">
        <w:rPr>
          <w:rFonts w:ascii="Times New Roman" w:eastAsia="Times New Roman" w:hAnsi="Times New Roman" w:cs="Times New Roman"/>
          <w:i/>
          <w:iCs/>
          <w:color w:val="000000"/>
          <w:sz w:val="24"/>
          <w:szCs w:val="24"/>
          <w:lang w:eastAsia="es-AR"/>
        </w:rPr>
        <w:t>Actualidades Investigativas en Educación</w:t>
      </w:r>
      <w:r w:rsidRPr="001E0483">
        <w:rPr>
          <w:rFonts w:ascii="Times New Roman" w:eastAsia="Times New Roman" w:hAnsi="Times New Roman" w:cs="Times New Roman"/>
          <w:color w:val="000000"/>
          <w:sz w:val="24"/>
          <w:szCs w:val="24"/>
          <w:lang w:eastAsia="es-AR"/>
        </w:rPr>
        <w:t xml:space="preserve">. Vol. 17, Número 3pp. 1-30 DOI: </w:t>
      </w:r>
      <w:hyperlink r:id="rId8" w:history="1">
        <w:r w:rsidRPr="001E0483">
          <w:rPr>
            <w:rFonts w:ascii="Times New Roman" w:eastAsia="Times New Roman" w:hAnsi="Times New Roman" w:cs="Times New Roman"/>
            <w:color w:val="1155CC"/>
            <w:sz w:val="24"/>
            <w:szCs w:val="24"/>
            <w:u w:val="single"/>
            <w:lang w:eastAsia="es-AR"/>
          </w:rPr>
          <w:t>https://doi.org/10.15517/aie.v17i3.30212 </w:t>
        </w:r>
      </w:hyperlink>
    </w:p>
    <w:p w14:paraId="15212C91"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Benvegnú</w:t>
      </w:r>
      <w:proofErr w:type="spellEnd"/>
      <w:r w:rsidRPr="001E0483">
        <w:rPr>
          <w:rFonts w:ascii="Times New Roman" w:eastAsia="Times New Roman" w:hAnsi="Times New Roman" w:cs="Times New Roman"/>
          <w:color w:val="000000"/>
          <w:sz w:val="24"/>
          <w:szCs w:val="24"/>
          <w:lang w:eastAsia="es-AR"/>
        </w:rPr>
        <w:t xml:space="preserve"> M.A (2023). Aportes para repensar las prácticas (des) igualitarias de enseñanza en la universidad. En </w:t>
      </w:r>
      <w:proofErr w:type="spellStart"/>
      <w:r w:rsidRPr="001E0483">
        <w:rPr>
          <w:rFonts w:ascii="Times New Roman" w:eastAsia="Times New Roman" w:hAnsi="Times New Roman" w:cs="Times New Roman"/>
          <w:color w:val="000000"/>
          <w:sz w:val="24"/>
          <w:szCs w:val="24"/>
          <w:lang w:eastAsia="es-AR"/>
        </w:rPr>
        <w:t>Biber</w:t>
      </w:r>
      <w:proofErr w:type="spellEnd"/>
      <w:r w:rsidRPr="001E0483">
        <w:rPr>
          <w:rFonts w:ascii="Times New Roman" w:eastAsia="Times New Roman" w:hAnsi="Times New Roman" w:cs="Times New Roman"/>
          <w:color w:val="000000"/>
          <w:sz w:val="24"/>
          <w:szCs w:val="24"/>
          <w:lang w:eastAsia="es-AR"/>
        </w:rPr>
        <w:t xml:space="preserve">, De </w:t>
      </w:r>
      <w:proofErr w:type="spellStart"/>
      <w:r w:rsidRPr="001E0483">
        <w:rPr>
          <w:rFonts w:ascii="Times New Roman" w:eastAsia="Times New Roman" w:hAnsi="Times New Roman" w:cs="Times New Roman"/>
          <w:color w:val="000000"/>
          <w:sz w:val="24"/>
          <w:szCs w:val="24"/>
          <w:lang w:eastAsia="es-AR"/>
        </w:rPr>
        <w:t>Pauw</w:t>
      </w:r>
      <w:proofErr w:type="spellEnd"/>
      <w:r w:rsidRPr="001E0483">
        <w:rPr>
          <w:rFonts w:ascii="Times New Roman" w:eastAsia="Times New Roman" w:hAnsi="Times New Roman" w:cs="Times New Roman"/>
          <w:color w:val="000000"/>
          <w:sz w:val="24"/>
          <w:szCs w:val="24"/>
          <w:lang w:eastAsia="es-AR"/>
        </w:rPr>
        <w:t xml:space="preserve">, Pasquale y </w:t>
      </w:r>
      <w:proofErr w:type="spellStart"/>
      <w:r w:rsidRPr="001E0483">
        <w:rPr>
          <w:rFonts w:ascii="Times New Roman" w:eastAsia="Times New Roman" w:hAnsi="Times New Roman" w:cs="Times New Roman"/>
          <w:color w:val="000000"/>
          <w:sz w:val="24"/>
          <w:szCs w:val="24"/>
          <w:lang w:eastAsia="es-AR"/>
        </w:rPr>
        <w:t>Pasqualini</w:t>
      </w:r>
      <w:proofErr w:type="spellEnd"/>
      <w:r w:rsidRPr="001E0483">
        <w:rPr>
          <w:rFonts w:ascii="Times New Roman" w:eastAsia="Times New Roman" w:hAnsi="Times New Roman" w:cs="Times New Roman"/>
          <w:color w:val="000000"/>
          <w:sz w:val="24"/>
          <w:szCs w:val="24"/>
          <w:lang w:eastAsia="es-AR"/>
        </w:rPr>
        <w:t xml:space="preserve">, y (Comp.) </w:t>
      </w:r>
      <w:r w:rsidRPr="001E0483">
        <w:rPr>
          <w:rFonts w:ascii="Times New Roman" w:eastAsia="Times New Roman" w:hAnsi="Times New Roman" w:cs="Times New Roman"/>
          <w:i/>
          <w:iCs/>
          <w:color w:val="000000"/>
          <w:sz w:val="24"/>
          <w:szCs w:val="24"/>
          <w:lang w:eastAsia="es-AR"/>
        </w:rPr>
        <w:t xml:space="preserve">La educación </w:t>
      </w:r>
      <w:r w:rsidRPr="001E0483">
        <w:rPr>
          <w:rFonts w:ascii="Times New Roman" w:eastAsia="Times New Roman" w:hAnsi="Times New Roman" w:cs="Times New Roman"/>
          <w:i/>
          <w:iCs/>
          <w:color w:val="000000"/>
          <w:sz w:val="24"/>
          <w:szCs w:val="24"/>
          <w:lang w:eastAsia="es-AR"/>
        </w:rPr>
        <w:lastRenderedPageBreak/>
        <w:t>superior como derecho: sentidos, prácticas y apuestas para una agenda de ingreso y permanencia en las Universidades Públicas.</w:t>
      </w:r>
      <w:r w:rsidRPr="001E0483">
        <w:rPr>
          <w:rFonts w:ascii="Times New Roman" w:eastAsia="Times New Roman" w:hAnsi="Times New Roman" w:cs="Times New Roman"/>
          <w:color w:val="000000"/>
          <w:sz w:val="24"/>
          <w:szCs w:val="24"/>
          <w:lang w:eastAsia="es-AR"/>
        </w:rPr>
        <w:t xml:space="preserve"> Universidad Nacional de San Luis.</w:t>
      </w:r>
    </w:p>
    <w:p w14:paraId="34B77FBB"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Benvegnú</w:t>
      </w:r>
      <w:proofErr w:type="spellEnd"/>
      <w:r w:rsidRPr="001E0483">
        <w:rPr>
          <w:rFonts w:ascii="Times New Roman" w:eastAsia="Times New Roman" w:hAnsi="Times New Roman" w:cs="Times New Roman"/>
          <w:color w:val="000000"/>
          <w:sz w:val="24"/>
          <w:szCs w:val="24"/>
          <w:lang w:eastAsia="es-AR"/>
        </w:rPr>
        <w:t xml:space="preserve"> M.A. y </w:t>
      </w:r>
      <w:proofErr w:type="spellStart"/>
      <w:r w:rsidRPr="001E0483">
        <w:rPr>
          <w:rFonts w:ascii="Times New Roman" w:eastAsia="Times New Roman" w:hAnsi="Times New Roman" w:cs="Times New Roman"/>
          <w:color w:val="000000"/>
          <w:sz w:val="24"/>
          <w:szCs w:val="24"/>
          <w:lang w:eastAsia="es-AR"/>
        </w:rPr>
        <w:t>Goldenstein</w:t>
      </w:r>
      <w:proofErr w:type="spellEnd"/>
      <w:r w:rsidRPr="001E0483">
        <w:rPr>
          <w:rFonts w:ascii="Times New Roman" w:eastAsia="Times New Roman" w:hAnsi="Times New Roman" w:cs="Times New Roman"/>
          <w:color w:val="000000"/>
          <w:sz w:val="24"/>
          <w:szCs w:val="24"/>
          <w:lang w:eastAsia="es-AR"/>
        </w:rPr>
        <w:t xml:space="preserve"> </w:t>
      </w:r>
      <w:proofErr w:type="spellStart"/>
      <w:r w:rsidRPr="001E0483">
        <w:rPr>
          <w:rFonts w:ascii="Times New Roman" w:eastAsia="Times New Roman" w:hAnsi="Times New Roman" w:cs="Times New Roman"/>
          <w:color w:val="000000"/>
          <w:sz w:val="24"/>
          <w:szCs w:val="24"/>
          <w:lang w:eastAsia="es-AR"/>
        </w:rPr>
        <w:t>Jalif</w:t>
      </w:r>
      <w:proofErr w:type="spellEnd"/>
      <w:r w:rsidRPr="001E0483">
        <w:rPr>
          <w:rFonts w:ascii="Times New Roman" w:eastAsia="Times New Roman" w:hAnsi="Times New Roman" w:cs="Times New Roman"/>
          <w:color w:val="000000"/>
          <w:sz w:val="24"/>
          <w:szCs w:val="24"/>
          <w:lang w:eastAsia="es-AR"/>
        </w:rPr>
        <w:t xml:space="preserve"> Y. (2024). “No sabe la alegría que tengo. No pensaba llegar a este momento. El ingreso a la universidad. Miradas y experiencias” Análisis de las Prácticas- </w:t>
      </w:r>
      <w:proofErr w:type="spellStart"/>
      <w:r w:rsidRPr="001E0483">
        <w:rPr>
          <w:rFonts w:ascii="Times New Roman" w:eastAsia="Times New Roman" w:hAnsi="Times New Roman" w:cs="Times New Roman"/>
          <w:color w:val="000000"/>
          <w:sz w:val="24"/>
          <w:szCs w:val="24"/>
          <w:lang w:eastAsia="es-AR"/>
        </w:rPr>
        <w:t>UNIPe</w:t>
      </w:r>
      <w:proofErr w:type="spellEnd"/>
      <w:r w:rsidRPr="001E0483">
        <w:rPr>
          <w:rFonts w:ascii="Times New Roman" w:eastAsia="Times New Roman" w:hAnsi="Times New Roman" w:cs="Times New Roman"/>
          <w:color w:val="000000"/>
          <w:sz w:val="24"/>
          <w:szCs w:val="24"/>
          <w:lang w:eastAsia="es-AR"/>
        </w:rPr>
        <w:t>-</w:t>
      </w:r>
    </w:p>
    <w:p w14:paraId="7EAC0697"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Benvegnú</w:t>
      </w:r>
      <w:proofErr w:type="spellEnd"/>
      <w:r w:rsidRPr="001E0483">
        <w:rPr>
          <w:rFonts w:ascii="Times New Roman" w:eastAsia="Times New Roman" w:hAnsi="Times New Roman" w:cs="Times New Roman"/>
          <w:color w:val="000000"/>
          <w:sz w:val="24"/>
          <w:szCs w:val="24"/>
          <w:lang w:eastAsia="es-AR"/>
        </w:rPr>
        <w:t xml:space="preserve"> M. A. y Lerner D. (2026). Enseñanza, diversidad y (des)igualdad ante el conocimiento. En Castorina y </w:t>
      </w:r>
      <w:proofErr w:type="spellStart"/>
      <w:r w:rsidRPr="001E0483">
        <w:rPr>
          <w:rFonts w:ascii="Times New Roman" w:eastAsia="Times New Roman" w:hAnsi="Times New Roman" w:cs="Times New Roman"/>
          <w:color w:val="000000"/>
          <w:sz w:val="24"/>
          <w:szCs w:val="24"/>
          <w:lang w:eastAsia="es-AR"/>
        </w:rPr>
        <w:t>Sadovsky</w:t>
      </w:r>
      <w:proofErr w:type="spellEnd"/>
      <w:r w:rsidRPr="001E0483">
        <w:rPr>
          <w:rFonts w:ascii="Times New Roman" w:eastAsia="Times New Roman" w:hAnsi="Times New Roman" w:cs="Times New Roman"/>
          <w:color w:val="000000"/>
          <w:sz w:val="24"/>
          <w:szCs w:val="24"/>
          <w:lang w:eastAsia="es-AR"/>
        </w:rPr>
        <w:t xml:space="preserve"> (</w:t>
      </w:r>
      <w:proofErr w:type="spellStart"/>
      <w:r w:rsidRPr="001E0483">
        <w:rPr>
          <w:rFonts w:ascii="Times New Roman" w:eastAsia="Times New Roman" w:hAnsi="Times New Roman" w:cs="Times New Roman"/>
          <w:color w:val="000000"/>
          <w:sz w:val="24"/>
          <w:szCs w:val="24"/>
          <w:lang w:eastAsia="es-AR"/>
        </w:rPr>
        <w:t>comp.</w:t>
      </w:r>
      <w:proofErr w:type="spellEnd"/>
      <w:r w:rsidRPr="001E0483">
        <w:rPr>
          <w:rFonts w:ascii="Times New Roman" w:eastAsia="Times New Roman" w:hAnsi="Times New Roman" w:cs="Times New Roman"/>
          <w:color w:val="000000"/>
          <w:sz w:val="24"/>
          <w:szCs w:val="24"/>
          <w:lang w:eastAsia="es-AR"/>
        </w:rPr>
        <w:t xml:space="preserve">) </w:t>
      </w:r>
      <w:r w:rsidRPr="001E0483">
        <w:rPr>
          <w:rFonts w:ascii="Times New Roman" w:eastAsia="Times New Roman" w:hAnsi="Times New Roman" w:cs="Times New Roman"/>
          <w:i/>
          <w:iCs/>
          <w:color w:val="000000"/>
          <w:sz w:val="24"/>
          <w:szCs w:val="24"/>
          <w:lang w:eastAsia="es-AR"/>
        </w:rPr>
        <w:t>Desigualdad y conocimiento en las prácticas educativas. Debate desde diferentes perspectivas disciplinares.</w:t>
      </w:r>
      <w:r w:rsidRPr="001E0483">
        <w:rPr>
          <w:rFonts w:ascii="Times New Roman" w:eastAsia="Times New Roman" w:hAnsi="Times New Roman" w:cs="Times New Roman"/>
          <w:color w:val="000000"/>
          <w:sz w:val="24"/>
          <w:szCs w:val="24"/>
          <w:lang w:eastAsia="es-AR"/>
        </w:rPr>
        <w:t xml:space="preserve"> </w:t>
      </w:r>
      <w:proofErr w:type="spellStart"/>
      <w:proofErr w:type="gramStart"/>
      <w:r w:rsidRPr="001E0483">
        <w:rPr>
          <w:rFonts w:ascii="Times New Roman" w:eastAsia="Times New Roman" w:hAnsi="Times New Roman" w:cs="Times New Roman"/>
          <w:color w:val="000000"/>
          <w:sz w:val="24"/>
          <w:szCs w:val="24"/>
          <w:lang w:eastAsia="es-AR"/>
        </w:rPr>
        <w:t>Ed.UNIPe</w:t>
      </w:r>
      <w:proofErr w:type="spellEnd"/>
      <w:proofErr w:type="gramEnd"/>
    </w:p>
    <w:p w14:paraId="30B000D6" w14:textId="6C7D3B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lang w:eastAsia="es-AR"/>
        </w:rPr>
        <w:t xml:space="preserve">Casco (2009). Afiliación intelectual y prácticas comunicativas de los ingresantes a la universidad” en </w:t>
      </w:r>
      <w:proofErr w:type="spellStart"/>
      <w:r w:rsidRPr="001E0483">
        <w:rPr>
          <w:rFonts w:ascii="Times New Roman" w:eastAsia="Times New Roman" w:hAnsi="Times New Roman" w:cs="Times New Roman"/>
          <w:color w:val="000000"/>
          <w:sz w:val="24"/>
          <w:szCs w:val="24"/>
          <w:lang w:eastAsia="es-AR"/>
        </w:rPr>
        <w:t>Co-herencia</w:t>
      </w:r>
      <w:proofErr w:type="spellEnd"/>
      <w:r w:rsidRPr="001E0483">
        <w:rPr>
          <w:rFonts w:ascii="Times New Roman" w:eastAsia="Times New Roman" w:hAnsi="Times New Roman" w:cs="Times New Roman"/>
          <w:color w:val="000000"/>
          <w:sz w:val="24"/>
          <w:szCs w:val="24"/>
          <w:lang w:eastAsia="es-AR"/>
        </w:rPr>
        <w:t xml:space="preserve">, vol. 6, núm. 11, julio-diciembre, 2009, pp. 233-260 Universidad EAFIT Medellín, Colombia. Disponible en: </w:t>
      </w:r>
      <w:hyperlink r:id="rId9" w:history="1">
        <w:r w:rsidRPr="001E0483">
          <w:rPr>
            <w:rFonts w:ascii="Times New Roman" w:eastAsia="Times New Roman" w:hAnsi="Times New Roman" w:cs="Times New Roman"/>
            <w:color w:val="1155CC"/>
            <w:sz w:val="24"/>
            <w:szCs w:val="24"/>
            <w:u w:val="single"/>
            <w:lang w:eastAsia="es-AR"/>
          </w:rPr>
          <w:t>https://www.redalyc.org/pdf/774/77413098013.pdf</w:t>
        </w:r>
      </w:hyperlink>
    </w:p>
    <w:p w14:paraId="6B1CD3AD"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Carlino</w:t>
      </w:r>
      <w:proofErr w:type="spellEnd"/>
      <w:r w:rsidRPr="001E0483">
        <w:rPr>
          <w:rFonts w:ascii="Times New Roman" w:eastAsia="Times New Roman" w:hAnsi="Times New Roman" w:cs="Times New Roman"/>
          <w:color w:val="000000"/>
          <w:sz w:val="24"/>
          <w:szCs w:val="24"/>
          <w:lang w:eastAsia="es-AR"/>
        </w:rPr>
        <w:t xml:space="preserve">, P. (2013). Alfabetización académica 10 años después en </w:t>
      </w:r>
      <w:r w:rsidRPr="001E0483">
        <w:rPr>
          <w:rFonts w:ascii="Times New Roman" w:eastAsia="Times New Roman" w:hAnsi="Times New Roman" w:cs="Times New Roman"/>
          <w:i/>
          <w:iCs/>
          <w:color w:val="000000"/>
          <w:sz w:val="24"/>
          <w:szCs w:val="24"/>
          <w:lang w:eastAsia="es-AR"/>
        </w:rPr>
        <w:t>Revista Mexicana de Investigación Educativa</w:t>
      </w:r>
      <w:r w:rsidRPr="001E0483">
        <w:rPr>
          <w:rFonts w:ascii="Times New Roman" w:eastAsia="Times New Roman" w:hAnsi="Times New Roman" w:cs="Times New Roman"/>
          <w:color w:val="000000"/>
          <w:sz w:val="24"/>
          <w:szCs w:val="24"/>
          <w:lang w:eastAsia="es-AR"/>
        </w:rPr>
        <w:t xml:space="preserve"> Vol. 18, NÚM. 57, PP. 355- 381 </w:t>
      </w:r>
    </w:p>
    <w:p w14:paraId="4BF18E0E"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Coulon</w:t>
      </w:r>
      <w:proofErr w:type="spellEnd"/>
      <w:r w:rsidRPr="001E0483">
        <w:rPr>
          <w:rFonts w:ascii="Times New Roman" w:eastAsia="Times New Roman" w:hAnsi="Times New Roman" w:cs="Times New Roman"/>
          <w:color w:val="000000"/>
          <w:sz w:val="24"/>
          <w:szCs w:val="24"/>
          <w:lang w:eastAsia="es-AR"/>
        </w:rPr>
        <w:t xml:space="preserve">, A (1995). Perspectivas interaccionistas en el campo de la educación en </w:t>
      </w:r>
      <w:r w:rsidRPr="001E0483">
        <w:rPr>
          <w:rFonts w:ascii="Times New Roman" w:eastAsia="Times New Roman" w:hAnsi="Times New Roman" w:cs="Times New Roman"/>
          <w:i/>
          <w:iCs/>
          <w:color w:val="000000"/>
          <w:sz w:val="24"/>
          <w:szCs w:val="24"/>
          <w:lang w:eastAsia="es-AR"/>
        </w:rPr>
        <w:t>Etnometodología y educación.</w:t>
      </w:r>
      <w:r w:rsidRPr="001E0483">
        <w:rPr>
          <w:rFonts w:ascii="Times New Roman" w:eastAsia="Times New Roman" w:hAnsi="Times New Roman" w:cs="Times New Roman"/>
          <w:color w:val="000000"/>
          <w:sz w:val="24"/>
          <w:szCs w:val="24"/>
          <w:lang w:eastAsia="es-AR"/>
        </w:rPr>
        <w:t xml:space="preserve"> Barcelona: Paidós</w:t>
      </w:r>
    </w:p>
    <w:p w14:paraId="0CE392D2"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shd w:val="clear" w:color="auto" w:fill="FFFFFF"/>
          <w:lang w:eastAsia="es-AR"/>
        </w:rPr>
        <w:t xml:space="preserve">Charlot, B. (2006). </w:t>
      </w:r>
      <w:r w:rsidRPr="001E0483">
        <w:rPr>
          <w:rFonts w:ascii="Times New Roman" w:eastAsia="Times New Roman" w:hAnsi="Times New Roman" w:cs="Times New Roman"/>
          <w:i/>
          <w:iCs/>
          <w:color w:val="000000"/>
          <w:sz w:val="24"/>
          <w:szCs w:val="24"/>
          <w:shd w:val="clear" w:color="auto" w:fill="FFFFFF"/>
          <w:lang w:eastAsia="es-AR"/>
        </w:rPr>
        <w:t>La relación con el saber. Elementos para una teoría</w:t>
      </w:r>
      <w:r w:rsidRPr="001E0483">
        <w:rPr>
          <w:rFonts w:ascii="Times New Roman" w:eastAsia="Times New Roman" w:hAnsi="Times New Roman" w:cs="Times New Roman"/>
          <w:color w:val="000000"/>
          <w:sz w:val="24"/>
          <w:szCs w:val="24"/>
          <w:shd w:val="clear" w:color="auto" w:fill="FFFFFF"/>
          <w:lang w:eastAsia="es-AR"/>
        </w:rPr>
        <w:t>. Libros del Zorzal.</w:t>
      </w:r>
      <w:r w:rsidRPr="001E0483">
        <w:rPr>
          <w:rFonts w:ascii="Arial" w:eastAsia="Times New Roman" w:hAnsi="Arial" w:cs="Arial"/>
          <w:color w:val="474747"/>
          <w:sz w:val="24"/>
          <w:szCs w:val="24"/>
          <w:shd w:val="clear" w:color="auto" w:fill="FFFFFF"/>
          <w:lang w:eastAsia="es-AR"/>
        </w:rPr>
        <w:t xml:space="preserve"> </w:t>
      </w:r>
      <w:r w:rsidRPr="001E0483">
        <w:rPr>
          <w:rFonts w:ascii="Times New Roman" w:eastAsia="Times New Roman" w:hAnsi="Times New Roman" w:cs="Times New Roman"/>
          <w:color w:val="000000"/>
          <w:sz w:val="24"/>
          <w:szCs w:val="24"/>
          <w:shd w:val="clear" w:color="auto" w:fill="FFFFFF"/>
          <w:lang w:eastAsia="es-AR"/>
        </w:rPr>
        <w:t> </w:t>
      </w:r>
    </w:p>
    <w:p w14:paraId="11842CB4"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shd w:val="clear" w:color="auto" w:fill="FFFFFF"/>
          <w:lang w:eastAsia="es-AR"/>
        </w:rPr>
        <w:t xml:space="preserve">Charlot, B. (2015). La relación con el saber de los alumnos y de los estudiantes En: </w:t>
      </w:r>
      <w:proofErr w:type="spellStart"/>
      <w:r w:rsidRPr="001E0483">
        <w:rPr>
          <w:rFonts w:ascii="Times New Roman" w:eastAsia="Times New Roman" w:hAnsi="Times New Roman" w:cs="Times New Roman"/>
          <w:color w:val="000000"/>
          <w:sz w:val="24"/>
          <w:szCs w:val="24"/>
          <w:shd w:val="clear" w:color="auto" w:fill="FFFFFF"/>
          <w:lang w:eastAsia="es-AR"/>
        </w:rPr>
        <w:t>Benvegnú</w:t>
      </w:r>
      <w:proofErr w:type="spellEnd"/>
      <w:r w:rsidRPr="001E0483">
        <w:rPr>
          <w:rFonts w:ascii="Times New Roman" w:eastAsia="Times New Roman" w:hAnsi="Times New Roman" w:cs="Times New Roman"/>
          <w:color w:val="000000"/>
          <w:sz w:val="24"/>
          <w:szCs w:val="24"/>
          <w:shd w:val="clear" w:color="auto" w:fill="FFFFFF"/>
          <w:lang w:eastAsia="es-AR"/>
        </w:rPr>
        <w:t xml:space="preserve"> (</w:t>
      </w:r>
      <w:proofErr w:type="spellStart"/>
      <w:r w:rsidRPr="001E0483">
        <w:rPr>
          <w:rFonts w:ascii="Times New Roman" w:eastAsia="Times New Roman" w:hAnsi="Times New Roman" w:cs="Times New Roman"/>
          <w:color w:val="000000"/>
          <w:sz w:val="24"/>
          <w:szCs w:val="24"/>
          <w:shd w:val="clear" w:color="auto" w:fill="FFFFFF"/>
          <w:lang w:eastAsia="es-AR"/>
        </w:rPr>
        <w:t>comp.</w:t>
      </w:r>
      <w:proofErr w:type="spellEnd"/>
      <w:r w:rsidRPr="001E0483">
        <w:rPr>
          <w:rFonts w:ascii="Times New Roman" w:eastAsia="Times New Roman" w:hAnsi="Times New Roman" w:cs="Times New Roman"/>
          <w:color w:val="000000"/>
          <w:sz w:val="24"/>
          <w:szCs w:val="24"/>
          <w:shd w:val="clear" w:color="auto" w:fill="FFFFFF"/>
          <w:lang w:eastAsia="es-AR"/>
        </w:rPr>
        <w:t xml:space="preserve">) Ingreso Universitario. Políticas y estrategias para la inclusión: nuevas complejidades, nuevas respuestas. </w:t>
      </w:r>
      <w:proofErr w:type="spellStart"/>
      <w:r w:rsidRPr="001E0483">
        <w:rPr>
          <w:rFonts w:ascii="Times New Roman" w:eastAsia="Times New Roman" w:hAnsi="Times New Roman" w:cs="Times New Roman"/>
          <w:color w:val="000000"/>
          <w:sz w:val="24"/>
          <w:szCs w:val="24"/>
          <w:shd w:val="clear" w:color="auto" w:fill="FFFFFF"/>
          <w:lang w:eastAsia="es-AR"/>
        </w:rPr>
        <w:t>Edunlu</w:t>
      </w:r>
      <w:proofErr w:type="spellEnd"/>
      <w:r w:rsidRPr="001E0483">
        <w:rPr>
          <w:rFonts w:ascii="Times New Roman" w:eastAsia="Times New Roman" w:hAnsi="Times New Roman" w:cs="Times New Roman"/>
          <w:color w:val="000000"/>
          <w:sz w:val="24"/>
          <w:szCs w:val="24"/>
          <w:shd w:val="clear" w:color="auto" w:fill="FFFFFF"/>
          <w:lang w:eastAsia="es-AR"/>
        </w:rPr>
        <w:t>.</w:t>
      </w:r>
    </w:p>
    <w:p w14:paraId="16B3A187"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shd w:val="clear" w:color="auto" w:fill="FFFFFF"/>
          <w:lang w:eastAsia="es-AR"/>
        </w:rPr>
        <w:t>Gentili, P. (2009). Marchas y contramarchas: el derecho a la educación y las dinámicas de exclusión incluyente en América Latina (a sesenta años de la Declaración Universal de los Derechos Humanos).</w:t>
      </w:r>
      <w:r w:rsidRPr="001E0483">
        <w:rPr>
          <w:rFonts w:ascii="Times New Roman" w:eastAsia="Times New Roman" w:hAnsi="Times New Roman" w:cs="Times New Roman"/>
          <w:i/>
          <w:iCs/>
          <w:color w:val="000000"/>
          <w:sz w:val="24"/>
          <w:szCs w:val="24"/>
          <w:shd w:val="clear" w:color="auto" w:fill="FFFFFF"/>
          <w:lang w:eastAsia="es-AR"/>
        </w:rPr>
        <w:t xml:space="preserve"> Revista Iberoamericana de Educación</w:t>
      </w:r>
      <w:r w:rsidRPr="001E0483">
        <w:rPr>
          <w:rFonts w:ascii="Times New Roman" w:eastAsia="Times New Roman" w:hAnsi="Times New Roman" w:cs="Times New Roman"/>
          <w:color w:val="000000"/>
          <w:sz w:val="24"/>
          <w:szCs w:val="24"/>
          <w:shd w:val="clear" w:color="auto" w:fill="FFFFFF"/>
          <w:lang w:eastAsia="es-AR"/>
        </w:rPr>
        <w:t xml:space="preserve">, </w:t>
      </w:r>
      <w:proofErr w:type="spellStart"/>
      <w:r w:rsidRPr="001E0483">
        <w:rPr>
          <w:rFonts w:ascii="Times New Roman" w:eastAsia="Times New Roman" w:hAnsi="Times New Roman" w:cs="Times New Roman"/>
          <w:color w:val="000000"/>
          <w:sz w:val="24"/>
          <w:szCs w:val="24"/>
          <w:shd w:val="clear" w:color="auto" w:fill="FFFFFF"/>
          <w:lang w:eastAsia="es-AR"/>
        </w:rPr>
        <w:t>nº</w:t>
      </w:r>
      <w:proofErr w:type="spellEnd"/>
      <w:r w:rsidRPr="001E0483">
        <w:rPr>
          <w:rFonts w:ascii="Times New Roman" w:eastAsia="Times New Roman" w:hAnsi="Times New Roman" w:cs="Times New Roman"/>
          <w:color w:val="000000"/>
          <w:sz w:val="24"/>
          <w:szCs w:val="24"/>
          <w:shd w:val="clear" w:color="auto" w:fill="FFFFFF"/>
          <w:lang w:eastAsia="es-AR"/>
        </w:rPr>
        <w:t xml:space="preserve"> 49, pp. 19-57. </w:t>
      </w:r>
    </w:p>
    <w:p w14:paraId="04486B00"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lang w:eastAsia="es-AR"/>
        </w:rPr>
        <w:t xml:space="preserve">Ezcurra, A. M. (2011). </w:t>
      </w:r>
      <w:r w:rsidRPr="001E0483">
        <w:rPr>
          <w:rFonts w:ascii="Times New Roman" w:eastAsia="Times New Roman" w:hAnsi="Times New Roman" w:cs="Times New Roman"/>
          <w:i/>
          <w:iCs/>
          <w:color w:val="000000"/>
          <w:sz w:val="24"/>
          <w:szCs w:val="24"/>
          <w:lang w:eastAsia="es-AR"/>
        </w:rPr>
        <w:t xml:space="preserve">Igualdad en Educación </w:t>
      </w:r>
      <w:proofErr w:type="gramStart"/>
      <w:r w:rsidRPr="001E0483">
        <w:rPr>
          <w:rFonts w:ascii="Times New Roman" w:eastAsia="Times New Roman" w:hAnsi="Times New Roman" w:cs="Times New Roman"/>
          <w:i/>
          <w:iCs/>
          <w:color w:val="000000"/>
          <w:sz w:val="24"/>
          <w:szCs w:val="24"/>
          <w:lang w:eastAsia="es-AR"/>
        </w:rPr>
        <w:t>Superior :</w:t>
      </w:r>
      <w:proofErr w:type="gramEnd"/>
      <w:r w:rsidRPr="001E0483">
        <w:rPr>
          <w:rFonts w:ascii="Times New Roman" w:eastAsia="Times New Roman" w:hAnsi="Times New Roman" w:cs="Times New Roman"/>
          <w:i/>
          <w:iCs/>
          <w:color w:val="000000"/>
          <w:sz w:val="24"/>
          <w:szCs w:val="24"/>
          <w:lang w:eastAsia="es-AR"/>
        </w:rPr>
        <w:t xml:space="preserve"> Un desafío mundial.</w:t>
      </w:r>
      <w:r w:rsidRPr="001E0483">
        <w:rPr>
          <w:rFonts w:ascii="Times New Roman" w:eastAsia="Times New Roman" w:hAnsi="Times New Roman" w:cs="Times New Roman"/>
          <w:color w:val="000000"/>
          <w:sz w:val="24"/>
          <w:szCs w:val="24"/>
          <w:lang w:eastAsia="es-AR"/>
        </w:rPr>
        <w:t xml:space="preserve"> Los Polvorines: Universidad Nacional de General Sarmiento </w:t>
      </w:r>
    </w:p>
    <w:p w14:paraId="693D7FE4"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lang w:eastAsia="es-AR"/>
        </w:rPr>
        <w:t xml:space="preserve">Ortega, F. (2008). </w:t>
      </w:r>
      <w:r w:rsidRPr="001E0483">
        <w:rPr>
          <w:rFonts w:ascii="Times New Roman" w:eastAsia="Times New Roman" w:hAnsi="Times New Roman" w:cs="Times New Roman"/>
          <w:i/>
          <w:iCs/>
          <w:color w:val="000000"/>
          <w:sz w:val="24"/>
          <w:szCs w:val="24"/>
          <w:lang w:eastAsia="es-AR"/>
        </w:rPr>
        <w:t>Atajos. Saberes escolares y estrategias de evasión.</w:t>
      </w:r>
      <w:r w:rsidRPr="001E0483">
        <w:rPr>
          <w:rFonts w:ascii="Times New Roman" w:eastAsia="Times New Roman" w:hAnsi="Times New Roman" w:cs="Times New Roman"/>
          <w:color w:val="000000"/>
          <w:sz w:val="24"/>
          <w:szCs w:val="24"/>
          <w:lang w:eastAsia="es-AR"/>
        </w:rPr>
        <w:t xml:space="preserve"> Miño y Dávila.</w:t>
      </w:r>
    </w:p>
    <w:p w14:paraId="77604410"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lang w:eastAsia="es-AR"/>
        </w:rPr>
        <w:t>Ortega, F. (2011) Docencia y evasión del conocimiento. En Ortega, F. (</w:t>
      </w:r>
      <w:proofErr w:type="spellStart"/>
      <w:r w:rsidRPr="001E0483">
        <w:rPr>
          <w:rFonts w:ascii="Times New Roman" w:eastAsia="Times New Roman" w:hAnsi="Times New Roman" w:cs="Times New Roman"/>
          <w:color w:val="000000"/>
          <w:sz w:val="24"/>
          <w:szCs w:val="24"/>
          <w:lang w:eastAsia="es-AR"/>
        </w:rPr>
        <w:t>comp.</w:t>
      </w:r>
      <w:proofErr w:type="spellEnd"/>
      <w:r w:rsidRPr="001E0483">
        <w:rPr>
          <w:rFonts w:ascii="Times New Roman" w:eastAsia="Times New Roman" w:hAnsi="Times New Roman" w:cs="Times New Roman"/>
          <w:color w:val="000000"/>
          <w:sz w:val="24"/>
          <w:szCs w:val="24"/>
          <w:lang w:eastAsia="es-AR"/>
        </w:rPr>
        <w:t xml:space="preserve">) </w:t>
      </w:r>
      <w:r w:rsidRPr="001E0483">
        <w:rPr>
          <w:rFonts w:ascii="Times New Roman" w:eastAsia="Times New Roman" w:hAnsi="Times New Roman" w:cs="Times New Roman"/>
          <w:i/>
          <w:iCs/>
          <w:color w:val="000000"/>
          <w:sz w:val="24"/>
          <w:szCs w:val="24"/>
          <w:lang w:eastAsia="es-AR"/>
        </w:rPr>
        <w:t>Ingreso a la Universidad. Relación con el conocimiento y construcción de subjetividades.</w:t>
      </w:r>
      <w:r w:rsidRPr="001E0483">
        <w:rPr>
          <w:rFonts w:ascii="Times New Roman" w:eastAsia="Times New Roman" w:hAnsi="Times New Roman" w:cs="Times New Roman"/>
          <w:color w:val="000000"/>
          <w:sz w:val="24"/>
          <w:szCs w:val="24"/>
          <w:lang w:eastAsia="es-AR"/>
        </w:rPr>
        <w:t xml:space="preserve"> Ferreyra Editor.</w:t>
      </w:r>
    </w:p>
    <w:p w14:paraId="43200BC7"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shd w:val="clear" w:color="auto" w:fill="FFFFFF"/>
          <w:lang w:eastAsia="es-AR"/>
        </w:rPr>
        <w:t>Paparini</w:t>
      </w:r>
      <w:proofErr w:type="spellEnd"/>
      <w:r w:rsidRPr="001E0483">
        <w:rPr>
          <w:rFonts w:ascii="Times New Roman" w:eastAsia="Times New Roman" w:hAnsi="Times New Roman" w:cs="Times New Roman"/>
          <w:color w:val="000000"/>
          <w:sz w:val="24"/>
          <w:szCs w:val="24"/>
          <w:shd w:val="clear" w:color="auto" w:fill="FFFFFF"/>
          <w:lang w:eastAsia="es-AR"/>
        </w:rPr>
        <w:t xml:space="preserve">, C. H. (2019). Derecho a la educación superior. </w:t>
      </w:r>
      <w:r w:rsidRPr="001E0483">
        <w:rPr>
          <w:rFonts w:ascii="Times New Roman" w:eastAsia="Times New Roman" w:hAnsi="Times New Roman" w:cs="Times New Roman"/>
          <w:i/>
          <w:iCs/>
          <w:color w:val="000000"/>
          <w:sz w:val="24"/>
          <w:szCs w:val="24"/>
          <w:shd w:val="clear" w:color="auto" w:fill="FFFFFF"/>
          <w:lang w:eastAsia="es-AR"/>
        </w:rPr>
        <w:t>Trayectorias Universitarias</w:t>
      </w:r>
      <w:r w:rsidRPr="001E0483">
        <w:rPr>
          <w:rFonts w:ascii="Times New Roman" w:eastAsia="Times New Roman" w:hAnsi="Times New Roman" w:cs="Times New Roman"/>
          <w:color w:val="000000"/>
          <w:sz w:val="24"/>
          <w:szCs w:val="24"/>
          <w:shd w:val="clear" w:color="auto" w:fill="FFFFFF"/>
          <w:lang w:eastAsia="es-AR"/>
        </w:rPr>
        <w:t xml:space="preserve">, </w:t>
      </w:r>
      <w:r w:rsidRPr="001E0483">
        <w:rPr>
          <w:rFonts w:ascii="Times New Roman" w:eastAsia="Times New Roman" w:hAnsi="Times New Roman" w:cs="Times New Roman"/>
          <w:i/>
          <w:iCs/>
          <w:color w:val="000000"/>
          <w:sz w:val="24"/>
          <w:szCs w:val="24"/>
          <w:shd w:val="clear" w:color="auto" w:fill="FFFFFF"/>
          <w:lang w:eastAsia="es-AR"/>
        </w:rPr>
        <w:t>5</w:t>
      </w:r>
      <w:r w:rsidRPr="001E0483">
        <w:rPr>
          <w:rFonts w:ascii="Times New Roman" w:eastAsia="Times New Roman" w:hAnsi="Times New Roman" w:cs="Times New Roman"/>
          <w:color w:val="000000"/>
          <w:sz w:val="24"/>
          <w:szCs w:val="24"/>
          <w:shd w:val="clear" w:color="auto" w:fill="FFFFFF"/>
          <w:lang w:eastAsia="es-AR"/>
        </w:rPr>
        <w:t xml:space="preserve">(9), 011. </w:t>
      </w:r>
      <w:hyperlink r:id="rId10" w:history="1">
        <w:r w:rsidRPr="001E0483">
          <w:rPr>
            <w:rFonts w:ascii="Times New Roman" w:eastAsia="Times New Roman" w:hAnsi="Times New Roman" w:cs="Times New Roman"/>
            <w:color w:val="1155CC"/>
            <w:sz w:val="24"/>
            <w:szCs w:val="24"/>
            <w:u w:val="single"/>
            <w:shd w:val="clear" w:color="auto" w:fill="FFFFFF"/>
            <w:lang w:eastAsia="es-AR"/>
          </w:rPr>
          <w:t>https://doi.org/10.24215/24690090e011</w:t>
        </w:r>
        <w:r w:rsidRPr="001E0483">
          <w:rPr>
            <w:rFonts w:ascii="Times New Roman" w:eastAsia="Times New Roman" w:hAnsi="Times New Roman" w:cs="Times New Roman"/>
            <w:color w:val="1155CC"/>
            <w:sz w:val="24"/>
            <w:szCs w:val="24"/>
            <w:u w:val="single"/>
            <w:lang w:eastAsia="es-AR"/>
          </w:rPr>
          <w:t> </w:t>
        </w:r>
      </w:hyperlink>
    </w:p>
    <w:p w14:paraId="3F70B5C6"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Pierella</w:t>
      </w:r>
      <w:proofErr w:type="spellEnd"/>
      <w:r w:rsidRPr="001E0483">
        <w:rPr>
          <w:rFonts w:ascii="Times New Roman" w:eastAsia="Times New Roman" w:hAnsi="Times New Roman" w:cs="Times New Roman"/>
          <w:color w:val="000000"/>
          <w:sz w:val="24"/>
          <w:szCs w:val="24"/>
          <w:lang w:eastAsia="es-AR"/>
        </w:rPr>
        <w:t xml:space="preserve">, P. (2014) El ingreso a la universidad pública: diversificación de la experiencia estudiantil y procesos de afiliación a la vida institucional. </w:t>
      </w:r>
      <w:r w:rsidRPr="001E0483">
        <w:rPr>
          <w:rFonts w:ascii="Times New Roman" w:eastAsia="Times New Roman" w:hAnsi="Times New Roman" w:cs="Times New Roman"/>
          <w:i/>
          <w:iCs/>
          <w:color w:val="000000"/>
          <w:sz w:val="24"/>
          <w:szCs w:val="24"/>
          <w:lang w:eastAsia="es-AR"/>
        </w:rPr>
        <w:t>Universidades</w:t>
      </w:r>
      <w:r w:rsidRPr="001E0483">
        <w:rPr>
          <w:rFonts w:ascii="Times New Roman" w:eastAsia="Times New Roman" w:hAnsi="Times New Roman" w:cs="Times New Roman"/>
          <w:color w:val="000000"/>
          <w:sz w:val="24"/>
          <w:szCs w:val="24"/>
          <w:lang w:eastAsia="es-AR"/>
        </w:rPr>
        <w:t xml:space="preserve">, N. 60, abril-junio, 2014, pp. 51-62 Unión de Universidades de América Latina y el Caribe Distrito Federal, </w:t>
      </w:r>
      <w:proofErr w:type="spellStart"/>
      <w:r w:rsidRPr="001E0483">
        <w:rPr>
          <w:rFonts w:ascii="Times New Roman" w:eastAsia="Times New Roman" w:hAnsi="Times New Roman" w:cs="Times New Roman"/>
          <w:color w:val="000000"/>
          <w:sz w:val="24"/>
          <w:szCs w:val="24"/>
          <w:lang w:eastAsia="es-AR"/>
        </w:rPr>
        <w:t>Org</w:t>
      </w:r>
      <w:proofErr w:type="spellEnd"/>
      <w:r w:rsidRPr="001E0483">
        <w:rPr>
          <w:rFonts w:ascii="Times New Roman" w:eastAsia="Times New Roman" w:hAnsi="Times New Roman" w:cs="Times New Roman"/>
          <w:color w:val="000000"/>
          <w:sz w:val="24"/>
          <w:szCs w:val="24"/>
          <w:lang w:eastAsia="es-AR"/>
        </w:rPr>
        <w:t xml:space="preserve">.  Internacional. Disponible en: </w:t>
      </w:r>
      <w:hyperlink r:id="rId11" w:history="1">
        <w:r w:rsidRPr="001E0483">
          <w:rPr>
            <w:rFonts w:ascii="Times New Roman" w:eastAsia="Times New Roman" w:hAnsi="Times New Roman" w:cs="Times New Roman"/>
            <w:color w:val="1155CC"/>
            <w:sz w:val="24"/>
            <w:szCs w:val="24"/>
            <w:u w:val="single"/>
            <w:lang w:eastAsia="es-AR"/>
          </w:rPr>
          <w:t>http://www.redalyc.org/articulo.oa?id=37333038006</w:t>
        </w:r>
      </w:hyperlink>
      <w:r w:rsidRPr="001E0483">
        <w:rPr>
          <w:rFonts w:ascii="Times New Roman" w:eastAsia="Times New Roman" w:hAnsi="Times New Roman" w:cs="Times New Roman"/>
          <w:color w:val="000000"/>
          <w:sz w:val="24"/>
          <w:szCs w:val="24"/>
          <w:lang w:eastAsia="es-AR"/>
        </w:rPr>
        <w:t> </w:t>
      </w:r>
    </w:p>
    <w:p w14:paraId="61FA36A8"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proofErr w:type="spellStart"/>
      <w:r w:rsidRPr="001E0483">
        <w:rPr>
          <w:rFonts w:ascii="Times New Roman" w:eastAsia="Times New Roman" w:hAnsi="Times New Roman" w:cs="Times New Roman"/>
          <w:color w:val="000000"/>
          <w:sz w:val="24"/>
          <w:szCs w:val="24"/>
          <w:lang w:eastAsia="es-AR"/>
        </w:rPr>
        <w:t>Tarabini</w:t>
      </w:r>
      <w:proofErr w:type="spellEnd"/>
      <w:r w:rsidRPr="001E0483">
        <w:rPr>
          <w:rFonts w:ascii="Times New Roman" w:eastAsia="Times New Roman" w:hAnsi="Times New Roman" w:cs="Times New Roman"/>
          <w:color w:val="000000"/>
          <w:sz w:val="24"/>
          <w:szCs w:val="24"/>
          <w:lang w:eastAsia="es-AR"/>
        </w:rPr>
        <w:t xml:space="preserve">, A., Marta Curran, M. y </w:t>
      </w:r>
      <w:proofErr w:type="spellStart"/>
      <w:r w:rsidRPr="001E0483">
        <w:rPr>
          <w:rFonts w:ascii="Times New Roman" w:eastAsia="Times New Roman" w:hAnsi="Times New Roman" w:cs="Times New Roman"/>
          <w:color w:val="000000"/>
          <w:sz w:val="24"/>
          <w:szCs w:val="24"/>
          <w:lang w:eastAsia="es-AR"/>
        </w:rPr>
        <w:t>Fontdevila</w:t>
      </w:r>
      <w:proofErr w:type="spellEnd"/>
      <w:r w:rsidRPr="001E0483">
        <w:rPr>
          <w:rFonts w:ascii="Times New Roman" w:eastAsia="Times New Roman" w:hAnsi="Times New Roman" w:cs="Times New Roman"/>
          <w:color w:val="000000"/>
          <w:sz w:val="24"/>
          <w:szCs w:val="24"/>
          <w:lang w:eastAsia="es-AR"/>
        </w:rPr>
        <w:t xml:space="preserve">, C. (2015): El </w:t>
      </w:r>
      <w:proofErr w:type="spellStart"/>
      <w:r w:rsidRPr="001E0483">
        <w:rPr>
          <w:rFonts w:ascii="Times New Roman" w:eastAsia="Times New Roman" w:hAnsi="Times New Roman" w:cs="Times New Roman"/>
          <w:color w:val="000000"/>
          <w:sz w:val="24"/>
          <w:szCs w:val="24"/>
          <w:lang w:eastAsia="es-AR"/>
        </w:rPr>
        <w:t>habitus</w:t>
      </w:r>
      <w:proofErr w:type="spellEnd"/>
      <w:r w:rsidRPr="001E0483">
        <w:rPr>
          <w:rFonts w:ascii="Times New Roman" w:eastAsia="Times New Roman" w:hAnsi="Times New Roman" w:cs="Times New Roman"/>
          <w:color w:val="000000"/>
          <w:sz w:val="24"/>
          <w:szCs w:val="24"/>
          <w:lang w:eastAsia="es-AR"/>
        </w:rPr>
        <w:t xml:space="preserve"> institucional: una herramienta teórica y metodológica para el estudio de la cultura escolar en </w:t>
      </w:r>
      <w:r w:rsidRPr="001E0483">
        <w:rPr>
          <w:rFonts w:ascii="Times New Roman" w:eastAsia="Times New Roman" w:hAnsi="Times New Roman" w:cs="Times New Roman"/>
          <w:i/>
          <w:iCs/>
          <w:color w:val="000000"/>
          <w:sz w:val="24"/>
          <w:szCs w:val="24"/>
          <w:lang w:eastAsia="es-AR"/>
        </w:rPr>
        <w:t xml:space="preserve">Revista </w:t>
      </w:r>
      <w:proofErr w:type="gramStart"/>
      <w:r w:rsidRPr="001E0483">
        <w:rPr>
          <w:rFonts w:ascii="Times New Roman" w:eastAsia="Times New Roman" w:hAnsi="Times New Roman" w:cs="Times New Roman"/>
          <w:i/>
          <w:iCs/>
          <w:color w:val="000000"/>
          <w:sz w:val="24"/>
          <w:szCs w:val="24"/>
          <w:lang w:eastAsia="es-AR"/>
        </w:rPr>
        <w:t xml:space="preserve">TEMPORA </w:t>
      </w:r>
      <w:r w:rsidRPr="001E0483">
        <w:rPr>
          <w:rFonts w:ascii="Times New Roman" w:eastAsia="Times New Roman" w:hAnsi="Times New Roman" w:cs="Times New Roman"/>
          <w:color w:val="000000"/>
          <w:sz w:val="24"/>
          <w:szCs w:val="24"/>
          <w:lang w:eastAsia="es-AR"/>
        </w:rPr>
        <w:t> N</w:t>
      </w:r>
      <w:proofErr w:type="gramEnd"/>
      <w:r w:rsidRPr="001E0483">
        <w:rPr>
          <w:rFonts w:ascii="Times New Roman" w:eastAsia="Times New Roman" w:hAnsi="Times New Roman" w:cs="Times New Roman"/>
          <w:color w:val="000000"/>
          <w:sz w:val="24"/>
          <w:szCs w:val="24"/>
          <w:lang w:eastAsia="es-AR"/>
        </w:rPr>
        <w:t xml:space="preserve"> 18 </w:t>
      </w:r>
      <w:proofErr w:type="spellStart"/>
      <w:r w:rsidRPr="001E0483">
        <w:rPr>
          <w:rFonts w:ascii="Times New Roman" w:eastAsia="Times New Roman" w:hAnsi="Times New Roman" w:cs="Times New Roman"/>
          <w:color w:val="000000"/>
          <w:sz w:val="24"/>
          <w:szCs w:val="24"/>
          <w:lang w:eastAsia="es-AR"/>
        </w:rPr>
        <w:t>pp</w:t>
      </w:r>
      <w:proofErr w:type="spellEnd"/>
      <w:r w:rsidRPr="001E0483">
        <w:rPr>
          <w:rFonts w:ascii="Times New Roman" w:eastAsia="Times New Roman" w:hAnsi="Times New Roman" w:cs="Times New Roman"/>
          <w:color w:val="000000"/>
          <w:sz w:val="24"/>
          <w:szCs w:val="24"/>
          <w:lang w:eastAsia="es-AR"/>
        </w:rPr>
        <w:t xml:space="preserve"> 37-58. En: </w:t>
      </w:r>
      <w:hyperlink r:id="rId12" w:history="1">
        <w:r w:rsidRPr="001E0483">
          <w:rPr>
            <w:rFonts w:ascii="Times New Roman" w:eastAsia="Times New Roman" w:hAnsi="Times New Roman" w:cs="Times New Roman"/>
            <w:color w:val="1155CC"/>
            <w:sz w:val="24"/>
            <w:szCs w:val="24"/>
            <w:u w:val="single"/>
            <w:lang w:eastAsia="es-AR"/>
          </w:rPr>
          <w:t>https://riull.ull.es/xmlui/handle/915/4728</w:t>
        </w:r>
      </w:hyperlink>
      <w:r w:rsidRPr="001E0483">
        <w:rPr>
          <w:rFonts w:ascii="Times New Roman" w:eastAsia="Times New Roman" w:hAnsi="Times New Roman" w:cs="Times New Roman"/>
          <w:color w:val="000000"/>
          <w:sz w:val="24"/>
          <w:szCs w:val="24"/>
          <w:lang w:eastAsia="es-AR"/>
        </w:rPr>
        <w:t> </w:t>
      </w:r>
    </w:p>
    <w:p w14:paraId="570FC10B"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shd w:val="clear" w:color="auto" w:fill="FFFFFF"/>
          <w:lang w:eastAsia="es-AR"/>
        </w:rPr>
        <w:t xml:space="preserve">Terigi, F. (2010) Conferencia “Las cronologías de aprendizaje: un concepto para pensar las trayectorias escolares” -Santa Rosa- La Pampa). </w:t>
      </w:r>
      <w:r w:rsidRPr="001E0483">
        <w:rPr>
          <w:rFonts w:ascii="Times New Roman" w:eastAsia="Times New Roman" w:hAnsi="Times New Roman" w:cs="Times New Roman"/>
          <w:color w:val="000000"/>
          <w:sz w:val="24"/>
          <w:szCs w:val="24"/>
          <w:shd w:val="clear" w:color="auto" w:fill="00FFFF"/>
          <w:lang w:eastAsia="es-AR"/>
        </w:rPr>
        <w:t> </w:t>
      </w:r>
    </w:p>
    <w:p w14:paraId="126DA00F" w14:textId="77777777" w:rsidR="001E0483" w:rsidRPr="001E0483" w:rsidRDefault="001E0483" w:rsidP="001E0483">
      <w:pPr>
        <w:shd w:val="clear" w:color="auto" w:fill="FFFFFF"/>
        <w:spacing w:after="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shd w:val="clear" w:color="auto" w:fill="FFFFFF"/>
          <w:lang w:eastAsia="es-AR"/>
        </w:rPr>
        <w:t xml:space="preserve">Terigi, F. y </w:t>
      </w:r>
      <w:proofErr w:type="spellStart"/>
      <w:r w:rsidRPr="001E0483">
        <w:rPr>
          <w:rFonts w:ascii="Times New Roman" w:eastAsia="Times New Roman" w:hAnsi="Times New Roman" w:cs="Times New Roman"/>
          <w:color w:val="000000"/>
          <w:sz w:val="24"/>
          <w:szCs w:val="24"/>
          <w:shd w:val="clear" w:color="auto" w:fill="FFFFFF"/>
          <w:lang w:eastAsia="es-AR"/>
        </w:rPr>
        <w:t>Briscioli</w:t>
      </w:r>
      <w:proofErr w:type="spellEnd"/>
      <w:r w:rsidRPr="001E0483">
        <w:rPr>
          <w:rFonts w:ascii="Times New Roman" w:eastAsia="Times New Roman" w:hAnsi="Times New Roman" w:cs="Times New Roman"/>
          <w:color w:val="000000"/>
          <w:sz w:val="24"/>
          <w:szCs w:val="24"/>
          <w:shd w:val="clear" w:color="auto" w:fill="FFFFFF"/>
          <w:lang w:eastAsia="es-AR"/>
        </w:rPr>
        <w:t xml:space="preserve">, B. (2020) Investigaciones producidas sobre “trayectorias escolares” en educación secundaria (Argentina, 2003-2016) Montes, N. y </w:t>
      </w:r>
      <w:proofErr w:type="spellStart"/>
      <w:r w:rsidRPr="001E0483">
        <w:rPr>
          <w:rFonts w:ascii="Times New Roman" w:eastAsia="Times New Roman" w:hAnsi="Times New Roman" w:cs="Times New Roman"/>
          <w:color w:val="000000"/>
          <w:sz w:val="24"/>
          <w:szCs w:val="24"/>
          <w:shd w:val="clear" w:color="auto" w:fill="FFFFFF"/>
          <w:lang w:eastAsia="es-AR"/>
        </w:rPr>
        <w:t>Pinkasz</w:t>
      </w:r>
      <w:proofErr w:type="spellEnd"/>
      <w:r w:rsidRPr="001E0483">
        <w:rPr>
          <w:rFonts w:ascii="Times New Roman" w:eastAsia="Times New Roman" w:hAnsi="Times New Roman" w:cs="Times New Roman"/>
          <w:color w:val="000000"/>
          <w:sz w:val="24"/>
          <w:szCs w:val="24"/>
          <w:shd w:val="clear" w:color="auto" w:fill="FFFFFF"/>
          <w:lang w:eastAsia="es-AR"/>
        </w:rPr>
        <w:t>, D. (</w:t>
      </w:r>
      <w:proofErr w:type="spellStart"/>
      <w:r w:rsidRPr="001E0483">
        <w:rPr>
          <w:rFonts w:ascii="Times New Roman" w:eastAsia="Times New Roman" w:hAnsi="Times New Roman" w:cs="Times New Roman"/>
          <w:color w:val="000000"/>
          <w:sz w:val="24"/>
          <w:szCs w:val="24"/>
          <w:shd w:val="clear" w:color="auto" w:fill="FFFFFF"/>
          <w:lang w:eastAsia="es-AR"/>
        </w:rPr>
        <w:t>comps</w:t>
      </w:r>
      <w:proofErr w:type="spellEnd"/>
      <w:r w:rsidRPr="001E0483">
        <w:rPr>
          <w:rFonts w:ascii="Times New Roman" w:eastAsia="Times New Roman" w:hAnsi="Times New Roman" w:cs="Times New Roman"/>
          <w:color w:val="000000"/>
          <w:sz w:val="24"/>
          <w:szCs w:val="24"/>
          <w:shd w:val="clear" w:color="auto" w:fill="FFFFFF"/>
          <w:lang w:eastAsia="es-AR"/>
        </w:rPr>
        <w:t xml:space="preserve">) </w:t>
      </w:r>
      <w:proofErr w:type="gramStart"/>
      <w:r w:rsidRPr="001E0483">
        <w:rPr>
          <w:rFonts w:ascii="Times New Roman" w:eastAsia="Times New Roman" w:hAnsi="Times New Roman" w:cs="Times New Roman"/>
          <w:color w:val="000000"/>
          <w:sz w:val="24"/>
          <w:szCs w:val="24"/>
          <w:shd w:val="clear" w:color="auto" w:fill="FFFFFF"/>
          <w:lang w:eastAsia="es-AR"/>
        </w:rPr>
        <w:lastRenderedPageBreak/>
        <w:t xml:space="preserve">en  </w:t>
      </w:r>
      <w:r w:rsidRPr="001E0483">
        <w:rPr>
          <w:rFonts w:ascii="Times New Roman" w:eastAsia="Times New Roman" w:hAnsi="Times New Roman" w:cs="Times New Roman"/>
          <w:i/>
          <w:iCs/>
          <w:color w:val="000000"/>
          <w:sz w:val="24"/>
          <w:szCs w:val="24"/>
          <w:shd w:val="clear" w:color="auto" w:fill="FFFFFF"/>
          <w:lang w:eastAsia="es-AR"/>
        </w:rPr>
        <w:t>Estados</w:t>
      </w:r>
      <w:proofErr w:type="gramEnd"/>
      <w:r w:rsidRPr="001E0483">
        <w:rPr>
          <w:rFonts w:ascii="Times New Roman" w:eastAsia="Times New Roman" w:hAnsi="Times New Roman" w:cs="Times New Roman"/>
          <w:i/>
          <w:iCs/>
          <w:color w:val="000000"/>
          <w:sz w:val="24"/>
          <w:szCs w:val="24"/>
          <w:shd w:val="clear" w:color="auto" w:fill="FFFFFF"/>
          <w:lang w:eastAsia="es-AR"/>
        </w:rPr>
        <w:t xml:space="preserve"> del arte sobre educación secundaria. La producción académica de los últimos 15 años en torno a tópicos relevantes.</w:t>
      </w:r>
      <w:r w:rsidRPr="001E0483">
        <w:rPr>
          <w:rFonts w:ascii="Times New Roman" w:eastAsia="Times New Roman" w:hAnsi="Times New Roman" w:cs="Times New Roman"/>
          <w:color w:val="000000"/>
          <w:sz w:val="24"/>
          <w:szCs w:val="24"/>
          <w:shd w:val="clear" w:color="auto" w:fill="FFFFFF"/>
          <w:lang w:eastAsia="es-AR"/>
        </w:rPr>
        <w:t xml:space="preserve"> UNGS</w:t>
      </w:r>
    </w:p>
    <w:p w14:paraId="12A229DB" w14:textId="77777777" w:rsidR="001E0483" w:rsidRPr="001E0483" w:rsidRDefault="001E0483" w:rsidP="001E0483">
      <w:pPr>
        <w:shd w:val="clear" w:color="auto" w:fill="FFFFFF"/>
        <w:spacing w:after="240" w:line="240" w:lineRule="auto"/>
        <w:rPr>
          <w:rFonts w:ascii="Times New Roman" w:eastAsia="Times New Roman" w:hAnsi="Times New Roman" w:cs="Times New Roman"/>
          <w:sz w:val="24"/>
          <w:szCs w:val="24"/>
          <w:lang w:eastAsia="es-AR"/>
        </w:rPr>
      </w:pPr>
      <w:r w:rsidRPr="001E0483">
        <w:rPr>
          <w:rFonts w:ascii="Times New Roman" w:eastAsia="Times New Roman" w:hAnsi="Times New Roman" w:cs="Times New Roman"/>
          <w:color w:val="000000"/>
          <w:sz w:val="24"/>
          <w:szCs w:val="24"/>
          <w:lang w:eastAsia="es-AR"/>
        </w:rPr>
        <w:t>Tinto, V. (2021) Conferencia de apertura dictada en el Congreso internacional Ingreso e ingresantes a la universidad. Hacia una comprensión multidimensional de los procesos institucionales y subjetivos implicados en los inicios de los estudios universitarios. Universidad Nacional de Río Negro.</w:t>
      </w:r>
    </w:p>
    <w:p w14:paraId="23CA62C6" w14:textId="77777777" w:rsidR="00C802F5" w:rsidRPr="00BA642E" w:rsidRDefault="00C802F5" w:rsidP="007B5B5F">
      <w:pPr>
        <w:spacing w:line="240" w:lineRule="auto"/>
        <w:rPr>
          <w:rFonts w:ascii="Times New Roman" w:hAnsi="Times New Roman" w:cs="Times New Roman"/>
        </w:rPr>
      </w:pPr>
    </w:p>
    <w:p w14:paraId="7E83515B" w14:textId="073C6B37"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13"/>
      <w:footerReference w:type="defaul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6104A" w14:textId="77777777" w:rsidR="00CA7181" w:rsidRPr="00BA642E" w:rsidRDefault="00CA7181" w:rsidP="00C802F5">
      <w:pPr>
        <w:spacing w:after="0" w:line="240" w:lineRule="auto"/>
      </w:pPr>
      <w:r w:rsidRPr="00BA642E">
        <w:separator/>
      </w:r>
    </w:p>
  </w:endnote>
  <w:endnote w:type="continuationSeparator" w:id="0">
    <w:p w14:paraId="2C166697" w14:textId="77777777" w:rsidR="00CA7181" w:rsidRPr="00BA642E" w:rsidRDefault="00CA718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A7E9" w14:textId="77777777" w:rsidR="00CA7181" w:rsidRPr="00BA642E" w:rsidRDefault="00CA7181" w:rsidP="00C802F5">
      <w:pPr>
        <w:spacing w:after="0" w:line="240" w:lineRule="auto"/>
      </w:pPr>
      <w:r w:rsidRPr="00BA642E">
        <w:separator/>
      </w:r>
    </w:p>
  </w:footnote>
  <w:footnote w:type="continuationSeparator" w:id="0">
    <w:p w14:paraId="58CB097F" w14:textId="77777777" w:rsidR="00CA7181" w:rsidRPr="00BA642E" w:rsidRDefault="00CA718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E0483"/>
    <w:rsid w:val="002327C3"/>
    <w:rsid w:val="00312392"/>
    <w:rsid w:val="004040C0"/>
    <w:rsid w:val="00437E9C"/>
    <w:rsid w:val="005244D7"/>
    <w:rsid w:val="00550766"/>
    <w:rsid w:val="005F3B2E"/>
    <w:rsid w:val="00701F64"/>
    <w:rsid w:val="00750D40"/>
    <w:rsid w:val="007B5B5F"/>
    <w:rsid w:val="007D233B"/>
    <w:rsid w:val="0085070B"/>
    <w:rsid w:val="00A17247"/>
    <w:rsid w:val="00BA642E"/>
    <w:rsid w:val="00BC236F"/>
    <w:rsid w:val="00C802F5"/>
    <w:rsid w:val="00C96B2C"/>
    <w:rsid w:val="00CA7181"/>
    <w:rsid w:val="00CC04C1"/>
    <w:rsid w:val="00D843EC"/>
    <w:rsid w:val="00DD0B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A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D40"/>
  </w:style>
  <w:style w:type="paragraph" w:styleId="Ttulo1">
    <w:name w:val="heading 1"/>
    <w:basedOn w:val="Normal"/>
    <w:next w:val="Normal"/>
    <w:link w:val="Ttulo1Car"/>
    <w:uiPriority w:val="9"/>
    <w:qFormat/>
    <w:rsid w:val="00750D40"/>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750D40"/>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750D40"/>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750D40"/>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750D40"/>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750D40"/>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750D40"/>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750D40"/>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750D40"/>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0D40"/>
    <w:rPr>
      <w:rFonts w:asciiTheme="majorHAnsi" w:eastAsiaTheme="majorEastAsia" w:hAnsiTheme="majorHAnsi" w:cstheme="majorBidi"/>
      <w:b/>
      <w:bCs/>
      <w:caps/>
      <w:spacing w:val="4"/>
      <w:sz w:val="28"/>
      <w:szCs w:val="28"/>
    </w:rPr>
  </w:style>
  <w:style w:type="character" w:customStyle="1" w:styleId="Ttulo2Car">
    <w:name w:val="Título 2 Car"/>
    <w:basedOn w:val="Fuentedeprrafopredeter"/>
    <w:link w:val="Ttulo2"/>
    <w:uiPriority w:val="9"/>
    <w:semiHidden/>
    <w:rsid w:val="00750D40"/>
    <w:rPr>
      <w:rFonts w:asciiTheme="majorHAnsi" w:eastAsiaTheme="majorEastAsia" w:hAnsiTheme="majorHAnsi" w:cstheme="majorBidi"/>
      <w:b/>
      <w:bCs/>
      <w:sz w:val="28"/>
      <w:szCs w:val="28"/>
    </w:rPr>
  </w:style>
  <w:style w:type="character" w:customStyle="1" w:styleId="Ttulo3Car">
    <w:name w:val="Título 3 Car"/>
    <w:basedOn w:val="Fuentedeprrafopredeter"/>
    <w:link w:val="Ttulo3"/>
    <w:uiPriority w:val="9"/>
    <w:semiHidden/>
    <w:rsid w:val="00750D40"/>
    <w:rPr>
      <w:rFonts w:asciiTheme="majorHAnsi" w:eastAsiaTheme="majorEastAsia" w:hAnsiTheme="majorHAnsi" w:cstheme="majorBidi"/>
      <w:spacing w:val="4"/>
      <w:sz w:val="24"/>
      <w:szCs w:val="24"/>
    </w:rPr>
  </w:style>
  <w:style w:type="character" w:customStyle="1" w:styleId="Ttulo4Car">
    <w:name w:val="Título 4 Car"/>
    <w:basedOn w:val="Fuentedeprrafopredeter"/>
    <w:link w:val="Ttulo4"/>
    <w:uiPriority w:val="9"/>
    <w:semiHidden/>
    <w:rsid w:val="00750D40"/>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750D40"/>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750D40"/>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750D40"/>
    <w:rPr>
      <w:i/>
      <w:iCs/>
    </w:rPr>
  </w:style>
  <w:style w:type="character" w:customStyle="1" w:styleId="Ttulo8Car">
    <w:name w:val="Título 8 Car"/>
    <w:basedOn w:val="Fuentedeprrafopredeter"/>
    <w:link w:val="Ttulo8"/>
    <w:uiPriority w:val="9"/>
    <w:semiHidden/>
    <w:rsid w:val="00750D40"/>
    <w:rPr>
      <w:b/>
      <w:bCs/>
    </w:rPr>
  </w:style>
  <w:style w:type="character" w:customStyle="1" w:styleId="Ttulo9Car">
    <w:name w:val="Título 9 Car"/>
    <w:basedOn w:val="Fuentedeprrafopredeter"/>
    <w:link w:val="Ttulo9"/>
    <w:uiPriority w:val="9"/>
    <w:semiHidden/>
    <w:rsid w:val="00750D40"/>
    <w:rPr>
      <w:i/>
      <w:iCs/>
    </w:rPr>
  </w:style>
  <w:style w:type="paragraph" w:styleId="Ttulo">
    <w:name w:val="Title"/>
    <w:basedOn w:val="Normal"/>
    <w:next w:val="Normal"/>
    <w:link w:val="TtuloCar"/>
    <w:uiPriority w:val="10"/>
    <w:qFormat/>
    <w:rsid w:val="00750D40"/>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750D40"/>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750D40"/>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750D40"/>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750D40"/>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750D40"/>
    <w:rPr>
      <w:rFonts w:asciiTheme="majorHAnsi" w:eastAsiaTheme="majorEastAsia" w:hAnsiTheme="majorHAnsi" w:cstheme="majorBidi"/>
      <w:i/>
      <w:iCs/>
      <w:sz w:val="24"/>
      <w:szCs w:val="24"/>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750D40"/>
    <w:rPr>
      <w:b/>
      <w:bCs/>
      <w:i/>
      <w:iCs/>
      <w:color w:val="auto"/>
    </w:rPr>
  </w:style>
  <w:style w:type="paragraph" w:styleId="Citadestacada">
    <w:name w:val="Intense Quote"/>
    <w:basedOn w:val="Normal"/>
    <w:next w:val="Normal"/>
    <w:link w:val="CitadestacadaCar"/>
    <w:uiPriority w:val="30"/>
    <w:qFormat/>
    <w:rsid w:val="00750D40"/>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750D40"/>
    <w:rPr>
      <w:rFonts w:asciiTheme="majorHAnsi" w:eastAsiaTheme="majorEastAsia" w:hAnsiTheme="majorHAnsi" w:cstheme="majorBidi"/>
      <w:sz w:val="26"/>
      <w:szCs w:val="26"/>
    </w:rPr>
  </w:style>
  <w:style w:type="character" w:styleId="Referenciaintensa">
    <w:name w:val="Intense Reference"/>
    <w:basedOn w:val="Fuentedeprrafopredeter"/>
    <w:uiPriority w:val="32"/>
    <w:qFormat/>
    <w:rsid w:val="00750D40"/>
    <w:rPr>
      <w:b/>
      <w:bCs/>
      <w:smallCaps/>
      <w:color w:val="auto"/>
      <w:u w:val="single"/>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5244D7"/>
    <w:pPr>
      <w:spacing w:before="100" w:beforeAutospacing="1" w:after="100" w:afterAutospacing="1" w:line="240" w:lineRule="auto"/>
    </w:pPr>
    <w:rPr>
      <w:rFonts w:ascii="Times New Roman" w:eastAsia="Times New Roman" w:hAnsi="Times New Roman" w:cs="Times New Roman"/>
      <w:lang w:eastAsia="es-AR"/>
    </w:rPr>
  </w:style>
  <w:style w:type="paragraph" w:styleId="Descripcin">
    <w:name w:val="caption"/>
    <w:basedOn w:val="Normal"/>
    <w:next w:val="Normal"/>
    <w:uiPriority w:val="35"/>
    <w:semiHidden/>
    <w:unhideWhenUsed/>
    <w:qFormat/>
    <w:rsid w:val="00750D40"/>
    <w:rPr>
      <w:b/>
      <w:bCs/>
      <w:sz w:val="18"/>
      <w:szCs w:val="18"/>
    </w:rPr>
  </w:style>
  <w:style w:type="character" w:styleId="Textoennegrita">
    <w:name w:val="Strong"/>
    <w:basedOn w:val="Fuentedeprrafopredeter"/>
    <w:uiPriority w:val="22"/>
    <w:qFormat/>
    <w:rsid w:val="00750D40"/>
    <w:rPr>
      <w:b/>
      <w:bCs/>
      <w:color w:val="auto"/>
    </w:rPr>
  </w:style>
  <w:style w:type="character" w:styleId="nfasis">
    <w:name w:val="Emphasis"/>
    <w:basedOn w:val="Fuentedeprrafopredeter"/>
    <w:uiPriority w:val="20"/>
    <w:qFormat/>
    <w:rsid w:val="00750D40"/>
    <w:rPr>
      <w:i/>
      <w:iCs/>
      <w:color w:val="auto"/>
    </w:rPr>
  </w:style>
  <w:style w:type="paragraph" w:styleId="Sinespaciado">
    <w:name w:val="No Spacing"/>
    <w:uiPriority w:val="1"/>
    <w:qFormat/>
    <w:rsid w:val="00750D40"/>
    <w:pPr>
      <w:spacing w:after="0" w:line="240" w:lineRule="auto"/>
    </w:pPr>
  </w:style>
  <w:style w:type="character" w:styleId="nfasissutil">
    <w:name w:val="Subtle Emphasis"/>
    <w:basedOn w:val="Fuentedeprrafopredeter"/>
    <w:uiPriority w:val="19"/>
    <w:qFormat/>
    <w:rsid w:val="00750D40"/>
    <w:rPr>
      <w:i/>
      <w:iCs/>
      <w:color w:val="auto"/>
    </w:rPr>
  </w:style>
  <w:style w:type="character" w:styleId="Referenciasutil">
    <w:name w:val="Subtle Reference"/>
    <w:basedOn w:val="Fuentedeprrafopredeter"/>
    <w:uiPriority w:val="31"/>
    <w:qFormat/>
    <w:rsid w:val="00750D40"/>
    <w:rPr>
      <w:smallCaps/>
      <w:color w:val="auto"/>
      <w:u w:val="single" w:color="7F7F7F" w:themeColor="text1" w:themeTint="80"/>
    </w:rPr>
  </w:style>
  <w:style w:type="character" w:styleId="Ttulodellibro">
    <w:name w:val="Book Title"/>
    <w:basedOn w:val="Fuentedeprrafopredeter"/>
    <w:uiPriority w:val="33"/>
    <w:qFormat/>
    <w:rsid w:val="00750D40"/>
    <w:rPr>
      <w:b/>
      <w:bCs/>
      <w:smallCaps/>
      <w:color w:val="auto"/>
    </w:rPr>
  </w:style>
  <w:style w:type="paragraph" w:styleId="TtuloTDC">
    <w:name w:val="TOC Heading"/>
    <w:basedOn w:val="Ttulo1"/>
    <w:next w:val="Normal"/>
    <w:uiPriority w:val="39"/>
    <w:semiHidden/>
    <w:unhideWhenUsed/>
    <w:qFormat/>
    <w:rsid w:val="00750D4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30779">
      <w:bodyDiv w:val="1"/>
      <w:marLeft w:val="0"/>
      <w:marRight w:val="0"/>
      <w:marTop w:val="0"/>
      <w:marBottom w:val="0"/>
      <w:divBdr>
        <w:top w:val="none" w:sz="0" w:space="0" w:color="auto"/>
        <w:left w:val="none" w:sz="0" w:space="0" w:color="auto"/>
        <w:bottom w:val="none" w:sz="0" w:space="0" w:color="auto"/>
        <w:right w:val="none" w:sz="0" w:space="0" w:color="auto"/>
      </w:divBdr>
    </w:div>
    <w:div w:id="647168585">
      <w:bodyDiv w:val="1"/>
      <w:marLeft w:val="0"/>
      <w:marRight w:val="0"/>
      <w:marTop w:val="0"/>
      <w:marBottom w:val="0"/>
      <w:divBdr>
        <w:top w:val="none" w:sz="0" w:space="0" w:color="auto"/>
        <w:left w:val="none" w:sz="0" w:space="0" w:color="auto"/>
        <w:bottom w:val="none" w:sz="0" w:space="0" w:color="auto"/>
        <w:right w:val="none" w:sz="0" w:space="0" w:color="auto"/>
      </w:divBdr>
    </w:div>
    <w:div w:id="1223322203">
      <w:bodyDiv w:val="1"/>
      <w:marLeft w:val="0"/>
      <w:marRight w:val="0"/>
      <w:marTop w:val="0"/>
      <w:marBottom w:val="0"/>
      <w:divBdr>
        <w:top w:val="none" w:sz="0" w:space="0" w:color="auto"/>
        <w:left w:val="none" w:sz="0" w:space="0" w:color="auto"/>
        <w:bottom w:val="none" w:sz="0" w:space="0" w:color="auto"/>
        <w:right w:val="none" w:sz="0" w:space="0" w:color="auto"/>
      </w:divBdr>
    </w:div>
    <w:div w:id="1847816666">
      <w:bodyDiv w:val="1"/>
      <w:marLeft w:val="0"/>
      <w:marRight w:val="0"/>
      <w:marTop w:val="0"/>
      <w:marBottom w:val="0"/>
      <w:divBdr>
        <w:top w:val="none" w:sz="0" w:space="0" w:color="auto"/>
        <w:left w:val="none" w:sz="0" w:space="0" w:color="auto"/>
        <w:bottom w:val="none" w:sz="0" w:space="0" w:color="auto"/>
        <w:right w:val="none" w:sz="0" w:space="0" w:color="auto"/>
      </w:divBdr>
    </w:div>
    <w:div w:id="1858035154">
      <w:bodyDiv w:val="1"/>
      <w:marLeft w:val="0"/>
      <w:marRight w:val="0"/>
      <w:marTop w:val="0"/>
      <w:marBottom w:val="0"/>
      <w:divBdr>
        <w:top w:val="none" w:sz="0" w:space="0" w:color="auto"/>
        <w:left w:val="none" w:sz="0" w:space="0" w:color="auto"/>
        <w:bottom w:val="none" w:sz="0" w:space="0" w:color="auto"/>
        <w:right w:val="none" w:sz="0" w:space="0" w:color="auto"/>
      </w:divBdr>
    </w:div>
    <w:div w:id="19658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17/aie.v17i3.30212"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betinaplaza@gmail.com" TargetMode="External"/><Relationship Id="rId12" Type="http://schemas.openxmlformats.org/officeDocument/2006/relationships/hyperlink" Target="https://riull.ull.es/xmlui/handle/915/472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abenvegnu@gmail.com" TargetMode="External"/><Relationship Id="rId11" Type="http://schemas.openxmlformats.org/officeDocument/2006/relationships/hyperlink" Target="http://www.redalyc.org/articulo.oa?id=37333038006"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24215/24690090e011" TargetMode="External"/><Relationship Id="rId4" Type="http://schemas.openxmlformats.org/officeDocument/2006/relationships/footnotes" Target="footnotes.xml"/><Relationship Id="rId9" Type="http://schemas.openxmlformats.org/officeDocument/2006/relationships/hyperlink" Target="https://www.redalyc.org/pdf/774/77413098013.pdf"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6437</Words>
  <Characters>35405</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2</cp:revision>
  <dcterms:created xsi:type="dcterms:W3CDTF">2026-07-10T15:35:00Z</dcterms:created>
  <dcterms:modified xsi:type="dcterms:W3CDTF">2026-07-10T15:35:00Z</dcterms:modified>
</cp:coreProperties>
</file>