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universidad frente al desafío de la inserción laboral de graduados recientes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Tarayre, Carolina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Sur</w:t>
      </w:r>
    </w:p>
    <w:p w:rsidR="00000000" w:rsidDel="00000000" w:rsidP="00000000" w:rsidRDefault="00000000" w:rsidRPr="00000000" w14:paraId="00000006">
      <w:pPr>
        <w:spacing w:after="0" w:line="240" w:lineRule="auto"/>
        <w:jc w:val="right"/>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color w:val="1155cc"/>
          <w:u w:val="single"/>
          <w:rtl w:val="0"/>
        </w:rPr>
        <w:t xml:space="preserve">ctarayre@uns.edu.ar</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Finocchiaro, Franco</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Sur</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franco.finocchiaro@uns.edu.ar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0F">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 vez resulta más importante promover actividades que permitan articular la formación de profesionales con su inserción laboral, acompañando la finalización de las trayectorias universitarias de manera de fomentar dicha inserción de los estudiantes avanzados. Las instituciones educativas del nivel superior deben re-pensarse para ajustarse a los cambios acelerados en materia de tecnología, demandas laborales, desafíos profesionales, complejidad de los problemas, globalización, nuevas formas de trabajo, entre otros, que impone la actualidad. Es relevante propiciar una formación profesional que se corresponda a la realidad de las nuevas demandas del mundo laboral.</w:t>
      </w:r>
    </w:p>
    <w:p w:rsidR="00000000" w:rsidDel="00000000" w:rsidP="00000000" w:rsidRDefault="00000000" w:rsidRPr="00000000" w14:paraId="0000001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el mercado laboral juvenil presenta una tasa de desempleo más alta que la general (del orden del 15% en el primer trimestre de 2024 frente al promedio general del 7,8%, INDEC, 2026), donde, además, predomina la informalidad. En este sentido, es clave el compromiso de la universidad desde la planificación curricular incorporando dentro del plan de carrera, seminarios, talleres y otras acciones que promuevan la articulación con el sector socioproductivo -como pueden ser distintos tipos de experiencias formativas (prácticas profesionales supervisadas, pasantías educativas, becas de investigación, entre otras)- que mejoren la empleabilidad de los estudiantes y faciliten la transición hacia el mundo profesional y del trabajo.</w:t>
      </w:r>
    </w:p>
    <w:p w:rsidR="00000000" w:rsidDel="00000000" w:rsidP="00000000" w:rsidRDefault="00000000" w:rsidRPr="00000000" w14:paraId="0000001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trabajo, se propone como </w:t>
      </w:r>
      <w:r w:rsidDel="00000000" w:rsidR="00000000" w:rsidRPr="00000000">
        <w:rPr>
          <w:rFonts w:ascii="Times New Roman" w:cs="Times New Roman" w:eastAsia="Times New Roman" w:hAnsi="Times New Roman"/>
          <w:rtl w:val="0"/>
        </w:rPr>
        <w:t xml:space="preserve">objetivo indagar y analizar, entre estudiantes avanzados de las carreras de Contador Público, Lic. Administración y Lic. Economía de la universidad Nacional del Sur que realizaron prácticas formativas como parte de su formación profesional, sus percepciones en torno a las prácticas, el mercado laboral en general y particularmente, entre aquellos que quedaron trabajando efectivamente, las características de los puestos, tareas que realizan, capacitaciones recibidas, perspectivas de desarrollo de carrera dentro de la organización.</w:t>
      </w:r>
    </w:p>
    <w:p w:rsidR="00000000" w:rsidDel="00000000" w:rsidP="00000000" w:rsidRDefault="00000000" w:rsidRPr="00000000" w14:paraId="0000001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lograr el objetivo propuesto se implementó una encuesta entre estudiantes de la población objetivo que realizaron su práctica educativa en los últimos años: entre 2022 y 2025. La misma pretende recoger los testimonios de las experiencias vividas por cada practicante y también su mirada en relación con la contribución de la práctica a la inserción laboral, adelantando el consenso sobre la importancia que la misma reviste para el futuro profesional. Finalmente, se analizan los resultados con el propósito de reflexionar sobre las oportunidades y desafíos que plantea la articulación entre sector productivo y universidad.</w:t>
      </w:r>
    </w:p>
    <w:p w:rsidR="00000000" w:rsidDel="00000000" w:rsidP="00000000" w:rsidRDefault="00000000" w:rsidRPr="00000000" w14:paraId="00000013">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jóvenes graduados, prácticas formativas, inserción laboral.</w:t>
      </w:r>
    </w:p>
    <w:p w:rsidR="00000000" w:rsidDel="00000000" w:rsidP="00000000" w:rsidRDefault="00000000" w:rsidRPr="00000000" w14:paraId="00000015">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6">
      <w:pPr>
        <w:numPr>
          <w:ilvl w:val="0"/>
          <w:numId w:val="1"/>
        </w:numPr>
        <w:spacing w:line="240" w:lineRule="auto"/>
        <w:ind w:left="720" w:hanging="36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7">
      <w:pPr>
        <w:spacing w:after="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 Educación Superior (ES) constituye un pilar fundamental para aumentar las capacidades y productividad de las personas, ampliando y mejorando su empleabilidad. A nivel macroeconómico, favorece la competitividad del país en un contexto donde el conocimiento es un recurso clave y contribuye a la calidad institucional y democrática al contar con ciudadanos más y mejor educados.</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La posibilidad de enriquecer la formación académica con la experiencia laboral a través de prácticas formativa</w:t>
      </w:r>
      <w:r w:rsidDel="00000000" w:rsidR="00000000" w:rsidRPr="00000000">
        <w:rPr>
          <w:rFonts w:ascii="Times New Roman" w:cs="Times New Roman" w:eastAsia="Times New Roman" w:hAnsi="Times New Roman"/>
          <w:rtl w:val="0"/>
        </w:rPr>
        <w:t xml:space="preserve">s </w:t>
      </w:r>
      <w:r w:rsidDel="00000000" w:rsidR="00000000" w:rsidRPr="00000000">
        <w:rPr>
          <w:rFonts w:ascii="Times New Roman" w:cs="Times New Roman" w:eastAsia="Times New Roman" w:hAnsi="Times New Roman"/>
          <w:rtl w:val="0"/>
        </w:rPr>
        <w:t xml:space="preserve">pre</w:t>
      </w:r>
      <w:r w:rsidDel="00000000" w:rsidR="00000000" w:rsidRPr="00000000">
        <w:rPr>
          <w:rFonts w:ascii="Times New Roman" w:cs="Times New Roman" w:eastAsia="Times New Roman" w:hAnsi="Times New Roman"/>
          <w:rtl w:val="0"/>
        </w:rPr>
        <w:t xml:space="preserve"> profesionales, que formen parte de las actividades curriculares, constituye una instancia estratégica de formación integral que permite al estudiante abordar problemas concretos y actuales que afectan a distintos actores del medio socioproductivo, facilitando la aplicación de los saberes adquiridos en distintas asignaturas a la resolución de problemas en un contexto situado. </w:t>
      </w:r>
      <w:r w:rsidDel="00000000" w:rsidR="00000000" w:rsidRPr="00000000">
        <w:rPr>
          <w:rFonts w:ascii="Times New Roman" w:cs="Times New Roman" w:eastAsia="Times New Roman" w:hAnsi="Times New Roman"/>
          <w:rtl w:val="0"/>
        </w:rPr>
        <w:t xml:space="preserve">Asimismo se promueve un espacio de aprendizaje activo donde el estudiante debe implementar tareas y actividades en el marco de un proyecto con objetivos concretos en un entorno profesional real, contando con el acompañamiento, orientación y supervisión de un tutor docente (por parte de la institución universitaria) y de un instructor (por parte de la organización).</w:t>
      </w:r>
      <w:r w:rsidDel="00000000" w:rsidR="00000000" w:rsidRPr="00000000">
        <w:rPr>
          <w:rFonts w:ascii="Times New Roman" w:cs="Times New Roman" w:eastAsia="Times New Roman" w:hAnsi="Times New Roman"/>
          <w:rtl w:val="0"/>
        </w:rPr>
        <w:t xml:space="preserve">La Organización Internacional del Trabajo (OIT, 2023, p. 2) resalta la importancia de brindar a los jóvenes estudiantes esta posibilidad.</w:t>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las prácticas formativas pueden contribuir a mejorar la empleabilidad de los estudiantes al promover el desarrollo de competencias clave para el mundo del trabajo que complementan la formación académica. </w:t>
      </w:r>
    </w:p>
    <w:p w:rsidR="00000000" w:rsidDel="00000000" w:rsidP="00000000" w:rsidRDefault="00000000" w:rsidRPr="00000000" w14:paraId="0000001A">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El tema de la empleabilidad cobra relevancia en el mundo actual que es cada vez más volátil, incierto, complejo, ambiguo y dinámico, donde los cambios tecnológicos, productivos, sociales, económicos son cada vez más veloces y donde se demandan trabajadores con una sólida formación científico-tecnológica y con capacidad de adquirir nuevos conocimientos en manera continua, incrementado las exigencias del mercado laboral.</w:t>
      </w:r>
    </w:p>
    <w:p w:rsidR="00000000" w:rsidDel="00000000" w:rsidP="00000000" w:rsidRDefault="00000000" w:rsidRPr="00000000" w14:paraId="0000001B">
      <w:pPr>
        <w:spacing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este contexto, conocer las percepciones de los estudiantes en torno a las prácticas profesionales y el mercado laboral en general es relevante en aras de realizar un diagnóstico sobre la implementación de las mismas para detectar oportunidades de mejora que permitan acompañar a los estudiantes en la transición desde la universidad al trabajo. Las percepciones se conciben como un estado subjetivo a través del cual se realiza una abstracción del mundo externo o de hechos relevantes (Wertheimer en Carterette y Friedman, 1982. En Oviedo, 2004).</w:t>
      </w:r>
    </w:p>
    <w:p w:rsidR="00000000" w:rsidDel="00000000" w:rsidP="00000000" w:rsidRDefault="00000000" w:rsidRPr="00000000" w14:paraId="0000001C">
      <w:pPr>
        <w:spacing w:line="276"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white"/>
          <w:rtl w:val="0"/>
        </w:rPr>
        <w:t xml:space="preserve">En el siguiente apartado se aborda el marco conceptual relacionado con las prácticas formativas, la relevancia de las percepciones de los estudiantes que realizan las mismas y la transición entre la universidad y el mundo del trabajo. Luego, se presentan los principales resultados de la encuesta realizada.</w:t>
      </w:r>
      <w:r w:rsidDel="00000000" w:rsidR="00000000" w:rsidRPr="00000000">
        <w:rPr>
          <w:rtl w:val="0"/>
        </w:rPr>
      </w:r>
    </w:p>
    <w:p w:rsidR="00000000" w:rsidDel="00000000" w:rsidP="00000000" w:rsidRDefault="00000000" w:rsidRPr="00000000" w14:paraId="0000001D">
      <w:pPr>
        <w:numPr>
          <w:ilvl w:val="0"/>
          <w:numId w:val="1"/>
        </w:numPr>
        <w:spacing w:line="240" w:lineRule="auto"/>
        <w:ind w:left="720" w:hanging="36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 Marco conceptual</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Concibiendo a las pasantías y prácticas pre profesionales (o también conocidas como prácticas profesionales supervisadas) en general como una herramienta de formación de utilidad para contextualizar saberes, aplicarlos en forma situada, y así promover la integración con otras disciplinas, acercando a los futuros egresados al ambiente laboral y permitiendo el desarrollo de otras habilidades y competencias vinculadas al ámbito del trabajo, se considera que las mismas contribuyen a la inserción de los profesionales próximos a recibirse en el mercado laboral teniendo en cuenta que permiten a los estudiantes desarrollar competencias para su inserción laboral.</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a Planas-Coll y Enciso-Avila (2014), las prácticas profesionales se constituyen en un intento por organizar la adquisición de experiencia desde las mismas instituciones de ES, en el marco de su abordaje del valor del trabajo durante los estudios universitarios al analizar lo que denominan “profesionalización institucionalizada”.</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torno a las prácticas profesionales externas en el nivel superior, existen varias modalidades, pudiendo mencionarse entre las más implementadas las siguientes: pasantías (Ley 26.427, 2008), prácticas profesionales supervisadas (PPS), experiencias laborales compatibles, entre otras. Las diferencias principales entre unas y otras radican en la situación contractual y remunerativa de los estudiantes, así como también, en los límites de tiempo establecidos, por ejemplo, una PPS es sin remuneración y en general de una periodicidad menor, mientras que, la pasantía requiere cumplir la ley de pasantías y otorga al estudiante una asignación estímulo (Finocchiaro y Tarayre, 2024).</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prácticas profesionales en general, en sus distintas modalidades, contribuyen a mejorar la empleabilidad de los estudiantes, así como también les permiten acceder en muchos casos a sus primeras experiencias laborales formales concretas.</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empleabilidad según la Organización Internacional del Trabajo (OIT., 2005, p.1) refiere a las competencias y cualificaciones transferibles que refuerzan la capacidad de las personas para aprovechar las oportunidades de educación y de formación que se les presenten con miras a encontrar y conservar un trabajo decente, progresar en la empresa o al cambiar de empleo y adaptarse a la evolución de la tecnología y de las condiciones del mercado de trabajo. En este marco, se resalta la importancia de brindar a los jóvenes estudiantes la posibilidad de articular con el sector socioproductivo a través de prácticas profesionales que mejoren su empleabilidad y faciliten la transición hacia el primer empleo (OIT., 2023, p.5).</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a Andino-Gonzalez (2023), quien realiza un análisis bibliométrico sobre empleabilidad entre los años 2002-2022, el aumento creciente de los estudios sobre empleabilidad obedece a varios factores: la necesidad de reflexionar y conocer la dinámica de los ecosistemas empresariales, los cambios en el mercado laboral que exige el desarrollo de habilidades, donde la formación universitaria desempeña un papel relevante para satisfacer la demanda de los empleadores, de acuerdo a los nuevos requerimientos que generan los cambios en el entorno correspondientes a la cuarta revolución industrial.</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Romero Carrión et al (2022) las competencias transversales, o también conocidas como competencias “blandas”, más requeridas para la empleabilidad de los estudiantes universitarios de las diversas carreras profesionales en el período del 2019 al 2021 son las siguientes, ordenadas en forma decreciente: competencia digital, competencia comunicacional, seguidas luego por trabajo en equipo, creatividad, compromiso, flexibilidad, innovación, autonomía y resolución de problemas.</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resulta relevante indagar en torno a las percepciones generales que tienen los estudiantes en relación a las prácticas formativas debido a que son los destinatarios de las mismas y conocerlas permite reflexionar sobre las oportunidades y desafíos que plantea la articulación entre sector productivo y universidad, así como también, es de utilidad para detectar oportunidades de mejora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los efectos de este trabajo, las percepciones se conciben como un estado subjetivo a través del cual se realiza una abstracción del mundo externo o de hechos relevantes (Wertheimer en Carterette y Friedman, 1982. En Oviedo, 2004). “Percibir implica recibir información sobre el entorno, interpretarla a partir de experiencias previas, conocimientos y creencias, y emitir juicios para actuar a partir de estos” (Aguilar Cucurachi y Maganda Ramírez, 2023). Para indagar sobre esas percepciones se implementó una encuesta cuyos detalles se presentan en el siguiente apartado.</w:t>
      </w:r>
    </w:p>
    <w:p w:rsidR="00000000" w:rsidDel="00000000" w:rsidP="00000000" w:rsidRDefault="00000000" w:rsidRPr="00000000" w14:paraId="0000002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 Descripción de la muestra</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relevó la experiencia de los estudiantes que realizaron sus prácticas finales de carrera entre los años 2022 a 2026. De las 62 respuestas recibidas, el 69% corresponden a la modalidad PPS, es decir que la mayoría de los estudiantes realizaron prácticas no remuneradas, a diferencia de los demás que tuvieron contratos de pasantía (19%) o realizaron una experiencia laboral compatible (12%). Ninguno de ellos lo hizo bajo modalidad beca ni otra diferente a las mencionadas. En cuanto a las carreras participantes, la mayoría de los encuestados fueron de Contador Público (47%), repartiendo el resto del porcentaje entre Lic. Economía (34%) y Lic. Administración (19%).</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se les consultó si la experiencia de práctica fue su primer trabajo o no y el 58,1% indicó que sí por lo que, en la mayoría de los casos se evidencia que las prácticas formativas constituyen su primera experiencia en el ámbito laboral, lo que refleja la importancia de las mismas en relación a la inserción laboral en un entorno competitivo, donde la experiencia previa es un requisito habitual y estas instancias contribuyen a superar la barrera del "primer empleo". </w:t>
      </w:r>
      <w:r w:rsidDel="00000000" w:rsidR="00000000" w:rsidRPr="00000000">
        <w:rPr>
          <w:rFonts w:ascii="Times New Roman" w:cs="Times New Roman" w:eastAsia="Times New Roman" w:hAnsi="Times New Roman"/>
          <w:rtl w:val="0"/>
        </w:rPr>
        <w:t xml:space="preserve">En cuanto a la continuidad del vínculo laboral luego de la experiencia: un 26% indicó que continuó trabajando allí, lo cual pone de manifiesto que estas prácticas pueden transformarse en una oportunidad laboral formal concreta, además del hecho de permitir obtener la primera experiencia en el currículum vitae, otro 26% visualiza posibilidades de continuar trabajando en la organización donde desarrolla su práctica, mientras que el restante 48% no ve perspectivas de sostenimiento del vínculo. En este punto se puede observar que, entre los que obtuvieron salidas laborales concretas y los que visualizan posibilidades de continuar trabajando, suman más del 50% de los encuestados, lo que destaca la contribución de estas propuestas en relación a la inserción laboral de los estudiantes avanzados.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se establece una relación entre esta respuesta y la modalidad de práctica realizada, la mayoría de los que creen que el vínculo puede continuar realizaron pasantías (excluyendo a quienes hicieron experiencia laboral compatible), es decir, modalidades rentadas, mientras que, los que hicieron PPS, es decir, ad honorem tienen mayor dispersión en sus respuestas.  Este resultado podría indicar que </w:t>
      </w:r>
      <w:r w:rsidDel="00000000" w:rsidR="00000000" w:rsidRPr="00000000">
        <w:rPr>
          <w:rFonts w:ascii="Times New Roman" w:cs="Times New Roman" w:eastAsia="Times New Roman" w:hAnsi="Times New Roman"/>
          <w:rtl w:val="0"/>
        </w:rPr>
        <w:t xml:space="preserve">los que realizan experiencias de prácticas rentadas tienen mayor posibilidad de continuar trabajando allí.</w:t>
      </w:r>
    </w:p>
    <w:p w:rsidR="00000000" w:rsidDel="00000000" w:rsidP="00000000" w:rsidRDefault="00000000" w:rsidRPr="00000000" w14:paraId="0000002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2.3 Vínculo entre formación universitaria y trabajo</w:t>
      </w:r>
    </w:p>
    <w:p w:rsidR="00000000" w:rsidDel="00000000" w:rsidP="00000000" w:rsidRDefault="00000000" w:rsidRPr="00000000" w14:paraId="0000002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grado de relación entre el trabajo que realizan y su rol profesional es uno de los aspectos críticos de las prácticas profesionales. Es por ello que se efectuó la pregunta, entre quienes quedaron efectivamente trabajando en las organizaciones, sobre la adecuación que encontraban los estudiantes entre estos dos aspectos en una escala de 1 a 5 donde 5 era la máxima adecuación. El resultado fue favorable, ya que, el 50% marcó el valor 5 y el resto se repartió en valores medios como 3 y 4.</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puesto de trabajo que cada uno desempeñó, se obtuvieron muy pocas respuestas en relación a las de la muestra total. Solo el 19% de los encuestados hizo mención al nombre del puesto, lo que puede revelar que no conocen cómo se llama el mismo. De los que sí contestaron, la mayoría de los que estudian Contador o Lic. Administración hacen alusión a un puesto de base administrativa, tales como: analista, analista administrativo, encargado de depósito o contador/a. Por otro lado, los que estudian Lic. Economía se refiere a analistas de estudios económicos o asistentes de investigación. </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interrogante que abren estas nomenclaturas es si los estudiantes han sido empleados para realizar tareas netamente operativas o si el puesto que detentan tiene alguna proyección para orientarse a una actividad profesional vinculada con la carrera. Para abordar esta pregunta, es que se amplió la misma al consultar cuáles son las tareas que realizan con mayor frecuencia en sus trabajos. En la Tabla 1 se sintetizan las respuestas que aparecieron con mayor frecuencia divididas por carrera.</w:t>
      </w:r>
    </w:p>
    <w:p w:rsidR="00000000" w:rsidDel="00000000" w:rsidP="00000000" w:rsidRDefault="00000000" w:rsidRPr="00000000" w14:paraId="0000003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Tabla 1. Tareas realizadas con frecuencia en base a la carrera estudiada</w:t>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231"/>
        <w:tblGridChange w:id="0">
          <w:tblGrid>
            <w:gridCol w:w="2263"/>
            <w:gridCol w:w="6231"/>
          </w:tblGrid>
        </w:tblGridChange>
      </w:tblGrid>
      <w:tr>
        <w:trPr>
          <w:cantSplit w:val="0"/>
          <w:tblHeader w:val="0"/>
        </w:trPr>
        <w:tc>
          <w:tcPr/>
          <w:p w:rsidR="00000000" w:rsidDel="00000000" w:rsidP="00000000" w:rsidRDefault="00000000" w:rsidRPr="00000000" w14:paraId="0000003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Carrera estudiada</w:t>
            </w:r>
          </w:p>
        </w:tc>
        <w:tc>
          <w:tcPr/>
          <w:p w:rsidR="00000000" w:rsidDel="00000000" w:rsidP="00000000" w:rsidRDefault="00000000" w:rsidRPr="00000000" w14:paraId="0000003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Tareas frecuentes</w:t>
            </w:r>
          </w:p>
        </w:tc>
      </w:tr>
      <w:tr>
        <w:trPr>
          <w:cantSplit w:val="0"/>
          <w:tblHeader w:val="0"/>
        </w:trPr>
        <w:tc>
          <w:tcPr/>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Contador Público</w:t>
            </w:r>
          </w:p>
        </w:tc>
        <w:tc>
          <w:tcPr/>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Carga de comprobantes al sistema contable</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Liquidación de impuestos y sueldos</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Control de cuentas contables y bancarias</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vinculadas al balance contable</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Trámites de sociedades</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Proyecciones de variables</w:t>
            </w:r>
          </w:p>
        </w:tc>
      </w:tr>
      <w:tr>
        <w:trPr>
          <w:cantSplit w:val="0"/>
          <w:tblHeader w:val="0"/>
        </w:trPr>
        <w:tc>
          <w:tcPr/>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 Administración</w:t>
            </w:r>
          </w:p>
        </w:tc>
        <w:tc>
          <w:tcPr/>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Control de stocks y planillas de personal</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Atención de clientes</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Armado de carteras de inversión</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Control de cuentas contables y bancarias</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Revisión de contratos</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Creación de modelos financieros para proyecciones</w:t>
            </w:r>
          </w:p>
        </w:tc>
      </w:tr>
      <w:tr>
        <w:trPr>
          <w:cantSplit w:val="0"/>
          <w:tblHeader w:val="0"/>
        </w:trPr>
        <w:tc>
          <w:tcPr/>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Lic. Economía</w:t>
            </w:r>
          </w:p>
        </w:tc>
        <w:tc>
          <w:tcPr/>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Seguimiento de indicadores económicos</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Elaboración de informes</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Análisis internacional y nacional de commodities</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Análisis de mercadería y stocks</w:t>
            </w:r>
          </w:p>
        </w:tc>
      </w:tr>
    </w:tbl>
    <w:p w:rsidR="00000000" w:rsidDel="00000000" w:rsidP="00000000" w:rsidRDefault="00000000" w:rsidRPr="00000000" w14:paraId="0000004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 elaboración propia</w:t>
      </w: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primero que se ve en la tabla anterior es que las tareas son variadas en todas las carreras y que se visualizan las diferencias entre los perfiles de las mismas. Sobre todo, en el caso de las dos primeras, se encuentran un enfoque del Contador asociado al registro de información y realización de tareas exigidas legalmente para las organizaciones, mientras que, el perfil del Lic. Administración apunta a tareas de gestión, mejoramiento de procesos y mayor amplitud en las áreas vinculadas (producción, recursos humanos, financiera, comercial, etc.). En cuanto a la Lic. en Economía se ven tareas de análisis de indicadores económicos y producción de informes.</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competencias o habilidades que los puestos desempeñados les requerían, se propuso un listado de opciones que podían marcar considerando que eran aquellas aptitudes que más habían tenido que aplicar en su experiencia de práctica. En la Tabla 2 se presenta la marcación de cada una en total de encuestados y por carrera con las siguientes referencias: Contador Público (CP), Lic. Administración (LA) y Lic. Economía (LE).</w:t>
      </w:r>
    </w:p>
    <w:p w:rsidR="00000000" w:rsidDel="00000000" w:rsidP="00000000" w:rsidRDefault="00000000" w:rsidRPr="00000000" w14:paraId="0000004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2. Tareas realizadas con frecuencia en base a la carrera estudiada</w:t>
      </w:r>
      <w:r w:rsidDel="00000000" w:rsidR="00000000" w:rsidRPr="00000000">
        <w:rPr>
          <w:rtl w:val="0"/>
        </w:rPr>
      </w:r>
    </w:p>
    <w:tbl>
      <w:tblPr>
        <w:tblStyle w:val="Table2"/>
        <w:tblW w:w="8773.0" w:type="dxa"/>
        <w:jc w:val="left"/>
        <w:tblLayout w:type="fixed"/>
        <w:tblLook w:val="0400"/>
      </w:tblPr>
      <w:tblGrid>
        <w:gridCol w:w="5665"/>
        <w:gridCol w:w="709"/>
        <w:gridCol w:w="709"/>
        <w:gridCol w:w="709"/>
        <w:gridCol w:w="981"/>
        <w:tblGridChange w:id="0">
          <w:tblGrid>
            <w:gridCol w:w="5665"/>
            <w:gridCol w:w="709"/>
            <w:gridCol w:w="709"/>
            <w:gridCol w:w="709"/>
            <w:gridCol w:w="981"/>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A">
            <w:pPr>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Competencias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CP</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LA</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LE</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4E">
            <w:pPr>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4F">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Planificación del trabajo (gestión del tiempo, equilibrio trabajo vida personal, etc.,)</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54">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Trabajo en equipo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59">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Conocimientos técnicos propios de la profesión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5E">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Adaptación a la cultura organizacional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6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Usos de tecnologías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68">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Gestión de problemas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6D">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Toma de decisiones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72">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Comunicaciones difíciles (habilidad para manejar conversaciones complicadas o sensibles en el trabajo, como dar o recibir críticas, resolver conflictos o negociar en situaciones tensas, manteniendo el respeto y buscando soluciones efectivas)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7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Comunicación con personas ajenas a la organización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B">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7C">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Síntesis de información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1">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Orientación a resultados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3">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86">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Liderazgo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bl>
    <w:p w:rsidR="00000000" w:rsidDel="00000000" w:rsidP="00000000" w:rsidRDefault="00000000" w:rsidRPr="00000000" w14:paraId="000000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 elaboración propia</w:t>
      </w:r>
      <w:r w:rsidDel="00000000" w:rsidR="00000000" w:rsidRPr="00000000">
        <w:rPr>
          <w:rtl w:val="0"/>
        </w:rPr>
      </w:r>
    </w:p>
    <w:p w:rsidR="00000000" w:rsidDel="00000000" w:rsidP="00000000" w:rsidRDefault="00000000" w:rsidRPr="00000000" w14:paraId="0000008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puede ver en las respuestas que, tanto LA como LE, tienen escasa diferencia en las marcaciones de cada habilidad, posiblemente por contar con menos respuestas de los encuestados de esas carreras. Mientras que, los de CP presentan mayor variabilidad. En términos específicos, la planificación del trabajo es la que se marcó con mayor frecuencia y luego el trabajo en equipo. </w:t>
      </w:r>
      <w:r w:rsidDel="00000000" w:rsidR="00000000" w:rsidRPr="00000000">
        <w:rPr>
          <w:rFonts w:ascii="Times New Roman" w:cs="Times New Roman" w:eastAsia="Times New Roman" w:hAnsi="Times New Roman"/>
          <w:rtl w:val="0"/>
        </w:rPr>
        <w:t xml:space="preserve">Estas dos aptitudes son parte de las que se conocen como “habilidades blandas” o transversales, debido a que, apuntan a la organización del tiempo en un entorno laboral y a la forma de trabajar y vínculo con otros integrantes de la organización.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Estos resultados indican que estas prácticas formativas permiten complementar la formación académica al promover el desarrollo de otras competencias requeridas en el ámbito laboral.</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habilidades comunicativas, las comunicaciones difíciles que contaron con una definición entre paréntesis para que el estudiante sepa a qué tipo de diálogos hacía referencia, fueron marcadas por varios estudiantes, lo que demuestra que aun siendo sus primeros pasos en el mercado laboral, ya han pasado por situaciones de conflicto, negociación con otros y charlas sobre temas sensibles. La comunicación con personas ajenas a la organización, por otra parte, no fue tan señalada lo que resulta lógico, debido a que, estas habilidades dependen del puesto que se desempeña.</w:t>
      </w:r>
    </w:p>
    <w:p w:rsidR="00000000" w:rsidDel="00000000" w:rsidP="00000000" w:rsidRDefault="00000000" w:rsidRPr="00000000" w14:paraId="0000008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 cuanto a la toma de decisiones, la habilidad de liderazgo fue marcada en forma escasa, lo que también es un resultado esperable, debido a que, al ser sus primeros acercamientos al ámbito laboral se considera adecuado que no ejerzan puestos de jerarquía, los cuales suelen ser encarnados por personas con experiencia en la organización. Sin embargo, los estudiantes señalaron que participaron de toma de decisiones, resolución de problemas y síntesis de información. Esta situación es clave para evitar caer en uno de los temores con este tipo de prácticas que es que los estudiantes solo sean incorporados para realizar tareas automáticas o netamente operativas y no pasen por la experiencia de participar en alguna decisión de importancia para la organización.</w:t>
      </w:r>
    </w:p>
    <w:p w:rsidR="00000000" w:rsidDel="00000000" w:rsidP="00000000" w:rsidRDefault="00000000" w:rsidRPr="00000000" w14:paraId="0000008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2.4 Desafíos de la universidad frente a la inserción laboral</w:t>
      </w:r>
    </w:p>
    <w:p w:rsidR="00000000" w:rsidDel="00000000" w:rsidP="00000000" w:rsidRDefault="00000000" w:rsidRPr="00000000" w14:paraId="000000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el panorama marcado por las respuestas de los estudiantes resultó alentador, el desafío de la universidad </w:t>
      </w:r>
      <w:r w:rsidDel="00000000" w:rsidR="00000000" w:rsidRPr="00000000">
        <w:rPr>
          <w:rFonts w:ascii="Times New Roman" w:cs="Times New Roman" w:eastAsia="Times New Roman" w:hAnsi="Times New Roman"/>
          <w:rtl w:val="0"/>
        </w:rPr>
        <w:t xml:space="preserve">para acompañar la transición de los estudiantes avanzados hacia el mundo laboral profesional sigue estando latente</w:t>
      </w:r>
      <w:r w:rsidDel="00000000" w:rsidR="00000000" w:rsidRPr="00000000">
        <w:rPr>
          <w:rFonts w:ascii="Times New Roman" w:cs="Times New Roman" w:eastAsia="Times New Roman" w:hAnsi="Times New Roman"/>
          <w:rtl w:val="0"/>
        </w:rPr>
        <w:t xml:space="preserve">. Es por ello que se preguntó la relevancia que creían que tienen estas prácticas en su formación curricular utilizando nuevamente una escala de 1 a 5 y las respuestas fueron ampliamente favorables: el 93% marcó el valor 5 y el resto el valor 4. Esta contundencia afirma la importancia de sostener las prácticas por parte de la universidad y mejorar su implementación, así como otras instancias de articulación con el medio socioproductivo que propicien la inserción laboral de los estudiantes. </w:t>
      </w:r>
    </w:p>
    <w:p w:rsidR="00000000" w:rsidDel="00000000" w:rsidP="00000000" w:rsidRDefault="00000000" w:rsidRPr="00000000" w14:paraId="0000009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dificultades que presentaron los estudiantes en su práctica formativa, se realizó una consulta estructurada con un listado de posibles problemas que pueden haberles surgido al momento de acceder a la misma para verificar la frecuencia con la que dicho inconveniente fue marcado, con la posibilidad de incorporar otras dificultades a criterio del estudiante. Las más salientes se mencionan y explican en la Tabla 3.</w:t>
      </w:r>
    </w:p>
    <w:p w:rsidR="00000000" w:rsidDel="00000000" w:rsidP="00000000" w:rsidRDefault="00000000" w:rsidRPr="00000000" w14:paraId="000000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3. Principales dificultades en el proceso</w:t>
      </w:r>
      <w:r w:rsidDel="00000000" w:rsidR="00000000" w:rsidRPr="00000000">
        <w:rPr>
          <w:rtl w:val="0"/>
        </w:rPr>
      </w:r>
    </w:p>
    <w:tbl>
      <w:tblPr>
        <w:tblStyle w:val="Table3"/>
        <w:tblW w:w="8550.0" w:type="dxa"/>
        <w:jc w:val="left"/>
        <w:tblLayout w:type="fixed"/>
        <w:tblLook w:val="0400"/>
      </w:tblPr>
      <w:tblGrid>
        <w:gridCol w:w="3225"/>
        <w:gridCol w:w="5325"/>
        <w:tblGridChange w:id="0">
          <w:tblGrid>
            <w:gridCol w:w="3225"/>
            <w:gridCol w:w="5325"/>
          </w:tblGrid>
        </w:tblGridChange>
      </w:tblGrid>
      <w:tr>
        <w:trPr>
          <w:cantSplit w:val="0"/>
          <w:trHeight w:val="255" w:hRule="atLeast"/>
          <w:tblHeader w:val="1"/>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3">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Dificultad</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Explicación</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Dificultades con el proceso administrativo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muchas veces no comparte la información en forma adecuada, lo que hace que los estudiantes no tengan claro qué deben presentar en cada instancia del trámite o no sean informados de las demoras que el mismo puede tener. A algunos estudiantes les parece poco intuitivo o con muchos pasos a seguir (“burocrático”)</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Insuficiencia de ofertas para realizar la práctica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algunos casos, mencionan las complicaciones para conseguir un lugar donde realizarlas y, en otros casos, las propuestas que encuentran no se ajustan a sus motivaciones, por ejemplo, cuando buscan pasantías o alguna otra alternativa remunerada. También, marcan la falta de difusión de algunas convocatorias que hacen que no se enteren de las oportunidades que existen.</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Dificultades en la coordinación entre la universidad y el sector productivo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responsabilidades se les confieren a los tutores: docentes por la universidad y el instructor por la organización que los recibe. Muchas veces los tutores sólo se comunican a través del estudiante, generando que el mismo se encuentre en el medio y sin posibilidad de generar consensos entre ellos.</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Falta de alineación de mis intereses con las ofertas propuestas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caso, no se pone el foco en la modalidad de la práctica sino en el puesto de trabajo y las tareas que el mismo requiere que no siempre son las que el estudiante prefiere o el área de su interés.</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Dificultades en el proceso de selección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aspecto alude a la necesidad de formar habilidades blandas en los alumnos para poder afrontar procesos de selección en forma exitosa, por ejemplo, preparar el CV y destacarse en pruebas grupales.</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Dificultades en la elaboración de informes finales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prácticas requieren que los estudiantes elaboren un informe final en el que relaten su experiencia, el vínculo con las asignaturas de la carrera, entre otros. Si bien hay sugerencias de formato, puede que algunos estudiantes encuentren dificultades para saber qué deberían explicar para que el contenido del mismo resulte suficiente.</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Dificultad para conseguir un tutor docente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estudiantes eligen a su tutor docente. Existe un listado de docentes que se ofrecen para ser tutores, no obstante, muchas veces no saben a quién elegir o no encuentran respuestas en docentes a los que les proponen ser sus tutores. </w:t>
            </w:r>
          </w:p>
        </w:tc>
      </w:tr>
    </w:tbl>
    <w:p w:rsidR="00000000" w:rsidDel="00000000" w:rsidP="00000000" w:rsidRDefault="00000000" w:rsidRPr="00000000" w14:paraId="000000A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 elaboración propia</w:t>
      </w:r>
      <w:r w:rsidDel="00000000" w:rsidR="00000000" w:rsidRPr="00000000">
        <w:rPr>
          <w:rtl w:val="0"/>
        </w:rPr>
      </w:r>
    </w:p>
    <w:p w:rsidR="00000000" w:rsidDel="00000000" w:rsidP="00000000" w:rsidRDefault="00000000" w:rsidRPr="00000000" w14:paraId="000000A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las dificultades mencionadas, las más populares en las encuestas fueron aquellas vinculadas a la organización en la cual </w:t>
      </w:r>
      <w:r w:rsidDel="00000000" w:rsidR="00000000" w:rsidRPr="00000000">
        <w:rPr>
          <w:rFonts w:ascii="Times New Roman" w:cs="Times New Roman" w:eastAsia="Times New Roman" w:hAnsi="Times New Roman"/>
          <w:rtl w:val="0"/>
        </w:rPr>
        <w:t xml:space="preserve">realizan la práctica</w:t>
      </w:r>
      <w:r w:rsidDel="00000000" w:rsidR="00000000" w:rsidRPr="00000000">
        <w:rPr>
          <w:rFonts w:ascii="Times New Roman" w:cs="Times New Roman" w:eastAsia="Times New Roman" w:hAnsi="Times New Roman"/>
          <w:rtl w:val="0"/>
        </w:rPr>
        <w:t xml:space="preserve">, dificultades de alineación entre intereses y ofertas de práctica, así como también, la escasez de difusión de dichas ofertas. Por otro lado, la coordinación institucional, ya sea, para explicar el procedimiento administrativo o para alinear los requerimientos de los dos tutores aún debe mejorar en la opinión de los estudiantes. </w:t>
      </w:r>
    </w:p>
    <w:p w:rsidR="00000000" w:rsidDel="00000000" w:rsidP="00000000" w:rsidRDefault="00000000" w:rsidRPr="00000000" w14:paraId="000000A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tónica que la pregunta anterior, se efectuó una pregunta de texto libre para que cada participante especifique otras dificultades o áreas de conocimiento que les produjeron mayores dificultades o notaron falta de preparación:</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Uso de tecnologías: mencionan la dificultad con amigarse con programas y tecnologías que no habían explorado adecuadamente en la carrera. Tanto los softwares propios de las empresas como las plataformas que requieren manejar para determinadas tareas (por ejemplo, página de ARCA, de ARBA, etc.) los desafían a saber que deberán capacitarse más en ello para su futuro laboral.</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Aspectos propios del trámite de práctica: en algunos casos mencionan desconocimiento o confusión con respecto a las etapas del proceso de práctica, la documentación a presentar y demás aspectos que conocen cuando inician su tránsito hacia la experiencia. Si bien esta orientación es actividad del tutor docente, muchas veces es el propio tutor el que desconoce el procedimiento.</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Habilidades prácticas de determinadas áreas: si bien se reconoce la existencia de actividades prácticas de las cátedras de sus carreras, sugieren la necesidad de profundizar algunas de ellas. Por marcar algunos ejemplos, mencionan el área de finanzas, tributación, idiomas, etc.</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Preparación para la multitarea: en las encuestas, se mencionó que no están acostumbrados a responder a diversos problemas en forma simultánea, en algunos casos, no saber a quienes consultar, etc. Remarcan como importancia en este aspecto la identificación de compañeros que puedan orientarlos en cada pedido.</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Aspectos alusivos a la empleabilidad y la inducción: también aparecen dificultades vinculadas al proceso de búsqueda laboral, por ejemplo, a cómo armar el CV, entrenar habilidades blandas o preparar entrevistas laborales. En cuánto a inducción, marcan las dificultades para adaptarse a la cultura organizacional y también sugieren que se podrían incorporar visitas a empresas en la carrera para conocer la realidad de un posible ámbito laboral futuro.</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Desarrollo de habilidades blandas: los estudiantes aluden a determinadas aptitudes asociadas a aspectos vinculares, por ejemplo, la comunicación con otros, la atención al cliente, entre otras. Estas variables muchas veces no se ven representadas como se esperaría en las asignaturas obligatorias de las carreras.</w:t>
      </w:r>
    </w:p>
    <w:p w:rsidR="00000000" w:rsidDel="00000000" w:rsidP="00000000" w:rsidRDefault="00000000" w:rsidRPr="00000000" w14:paraId="000000A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Percepciones generales de la relación entre universidad e inserción laboral</w:t>
      </w:r>
    </w:p>
    <w:p w:rsidR="00000000" w:rsidDel="00000000" w:rsidP="00000000" w:rsidRDefault="00000000" w:rsidRPr="00000000" w14:paraId="000000A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recorrer los diferentes aspectos de su experiencia práctica, la encuesta tenía el fin de conocer la </w:t>
      </w:r>
      <w:r w:rsidDel="00000000" w:rsidR="00000000" w:rsidRPr="00000000">
        <w:rPr>
          <w:rFonts w:ascii="Times New Roman" w:cs="Times New Roman" w:eastAsia="Times New Roman" w:hAnsi="Times New Roman"/>
          <w:rtl w:val="0"/>
        </w:rPr>
        <w:t xml:space="preserve">valoración del acompañamiento de la universidad en la transición hacia el mercado laboral y la percepción general sobre éste último por parte de los estudiantes</w:t>
      </w:r>
      <w:r w:rsidDel="00000000" w:rsidR="00000000" w:rsidRPr="00000000">
        <w:rPr>
          <w:rFonts w:ascii="Times New Roman" w:cs="Times New Roman" w:eastAsia="Times New Roman" w:hAnsi="Times New Roman"/>
          <w:rtl w:val="0"/>
        </w:rPr>
        <w:t xml:space="preserve">. Es por ello que se realizó una pregunta en la cual se consignó una serie de afirmaciones que se suelen escuchar en las aulas para conocer su nivel de acuerdo. En la Tabla 4 se sintetizan las respuestas en base a cada uno de los enunciados asociados.</w:t>
      </w:r>
    </w:p>
    <w:p w:rsidR="00000000" w:rsidDel="00000000" w:rsidP="00000000" w:rsidRDefault="00000000" w:rsidRPr="00000000" w14:paraId="000000A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4. Percepciones sobre la relación entre la universidad y el empleo</w:t>
      </w:r>
      <w:r w:rsidDel="00000000" w:rsidR="00000000" w:rsidRPr="00000000">
        <w:rPr>
          <w:rtl w:val="0"/>
        </w:rPr>
      </w:r>
    </w:p>
    <w:tbl>
      <w:tblPr>
        <w:tblStyle w:val="Table4"/>
        <w:tblW w:w="8654.999999999998" w:type="dxa"/>
        <w:jc w:val="left"/>
        <w:tblInd w:w="-5.0" w:type="dxa"/>
        <w:tblLayout w:type="fixed"/>
        <w:tblLook w:val="0400"/>
      </w:tblPr>
      <w:tblGrid>
        <w:gridCol w:w="4678"/>
        <w:gridCol w:w="1276"/>
        <w:gridCol w:w="1567"/>
        <w:gridCol w:w="1134"/>
        <w:tblGridChange w:id="0">
          <w:tblGrid>
            <w:gridCol w:w="4678"/>
            <w:gridCol w:w="1276"/>
            <w:gridCol w:w="1567"/>
            <w:gridCol w:w="1134"/>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Afirmaciones propuestas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Totalmente de acuerdo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Medianamente de acuerdo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Nada de acuerdo</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color w:val="000000"/>
                <w:rtl w:val="0"/>
              </w:rPr>
              <w:t xml:space="preserve">niversidad debería tener en cuenta las necesidades y demandas del mercado laboral en sus formaciones.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 fundamental que la </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color w:val="000000"/>
                <w:rtl w:val="0"/>
              </w:rPr>
              <w:t xml:space="preserve">niversidad acompañe al estudiante en su transición al mercado laboral.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B">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formaciones universitarias deberían contar con títulos intermedios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C">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BF">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color w:val="000000"/>
                <w:rtl w:val="0"/>
              </w:rPr>
              <w:t xml:space="preserve">niversidad debería ofrecer mayor flexibilidad para la elección de materias optativas.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r>
      <w:tr>
        <w:trPr>
          <w:cantSplit w:val="0"/>
          <w:trHeight w:val="255"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C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formaciones universitarias deberían ser más cortas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vAlign w:val="bottom"/>
          </w:tcPr>
          <w:p w:rsidR="00000000" w:rsidDel="00000000" w:rsidP="00000000" w:rsidRDefault="00000000" w:rsidRPr="00000000" w14:paraId="000000C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la luz de la velocidad de los cambios tecnológicos, la </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color w:val="000000"/>
                <w:rtl w:val="0"/>
              </w:rPr>
              <w:t xml:space="preserve">niversidad cada vez prepara profesionales muy actualizados.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w:t>
            </w:r>
          </w:p>
        </w:tc>
      </w:tr>
    </w:tbl>
    <w:p w:rsidR="00000000" w:rsidDel="00000000" w:rsidP="00000000" w:rsidRDefault="00000000" w:rsidRPr="00000000" w14:paraId="000000C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Fuente: elaboración propia</w:t>
      </w:r>
      <w:r w:rsidDel="00000000" w:rsidR="00000000" w:rsidRPr="00000000">
        <w:rPr>
          <w:rtl w:val="0"/>
        </w:rPr>
      </w:r>
    </w:p>
    <w:p w:rsidR="00000000" w:rsidDel="00000000" w:rsidP="00000000" w:rsidRDefault="00000000" w:rsidRPr="00000000" w14:paraId="000000C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las afirmaciones que en mayor medida recogieron el acuerdo de los estudiantes encuestados son las que refieren a la importancia de sostener el vínculo entre universidad y ámbito laboral. De hecho, consideran que la universidad debería tener en cuenta las necesidades y demandas del mercado laboral en sus formaciones con un alto grado de valoración del acompañamiento a los estudiantes avanzados por parte de las instituciones de ES en la transición al mercado laboral. No obstante, las afirmaciones vinculadas a modificaciones curriculares tuvieron un acuerdo medio/bajo, por ejemplo, en el caso de sugerir el agregado de títulos intermedios a las carreras de grado, aumentar la cantidad de asignaturas optativas para que cada estudiante pueda seleccionar su especialidad con mayor flexibilidad o a la reducción en la duración de las mismas.</w:t>
      </w:r>
    </w:p>
    <w:p w:rsidR="00000000" w:rsidDel="00000000" w:rsidP="00000000" w:rsidRDefault="00000000" w:rsidRPr="00000000" w14:paraId="000000CD">
      <w:pPr>
        <w:spacing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Finalmente, los cambios tecnológicos en particular y la actualización de la formación en general son aspectos que se marcan como falencia de la universidad en repetidas ocasiones. </w:t>
      </w:r>
      <w:r w:rsidDel="00000000" w:rsidR="00000000" w:rsidRPr="00000000">
        <w:rPr>
          <w:rFonts w:ascii="Times New Roman" w:cs="Times New Roman" w:eastAsia="Times New Roman" w:hAnsi="Times New Roman"/>
          <w:rtl w:val="0"/>
        </w:rPr>
        <w:t xml:space="preserve">Esto invita a repensar las propuestas curriculares de modo que incorporen estas cuestiones.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CF">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al incorporar en los currículums de estudios de las carreras las prácticas profesionales formativas permite alcanzar varios objetivos: i) complementar las competencias académicas de los estudiantes con otras competencias generalmente más vinculadas con el mundo del trabajo, promoviendo una formación profesional integral; ii) facilitar la inserción laboral de los futuros egresados; iii) acompañar las trayectorias en la transición universidad-mercado laboral, permitiendo superar el requisito de experiencia previa generalmente exigido en las búsquedas laborales. </w:t>
      </w:r>
    </w:p>
    <w:p w:rsidR="00000000" w:rsidDel="00000000" w:rsidP="00000000" w:rsidRDefault="00000000" w:rsidRPr="00000000" w14:paraId="000000D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resultados presentados se destaca la importancia de las prácticas formativas como mecanismo de inserción laboral para los estudiantes al observar que en la mayoría de los casos se evidencia que las prácticas constituyen el primer contacto con el ámbito laboral. En un mercado laboral cada vez más competitivo, dinámico y exigente, donde la experiencia previa suele ser un requerimiento común en las búsquedas laborales,  estas instancias contribuyen a superar este obstáculo. Además se observa el elevado grado de acuerdo por parte de los encuestados en relación a que la universidad debería acompañar la transición de los estudiantes hacia el mercado laboral, poniendo de manifiesto la valoración del acompañamiento institucional hacia el final de las trayectorias, en su transición hacia el mundo profesional y del trabajo.  </w:t>
      </w:r>
    </w:p>
    <w:p w:rsidR="00000000" w:rsidDel="00000000" w:rsidP="00000000" w:rsidRDefault="00000000" w:rsidRPr="00000000" w14:paraId="000000D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principales obstáculos que perciben los estudiantes en torno a la implementación de las prácticas formativas se mencionan las siguientes: el proceso de selección, la elaboración de los informes finales y la dificultad para conseguir tutores docentes. </w:t>
      </w:r>
      <w:r w:rsidDel="00000000" w:rsidR="00000000" w:rsidRPr="00000000">
        <w:rPr>
          <w:rtl w:val="0"/>
        </w:rPr>
      </w:r>
    </w:p>
    <w:p w:rsidR="00000000" w:rsidDel="00000000" w:rsidP="00000000" w:rsidRDefault="00000000" w:rsidRPr="00000000" w14:paraId="000000D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a Pagués Serra y Ripani (2017) la universidad no sólo debe responder a las exigencias del mercado laboral actual, sino que tiene que ser proactiva, anticipándose a las nuevas demandas de los nichos de empleo emergentes. Esto requiere además de la actualización del currículum de estudios, que el mismo sea flexible e incorpore competencias para un mundo cambiante. Dentro de dichas competencias, se incluyen las conocidas como “blandas”, tales como: el trabajo en equipo, el liderazgo, la orientación hacia resultados, habilidades comunicacionales, entre otras. En palabras de los alumnos, este tipo de habilidades se trabajan escasamente en las carreras, por lo que, sería conveniente pensar dispositivos de profundización de las mismas.</w:t>
      </w:r>
    </w:p>
    <w:p w:rsidR="00000000" w:rsidDel="00000000" w:rsidP="00000000" w:rsidRDefault="00000000" w:rsidRPr="00000000" w14:paraId="000000D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las competencias técnicas, si bien hay estudiantes que pueden no haber realizado materias específicas al momento de iniciar su práctica, se hace alusión mayormente a capacidades vinculadas al uso de tecnología y esto debería ser transversal a la formación universitaria. Muchas veces los softwares que experimentan en la carrera son muy pocos o lo hacen en las últimas materias, lo que hace que detectar sus falencias en competencias tecnológicas con tanta cercanía a su etapa de inserción laboral, lo que puede llevar a provocarles mayor inseguridad y sensación de no estar preparados para el empleo. </w:t>
      </w:r>
    </w:p>
    <w:p w:rsidR="00000000" w:rsidDel="00000000" w:rsidP="00000000" w:rsidRDefault="00000000" w:rsidRPr="00000000" w14:paraId="000000D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así como la universidad debe mejorar su formación para que el estudiante se sienta mejor preparado para el mercado laboral, también las organizaciones que los reciben deben contar con un programa de inducción adecuado para estudiantes avanzados tal como lo hacen en los casos de los nuevos trabajadores. En las encuestas realizadas, uno de los estudiantes menciona que la empresa le brindó al ingresar una  inducción y eso le ayudó a afrontar mejor su práctica. Es por ello que proponer y planificar estrategias de inclusión y capacitación del estudiante al comienzo de su experiencia puede ser otra forma de acompañamiento en el empleo.</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 el marco del cambio en la normativa del Sistema Argentino de Créditos Académicos Universitario que se está implementando en nuestro país</w:t>
      </w:r>
      <w:r w:rsidDel="00000000" w:rsidR="00000000" w:rsidRPr="00000000">
        <w:rPr>
          <w:rFonts w:ascii="Times New Roman" w:cs="Times New Roman" w:eastAsia="Times New Roman" w:hAnsi="Times New Roman"/>
          <w:rtl w:val="0"/>
        </w:rPr>
        <w:t xml:space="preserve">, este tipo de análisis y reflexiones parecen clave para guiar la implementación del mismo, de manera de buscar planes flexibles que permitan compatibilizar el perfil del graduado con las exigencias y demandas del mundo laboral. Sin embargo, los estudiantes encuestados manifiestan un nivel de acuerdo medio bajo en torno a afirmaciones vinculadas a modificaciones curriculares, como por ejemplo: sugerir el agregado de títulos intermedios a las carreras de grado, aumentar la cantidad de asignaturas optativas para que cada estudiante pueda seleccionar su especialidad con mayor flexibilidad o  la reducción en la duración de las mismas.</w:t>
      </w:r>
      <w:r w:rsidDel="00000000" w:rsidR="00000000" w:rsidRPr="00000000">
        <w:rPr>
          <w:rtl w:val="0"/>
        </w:rPr>
      </w:r>
    </w:p>
    <w:p w:rsidR="00000000" w:rsidDel="00000000" w:rsidP="00000000" w:rsidRDefault="00000000" w:rsidRPr="00000000" w14:paraId="000000D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D8">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Aguilar Cucurachi, M. del S., &amp; Maganda Ramírez, M. del C. (2023). </w:t>
      </w:r>
      <w:r w:rsidDel="00000000" w:rsidR="00000000" w:rsidRPr="00000000">
        <w:rPr>
          <w:rFonts w:ascii="Times New Roman" w:cs="Times New Roman" w:eastAsia="Times New Roman" w:hAnsi="Times New Roman"/>
          <w:i w:val="1"/>
          <w:iCs w:val="1"/>
          <w:rtl w:val="0"/>
        </w:rPr>
        <w:t xml:space="preserve">Las percepciones: ¿Qué son y por qué estudiarlas?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Ciencias, 139–140</w:t>
      </w:r>
      <w:r w:rsidDel="00000000" w:rsidR="00000000" w:rsidRPr="00000000">
        <w:rPr>
          <w:rFonts w:ascii="Times New Roman" w:cs="Times New Roman" w:eastAsia="Times New Roman" w:hAnsi="Times New Roman"/>
          <w:rtl w:val="0"/>
        </w:rPr>
        <w:t xml:space="preserve">, 144–150.</w:t>
      </w:r>
      <w:hyperlink r:id="rId8">
        <w:r w:rsidDel="00000000" w:rsidR="00000000" w:rsidRPr="00000000">
          <w:rPr>
            <w:rFonts w:ascii="Times New Roman" w:cs="Times New Roman" w:eastAsia="Times New Roman" w:hAnsi="Times New Roman"/>
            <w:rtl w:val="0"/>
          </w:rPr>
          <w:t xml:space="preserve"> </w:t>
        </w:r>
      </w:hyperlink>
      <w:hyperlink r:id="rId9">
        <w:r w:rsidDel="00000000" w:rsidR="00000000" w:rsidRPr="00000000">
          <w:rPr>
            <w:rFonts w:ascii="Times New Roman" w:cs="Times New Roman" w:eastAsia="Times New Roman" w:hAnsi="Times New Roman"/>
            <w:color w:val="1155cc"/>
            <w:rtl w:val="0"/>
          </w:rPr>
          <w:t xml:space="preserve">https://www.revistacienciasunam.com/en/busqueda/titulo/215-revistas/revista-ciencias-139-140/2295-%C2%BFlas-percepciones-qu%C3%A9-son-y-por-qu%C3%A9-estudiarlas.html</w:t>
        </w:r>
      </w:hyperlink>
      <w:r w:rsidDel="00000000" w:rsidR="00000000" w:rsidRPr="00000000">
        <w:rPr>
          <w:rtl w:val="0"/>
        </w:rPr>
      </w:r>
    </w:p>
    <w:p w:rsidR="00000000" w:rsidDel="00000000" w:rsidP="00000000" w:rsidRDefault="00000000" w:rsidRPr="00000000" w14:paraId="000000D9">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A">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Alfaro, E. (2023). Educación superior en Argentina. Incidencia en el mercado de trabajo y en las asimetrías territoriales. Revista de la Facultad de Ciencias Económicas, 30(1), 28-36.</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rtl w:val="0"/>
          </w:rPr>
          <w:t xml:space="preserve">https://doi.org/10.30972/rfce.3016711</w:t>
        </w:r>
      </w:hyperlink>
      <w:r w:rsidDel="00000000" w:rsidR="00000000" w:rsidRPr="00000000">
        <w:rPr>
          <w:rtl w:val="0"/>
        </w:rPr>
      </w:r>
    </w:p>
    <w:p w:rsidR="00000000" w:rsidDel="00000000" w:rsidP="00000000" w:rsidRDefault="00000000" w:rsidRPr="00000000" w14:paraId="000000DB">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C">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Andino-González, P. (2023). Estudio Bibliométrico sobre Empleabilidad. Ad-Gnosis, 12(12), 1-25.</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rtl w:val="0"/>
          </w:rPr>
          <w:t xml:space="preserve">https://doi.org/10.21803/adgnosis.12.12.605</w:t>
        </w:r>
      </w:hyperlink>
      <w:r w:rsidDel="00000000" w:rsidR="00000000" w:rsidRPr="00000000">
        <w:rPr>
          <w:rtl w:val="0"/>
        </w:rPr>
      </w:r>
    </w:p>
    <w:p w:rsidR="00000000" w:rsidDel="00000000" w:rsidP="00000000" w:rsidRDefault="00000000" w:rsidRPr="00000000" w14:paraId="000000DD">
      <w:pPr>
        <w:spacing w:after="0" w:line="276" w:lineRule="auto"/>
        <w:jc w:val="both"/>
        <w:rPr>
          <w:rFonts w:ascii="Times New Roman" w:cs="Times New Roman" w:eastAsia="Times New Roman" w:hAnsi="Times New Roman"/>
          <w:color w:val="1155cc"/>
        </w:rPr>
      </w:pPr>
      <w:r w:rsidDel="00000000" w:rsidR="00000000" w:rsidRPr="00000000">
        <w:rPr>
          <w:rtl w:val="0"/>
        </w:rPr>
      </w:r>
    </w:p>
    <w:p w:rsidR="00000000" w:rsidDel="00000000" w:rsidP="00000000" w:rsidRDefault="00000000" w:rsidRPr="00000000" w14:paraId="000000DE">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Finocchiaro, F. &amp; Tarayre, C. (2024). Las prácticas profesionales universitarias y su vínculo con la inserción laboral desde la mirada de los estudiantes. El caso de los Departamentos de Ciencias de la Administración y Economía de la universidad Nacional del Sur. </w:t>
      </w:r>
      <w:r w:rsidDel="00000000" w:rsidR="00000000" w:rsidRPr="00000000">
        <w:rPr>
          <w:rFonts w:ascii="Times New Roman" w:cs="Times New Roman" w:eastAsia="Times New Roman" w:hAnsi="Times New Roman"/>
          <w:i w:val="1"/>
          <w:iCs w:val="1"/>
          <w:highlight w:val="white"/>
          <w:rtl w:val="0"/>
        </w:rPr>
        <w:t xml:space="preserve">Revista de Educación</w:t>
      </w:r>
      <w:r w:rsidDel="00000000" w:rsidR="00000000" w:rsidRPr="00000000">
        <w:rPr>
          <w:rFonts w:ascii="Times New Roman" w:cs="Times New Roman" w:eastAsia="Times New Roman" w:hAnsi="Times New Roman"/>
          <w:highlight w:val="white"/>
          <w:rtl w:val="0"/>
        </w:rPr>
        <w:t xml:space="preserve">, (33), 283-315. Disponible en:</w:t>
      </w:r>
      <w:hyperlink r:id="rId14">
        <w:r w:rsidDel="00000000" w:rsidR="00000000" w:rsidRPr="00000000">
          <w:rPr>
            <w:rFonts w:ascii="Times New Roman" w:cs="Times New Roman" w:eastAsia="Times New Roman" w:hAnsi="Times New Roman"/>
            <w:highlight w:val="white"/>
            <w:rtl w:val="0"/>
          </w:rPr>
          <w:t xml:space="preserve"> </w:t>
        </w:r>
      </w:hyperlink>
      <w:hyperlink r:id="rId15">
        <w:r w:rsidDel="00000000" w:rsidR="00000000" w:rsidRPr="00000000">
          <w:rPr>
            <w:rFonts w:ascii="Times New Roman" w:cs="Times New Roman" w:eastAsia="Times New Roman" w:hAnsi="Times New Roman"/>
            <w:color w:val="0000ff"/>
            <w:highlight w:val="white"/>
            <w:rtl w:val="0"/>
          </w:rPr>
          <w:t xml:space="preserve">https://fh.mdp.edu.ar/revistas/index.php/r_educ/article/view/8275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F">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INDEC (2026). Informe de mercado de trabajo. Tasas e indicadores socioeconómicos. 22 de junio de 2026. Disponible en:</w:t>
      </w:r>
      <w:r w:rsidDel="00000000" w:rsidR="00000000" w:rsidRPr="00000000">
        <w:rPr>
          <w:rFonts w:ascii="Times New Roman" w:cs="Times New Roman" w:eastAsia="Times New Roman" w:hAnsi="Times New Roman"/>
          <w:color w:val="1155cc"/>
          <w:rtl w:val="0"/>
        </w:rPr>
        <w:t xml:space="preserve"> </w:t>
      </w:r>
      <w:hyperlink r:id="rId16">
        <w:r w:rsidDel="00000000" w:rsidR="00000000" w:rsidRPr="00000000">
          <w:rPr>
            <w:rFonts w:ascii="Times New Roman" w:cs="Times New Roman" w:eastAsia="Times New Roman" w:hAnsi="Times New Roman"/>
            <w:color w:val="1155cc"/>
            <w:rtl w:val="0"/>
          </w:rPr>
          <w:t xml:space="preserve">https://www.indec.gob.ar/indec/web/Nivel3-Tema-4-31</w:t>
        </w:r>
      </w:hyperlink>
      <w:r w:rsidDel="00000000" w:rsidR="00000000" w:rsidRPr="00000000">
        <w:rPr>
          <w:rtl w:val="0"/>
        </w:rPr>
      </w:r>
    </w:p>
    <w:p w:rsidR="00000000" w:rsidDel="00000000" w:rsidP="00000000" w:rsidRDefault="00000000" w:rsidRPr="00000000" w14:paraId="000000E1">
      <w:pPr>
        <w:spacing w:after="0" w:line="276" w:lineRule="auto"/>
        <w:jc w:val="both"/>
        <w:rPr>
          <w:rFonts w:ascii="Times New Roman" w:cs="Times New Roman" w:eastAsia="Times New Roman" w:hAnsi="Times New Roman"/>
          <w:color w:val="1155cc"/>
        </w:rPr>
      </w:pPr>
      <w:r w:rsidDel="00000000" w:rsidR="00000000" w:rsidRPr="00000000">
        <w:rPr>
          <w:rtl w:val="0"/>
        </w:rPr>
      </w:r>
    </w:p>
    <w:p w:rsidR="00000000" w:rsidDel="00000000" w:rsidP="00000000" w:rsidRDefault="00000000" w:rsidRPr="00000000" w14:paraId="000000E2">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Ministerio de Justicia de la Nación (2008). </w:t>
      </w:r>
      <w:r w:rsidDel="00000000" w:rsidR="00000000" w:rsidRPr="00000000">
        <w:rPr>
          <w:rFonts w:ascii="Times New Roman" w:cs="Times New Roman" w:eastAsia="Times New Roman" w:hAnsi="Times New Roman"/>
          <w:rtl w:val="0"/>
        </w:rPr>
        <w:t xml:space="preserve">Ley de Pasantías Educativas. Disponible en:</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color w:val="1155cc"/>
            <w:rtl w:val="0"/>
          </w:rPr>
          <w:t xml:space="preserve">https://servicios.infoleg.gob.ar/infolegInternet/anexos/145000-149999/148599/norma.htm</w:t>
        </w:r>
      </w:hyperlink>
      <w:r w:rsidDel="00000000" w:rsidR="00000000" w:rsidRPr="00000000">
        <w:rPr>
          <w:rFonts w:ascii="Times New Roman" w:cs="Times New Roman" w:eastAsia="Times New Roman" w:hAnsi="Times New Roman"/>
          <w:color w:val="1155cc"/>
          <w:rtl w:val="0"/>
        </w:rPr>
        <w:t xml:space="preserve"> </w:t>
      </w:r>
    </w:p>
    <w:p w:rsidR="00000000" w:rsidDel="00000000" w:rsidP="00000000" w:rsidRDefault="00000000" w:rsidRPr="00000000" w14:paraId="000000E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4">
      <w:pPr>
        <w:spacing w:after="0"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Organización Internacional del Trabajo (OIT, </w:t>
      </w:r>
      <w:r w:rsidDel="00000000" w:rsidR="00000000" w:rsidRPr="00000000">
        <w:rPr>
          <w:rFonts w:ascii="Times New Roman" w:cs="Times New Roman" w:eastAsia="Times New Roman" w:hAnsi="Times New Roman"/>
          <w:rtl w:val="0"/>
        </w:rPr>
        <w:t xml:space="preserve">2005). Resolución relativa al empleo de los jóvenes, Conferencia Internacional del Trabajo, 93.ª reunión, Ginebra. En OIT (2013)</w:t>
      </w:r>
    </w:p>
    <w:p w:rsidR="00000000" w:rsidDel="00000000" w:rsidP="00000000" w:rsidRDefault="00000000" w:rsidRPr="00000000" w14:paraId="000000E5">
      <w:pPr>
        <w:spacing w:after="0"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Organización Internacional del Trabajo (OIT, 2013). Mejorar la empleabilidad de los jóvenes: ¿Qué? ¿Por qué? y ¿Cómo? Guía sobre competencias clave, mayo de 2013. Disponible en: </w:t>
      </w:r>
      <w:r w:rsidDel="00000000" w:rsidR="00000000" w:rsidRPr="00000000">
        <w:rPr>
          <w:rFonts w:ascii="Times New Roman" w:cs="Times New Roman" w:eastAsia="Times New Roman" w:hAnsi="Times New Roman"/>
          <w:color w:val="1155cc"/>
          <w:rtl w:val="0"/>
        </w:rPr>
        <w:t xml:space="preserve"> http://www.ilo.org/skills/areas/skills-for-youth-employment/</w:t>
      </w:r>
    </w:p>
    <w:p w:rsidR="00000000" w:rsidDel="00000000" w:rsidP="00000000" w:rsidRDefault="00000000" w:rsidRPr="00000000" w14:paraId="000000E7">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color w:val="1155cc"/>
          <w:rtl w:val="0"/>
        </w:rPr>
        <w:t xml:space="preserve">WCMS_213452/lang--en/index.htm.</w:t>
      </w:r>
    </w:p>
    <w:p w:rsidR="00000000" w:rsidDel="00000000" w:rsidP="00000000" w:rsidRDefault="00000000" w:rsidRPr="00000000" w14:paraId="000000E8">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rtl w:val="0"/>
        </w:rPr>
        <w:t xml:space="preserve">Organización Internacional del Trabajo (OIT, 2023). Las prácticas educativo-laborales: aportes y recomendaciones para garantizar entornos de aprendizaje y experiencia laboral para jóvenes y adolescentes. Buenos Aires: Oficina de país de la OIT para la Argentina. Disponible en:  </w:t>
      </w:r>
      <w:hyperlink r:id="rId19">
        <w:r w:rsidDel="00000000" w:rsidR="00000000" w:rsidRPr="00000000">
          <w:rPr>
            <w:rFonts w:ascii="Times New Roman" w:cs="Times New Roman" w:eastAsia="Times New Roman" w:hAnsi="Times New Roman"/>
            <w:color w:val="1155cc"/>
            <w:rtl w:val="0"/>
          </w:rPr>
          <w:t xml:space="preserve">https://www.ilo.org/es/publications/las-practicas-educativo-laborales-aportes-y-recomendaciones-para-garantizar</w:t>
        </w:r>
      </w:hyperlink>
      <w:r w:rsidDel="00000000" w:rsidR="00000000" w:rsidRPr="00000000">
        <w:rPr>
          <w:rtl w:val="0"/>
        </w:rPr>
      </w:r>
    </w:p>
    <w:p w:rsidR="00000000" w:rsidDel="00000000" w:rsidP="00000000" w:rsidRDefault="00000000" w:rsidRPr="00000000" w14:paraId="000000EA">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Oviedo, G. L. (2004). La definición del concepto de percepción en psicología con base en la teoría Gestalt. Revista de estudios sociales, (18), 89-96.</w:t>
      </w:r>
    </w:p>
    <w:p w:rsidR="00000000" w:rsidDel="00000000" w:rsidP="00000000" w:rsidRDefault="00000000" w:rsidRPr="00000000" w14:paraId="000000EC">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spacing w:after="0" w:line="276" w:lineRule="auto"/>
        <w:jc w:val="both"/>
        <w:rPr>
          <w:rFonts w:ascii="Times New Roman" w:cs="Times New Roman" w:eastAsia="Times New Roman" w:hAnsi="Times New Roman"/>
          <w:color w:val="1155cc"/>
        </w:rPr>
      </w:pPr>
      <w:r w:rsidDel="00000000" w:rsidR="00000000" w:rsidRPr="00000000">
        <w:rPr>
          <w:rFonts w:ascii="Times New Roman" w:cs="Times New Roman" w:eastAsia="Times New Roman" w:hAnsi="Times New Roman"/>
          <w:sz w:val="23"/>
          <w:szCs w:val="23"/>
          <w:rtl w:val="0"/>
        </w:rPr>
        <w:t xml:space="preserve">Pagués Serra, C. &amp; Ripani, L. (2017). El empleo en la Cuarta Revolución Industrial. Integración y comercio, 42, 266-276. </w:t>
      </w:r>
      <w:r w:rsidDel="00000000" w:rsidR="00000000" w:rsidRPr="00000000">
        <w:rPr>
          <w:rFonts w:ascii="Times New Roman" w:cs="Times New Roman" w:eastAsia="Times New Roman" w:hAnsi="Times New Roman"/>
          <w:color w:val="1155cc"/>
          <w:rtl w:val="0"/>
        </w:rPr>
        <w:t xml:space="preserve">https://dialnet.unirioja.es/servlet/articulo?codigo=6174376</w:t>
      </w:r>
    </w:p>
    <w:p w:rsidR="00000000" w:rsidDel="00000000" w:rsidP="00000000" w:rsidRDefault="00000000" w:rsidRPr="00000000" w14:paraId="000000EE">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Planas-Coll, J., &amp; Enciso-Ávila, I. (2014). Los estudiantes que trabajan: ¿tiene valor profesional el trabajo durante los estudios?. Revista Iberoamericana de Educación Superior , V (12), 23-45.</w:t>
      </w:r>
    </w:p>
    <w:p w:rsidR="00000000" w:rsidDel="00000000" w:rsidP="00000000" w:rsidRDefault="00000000" w:rsidRPr="00000000" w14:paraId="000000F1">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spacing w:after="0" w:line="276"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Romero Carrión, V. L., Bedón Soria, Y. T., &amp; Franco Medina, J. L.. (2022). Meta-análisis de competencias transversales en la empleabilidad de los universitarios. </w:t>
      </w:r>
      <w:r w:rsidDel="00000000" w:rsidR="00000000" w:rsidRPr="00000000">
        <w:rPr>
          <w:rFonts w:ascii="Times New Roman" w:cs="Times New Roman" w:eastAsia="Times New Roman" w:hAnsi="Times New Roman"/>
          <w:rtl w:val="0"/>
        </w:rPr>
        <w:t xml:space="preserve">Revista gestión de las personas y tecnología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15</w:t>
      </w:r>
      <w:r w:rsidDel="00000000" w:rsidR="00000000" w:rsidRPr="00000000">
        <w:rPr>
          <w:rFonts w:ascii="Times New Roman" w:cs="Times New Roman" w:eastAsia="Times New Roman" w:hAnsi="Times New Roman"/>
          <w:rtl w:val="0"/>
        </w:rPr>
        <w:t xml:space="preserve">(43), 20-42. </w:t>
      </w:r>
      <w:hyperlink r:id="rId20">
        <w:r w:rsidDel="00000000" w:rsidR="00000000" w:rsidRPr="00000000">
          <w:rPr>
            <w:rFonts w:ascii="Times New Roman" w:cs="Times New Roman" w:eastAsia="Times New Roman" w:hAnsi="Times New Roman"/>
            <w:color w:val="1155cc"/>
            <w:rtl w:val="0"/>
          </w:rPr>
          <w:t xml:space="preserve">https://dx.doi.org/10.35588/gpt.v15i43.5464</w:t>
        </w:r>
      </w:hyperlink>
      <w:r w:rsidDel="00000000" w:rsidR="00000000" w:rsidRPr="00000000">
        <w:rPr>
          <w:rFonts w:ascii="Times New Roman" w:cs="Times New Roman" w:eastAsia="Times New Roman" w:hAnsi="Times New Roman"/>
          <w:color w:val="1155cc"/>
          <w:rtl w:val="0"/>
        </w:rPr>
        <w:t xml:space="preserve"> </w:t>
      </w:r>
      <w:r w:rsidDel="00000000" w:rsidR="00000000" w:rsidRPr="00000000">
        <w:rPr>
          <w:rtl w:val="0"/>
        </w:rPr>
      </w:r>
    </w:p>
    <w:p w:rsidR="00000000" w:rsidDel="00000000" w:rsidP="00000000" w:rsidRDefault="00000000" w:rsidRPr="00000000" w14:paraId="000000F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5">
      <w:pPr>
        <w:spacing w:line="240" w:lineRule="auto"/>
        <w:jc w:val="left"/>
        <w:rPr>
          <w:rFonts w:ascii="Times New Roman" w:cs="Times New Roman" w:eastAsia="Times New Roman" w:hAnsi="Times New Roman"/>
          <w:b w:val="1"/>
          <w:bCs w:val="1"/>
        </w:rPr>
      </w:pPr>
      <w:r w:rsidDel="00000000" w:rsidR="00000000" w:rsidRPr="00000000">
        <w:rPr>
          <w:rtl w:val="0"/>
        </w:rPr>
      </w:r>
    </w:p>
    <w:sectPr>
      <w:headerReference r:id="rId21" w:type="default"/>
      <w:footerReference r:id="rId2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x.doi.org/10.35588/gpt.v15i43.5464" TargetMode="External"/><Relationship Id="rId11" Type="http://schemas.openxmlformats.org/officeDocument/2006/relationships/hyperlink" Target="https://doi.org/10.30972/rfce.3016711" TargetMode="External"/><Relationship Id="rId22" Type="http://schemas.openxmlformats.org/officeDocument/2006/relationships/footer" Target="footer1.xml"/><Relationship Id="rId10" Type="http://schemas.openxmlformats.org/officeDocument/2006/relationships/hyperlink" Target="https://doi.org/10.30972/rfce.3016711" TargetMode="External"/><Relationship Id="rId21" Type="http://schemas.openxmlformats.org/officeDocument/2006/relationships/header" Target="header1.xml"/><Relationship Id="rId13" Type="http://schemas.openxmlformats.org/officeDocument/2006/relationships/hyperlink" Target="https://doi.org/10.21803/adgnosis.12.12.605" TargetMode="External"/><Relationship Id="rId12" Type="http://schemas.openxmlformats.org/officeDocument/2006/relationships/hyperlink" Target="https://doi.org/10.21803/adgnosis.12.12.60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vistacienciasunam.com/en/busqueda/titulo/215-revistas/revista-ciencias-139-140/2295-%C2%BFlas-percepciones-qu%C3%A9-son-y-por-qu%C3%A9-estudiarlas.html" TargetMode="External"/><Relationship Id="rId15" Type="http://schemas.openxmlformats.org/officeDocument/2006/relationships/hyperlink" Target="https://fh.mdp.edu.ar/revistas/index.php/r_educ/article/view/8275" TargetMode="External"/><Relationship Id="rId14" Type="http://schemas.openxmlformats.org/officeDocument/2006/relationships/hyperlink" Target="https://fh.mdp.edu.ar/revistas/index.php/r_educ/article/view/8275" TargetMode="External"/><Relationship Id="rId17" Type="http://schemas.openxmlformats.org/officeDocument/2006/relationships/hyperlink" Target="https://servicios.infoleg.gob.ar/infolegInternet/anexos/145000-149999/148599/norma.htm" TargetMode="External"/><Relationship Id="rId16" Type="http://schemas.openxmlformats.org/officeDocument/2006/relationships/hyperlink" Target="https://www.indec.gob.ar/indec/web/Nivel3-Tema-4-31" TargetMode="External"/><Relationship Id="rId5" Type="http://schemas.openxmlformats.org/officeDocument/2006/relationships/styles" Target="styles.xml"/><Relationship Id="rId19" Type="http://schemas.openxmlformats.org/officeDocument/2006/relationships/hyperlink" Target="https://www.ilo.org/es/publications/las-practicas-educativo-laborales-aportes-y-recomendaciones-para-garantizar" TargetMode="External"/><Relationship Id="rId6" Type="http://schemas.openxmlformats.org/officeDocument/2006/relationships/customXml" Target="../customXML/item1.xml"/><Relationship Id="rId18" Type="http://schemas.openxmlformats.org/officeDocument/2006/relationships/hyperlink" Target="https://servicios.infoleg.gob.ar/infolegInternet/anexos/145000-149999/148599/norma.htm" TargetMode="External"/><Relationship Id="rId7" Type="http://schemas.openxmlformats.org/officeDocument/2006/relationships/hyperlink" Target="mailto:franco.finocchiaro@uns.edu.ar" TargetMode="External"/><Relationship Id="rId8" Type="http://schemas.openxmlformats.org/officeDocument/2006/relationships/hyperlink" Target="https://www.revistacienciasunam.com/en/busqueda/titulo/215-revistas/revista-ciencias-139-140/2295-%C2%BFlas-percepciones-qu%C3%A9-son-y-por-qu%C3%A9-estudiarla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dfFilWqsayVwgId6DhqXDJy/qA==">CgMxLjA4AHIhMWpzd2laU293RzF3T3k0ZHBsX2Y0YkdGSjA3WjktYzhL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