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6375D2F" w14:textId="77777777" w:rsidR="00580DF1" w:rsidRPr="00580DF1" w:rsidRDefault="00580DF1" w:rsidP="00580DF1">
      <w:pPr>
        <w:jc w:val="center"/>
        <w:rPr>
          <w:rFonts w:ascii="Times New Roman" w:hAnsi="Times New Roman" w:cs="Times New Roman"/>
          <w:b/>
          <w:bCs/>
        </w:rPr>
      </w:pPr>
      <w:r w:rsidRPr="00580DF1">
        <w:rPr>
          <w:rFonts w:ascii="Times New Roman" w:hAnsi="Times New Roman" w:cs="Times New Roman"/>
          <w:b/>
          <w:bCs/>
        </w:rPr>
        <w:t>El inicio de la vida universitaria: estudio exploratorio de métodos mixtos en el Ciclo Básico Común de la Universidad de Buenos Aires.</w:t>
      </w:r>
    </w:p>
    <w:p w14:paraId="3BF4B8D3" w14:textId="77777777" w:rsidR="00AB538E" w:rsidRDefault="00AB538E" w:rsidP="00AB538E">
      <w:pPr>
        <w:spacing w:after="0" w:line="240" w:lineRule="auto"/>
        <w:jc w:val="right"/>
        <w:rPr>
          <w:rFonts w:ascii="Times New Roman" w:hAnsi="Times New Roman" w:cs="Times New Roman"/>
        </w:rPr>
      </w:pP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2A1FC883"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AB538E">
        <w:rPr>
          <w:rFonts w:ascii="Times New Roman" w:hAnsi="Times New Roman" w:cs="Times New Roman"/>
        </w:rPr>
        <w:t>Lynch, Gloria</w:t>
      </w:r>
    </w:p>
    <w:p w14:paraId="4E696C7D" w14:textId="53ADE987" w:rsidR="005F3B2E" w:rsidRPr="00BA642E" w:rsidRDefault="00AB538E" w:rsidP="005F3B2E">
      <w:pPr>
        <w:spacing w:after="0" w:line="240" w:lineRule="auto"/>
        <w:jc w:val="right"/>
        <w:rPr>
          <w:rFonts w:ascii="Times New Roman" w:hAnsi="Times New Roman" w:cs="Times New Roman"/>
        </w:rPr>
      </w:pPr>
      <w:r>
        <w:rPr>
          <w:rFonts w:ascii="Times New Roman" w:hAnsi="Times New Roman" w:cs="Times New Roman"/>
        </w:rPr>
        <w:t>UBA-CBC/IUAS</w:t>
      </w:r>
    </w:p>
    <w:p w14:paraId="3D73DB11" w14:textId="54898223" w:rsidR="005F3B2E" w:rsidRDefault="00AB538E" w:rsidP="005F3B2E">
      <w:pPr>
        <w:spacing w:after="0" w:line="240" w:lineRule="auto"/>
        <w:jc w:val="right"/>
        <w:rPr>
          <w:rFonts w:ascii="Times New Roman" w:hAnsi="Times New Roman" w:cs="Times New Roman"/>
        </w:rPr>
      </w:pPr>
      <w:hyperlink r:id="rId6" w:history="1">
        <w:r w:rsidRPr="0060645E">
          <w:rPr>
            <w:rStyle w:val="Hipervnculo"/>
            <w:rFonts w:ascii="Times New Roman" w:hAnsi="Times New Roman" w:cs="Times New Roman"/>
          </w:rPr>
          <w:t>glynch@iuas.edu.ar</w:t>
        </w:r>
      </w:hyperlink>
    </w:p>
    <w:p w14:paraId="19037FA7" w14:textId="77777777" w:rsidR="00AB538E" w:rsidRDefault="00AB538E" w:rsidP="005F3B2E">
      <w:pPr>
        <w:spacing w:after="0" w:line="240" w:lineRule="auto"/>
        <w:jc w:val="right"/>
        <w:rPr>
          <w:rFonts w:ascii="Times New Roman" w:hAnsi="Times New Roman" w:cs="Times New Roman"/>
        </w:rPr>
      </w:pPr>
    </w:p>
    <w:p w14:paraId="3763BB2D" w14:textId="77777777" w:rsidR="00D73136" w:rsidRPr="00BA642E" w:rsidRDefault="00D73136" w:rsidP="00D73136">
      <w:pPr>
        <w:spacing w:after="0" w:line="240" w:lineRule="auto"/>
        <w:jc w:val="right"/>
        <w:rPr>
          <w:rFonts w:ascii="Times New Roman" w:hAnsi="Times New Roman" w:cs="Times New Roman"/>
        </w:rPr>
      </w:pPr>
      <w:r>
        <w:rPr>
          <w:rFonts w:ascii="Times New Roman" w:hAnsi="Times New Roman" w:cs="Times New Roman"/>
        </w:rPr>
        <w:t>Allona, Lucía</w:t>
      </w:r>
    </w:p>
    <w:p w14:paraId="08109042" w14:textId="77777777" w:rsidR="00D73136" w:rsidRPr="00BA642E" w:rsidRDefault="00D73136" w:rsidP="00D73136">
      <w:pPr>
        <w:spacing w:after="0" w:line="240" w:lineRule="auto"/>
        <w:jc w:val="right"/>
        <w:rPr>
          <w:rFonts w:ascii="Times New Roman" w:hAnsi="Times New Roman" w:cs="Times New Roman"/>
        </w:rPr>
      </w:pPr>
      <w:r>
        <w:rPr>
          <w:rFonts w:ascii="Times New Roman" w:hAnsi="Times New Roman" w:cs="Times New Roman"/>
        </w:rPr>
        <w:t>UBA-CBC</w:t>
      </w:r>
    </w:p>
    <w:p w14:paraId="25F15C04" w14:textId="10AF9A7F" w:rsidR="00D73136" w:rsidRDefault="00D73136" w:rsidP="005F3B2E">
      <w:pPr>
        <w:spacing w:after="0" w:line="240" w:lineRule="auto"/>
        <w:jc w:val="right"/>
        <w:rPr>
          <w:rFonts w:ascii="Times New Roman" w:hAnsi="Times New Roman" w:cs="Times New Roman"/>
        </w:rPr>
      </w:pPr>
      <w:hyperlink r:id="rId7" w:history="1">
        <w:r w:rsidRPr="004F3DA1">
          <w:rPr>
            <w:rStyle w:val="Hipervnculo"/>
            <w:rFonts w:ascii="Times New Roman" w:hAnsi="Times New Roman" w:cs="Times New Roman"/>
          </w:rPr>
          <w:t>luciaallona.wna@gmail.com</w:t>
        </w:r>
      </w:hyperlink>
    </w:p>
    <w:p w14:paraId="49075523" w14:textId="77777777" w:rsidR="00D73136" w:rsidRDefault="00D73136" w:rsidP="00D73136">
      <w:pPr>
        <w:spacing w:after="0" w:line="240" w:lineRule="auto"/>
        <w:rPr>
          <w:rFonts w:ascii="Times New Roman" w:hAnsi="Times New Roman" w:cs="Times New Roman"/>
        </w:rPr>
      </w:pPr>
    </w:p>
    <w:p w14:paraId="6AED493D" w14:textId="77777777" w:rsidR="00AB538E" w:rsidRDefault="00AB538E" w:rsidP="00D73136">
      <w:pPr>
        <w:spacing w:after="0" w:line="240" w:lineRule="auto"/>
        <w:jc w:val="center"/>
        <w:rPr>
          <w:rFonts w:ascii="Times New Roman" w:hAnsi="Times New Roman" w:cs="Times New Roman"/>
        </w:rPr>
      </w:pPr>
    </w:p>
    <w:p w14:paraId="2BCDAC25" w14:textId="086900A4" w:rsidR="00AB538E" w:rsidRDefault="00AB538E" w:rsidP="005F3B2E">
      <w:pPr>
        <w:spacing w:after="0" w:line="240" w:lineRule="auto"/>
        <w:jc w:val="right"/>
        <w:rPr>
          <w:rFonts w:ascii="Times New Roman" w:hAnsi="Times New Roman" w:cs="Times New Roman"/>
        </w:rPr>
      </w:pPr>
      <w:r>
        <w:rPr>
          <w:rFonts w:ascii="Times New Roman" w:hAnsi="Times New Roman" w:cs="Times New Roman"/>
        </w:rPr>
        <w:t>Magdalena Testado</w:t>
      </w:r>
    </w:p>
    <w:p w14:paraId="0BD86A0C" w14:textId="52FBA19E" w:rsidR="00AB538E" w:rsidRDefault="00AB538E" w:rsidP="005F3B2E">
      <w:pPr>
        <w:spacing w:after="0" w:line="240" w:lineRule="auto"/>
        <w:jc w:val="right"/>
        <w:rPr>
          <w:rFonts w:ascii="Times New Roman" w:hAnsi="Times New Roman" w:cs="Times New Roman"/>
        </w:rPr>
      </w:pPr>
      <w:r>
        <w:rPr>
          <w:rFonts w:ascii="Times New Roman" w:hAnsi="Times New Roman" w:cs="Times New Roman"/>
        </w:rPr>
        <w:t>UBA-CBC/IUAS</w:t>
      </w:r>
    </w:p>
    <w:p w14:paraId="1A7413AD" w14:textId="73EF2C77" w:rsidR="00AB538E" w:rsidRDefault="00AB538E" w:rsidP="005F3B2E">
      <w:pPr>
        <w:spacing w:after="0" w:line="240" w:lineRule="auto"/>
        <w:jc w:val="right"/>
        <w:rPr>
          <w:rFonts w:ascii="Times New Roman" w:hAnsi="Times New Roman" w:cs="Times New Roman"/>
        </w:rPr>
      </w:pPr>
      <w:hyperlink r:id="rId8" w:history="1">
        <w:r w:rsidRPr="0060645E">
          <w:rPr>
            <w:rStyle w:val="Hipervnculo"/>
            <w:rFonts w:ascii="Times New Roman" w:hAnsi="Times New Roman" w:cs="Times New Roman"/>
          </w:rPr>
          <w:t>sec.planificacion@iuas.edu.ar</w:t>
        </w:r>
      </w:hyperlink>
    </w:p>
    <w:p w14:paraId="10775BDE" w14:textId="77777777" w:rsidR="00AB538E" w:rsidRDefault="00AB538E" w:rsidP="005F3B2E">
      <w:pPr>
        <w:spacing w:after="0" w:line="240" w:lineRule="auto"/>
        <w:jc w:val="right"/>
        <w:rPr>
          <w:rFonts w:ascii="Times New Roman" w:hAnsi="Times New Roman" w:cs="Times New Roman"/>
        </w:rPr>
      </w:pPr>
    </w:p>
    <w:p w14:paraId="7E2336A2" w14:textId="77777777" w:rsidR="00D73136" w:rsidRDefault="00D73136" w:rsidP="00D73136">
      <w:pPr>
        <w:spacing w:after="0" w:line="240" w:lineRule="auto"/>
        <w:jc w:val="right"/>
        <w:rPr>
          <w:rFonts w:ascii="Times New Roman" w:hAnsi="Times New Roman" w:cs="Times New Roman"/>
        </w:rPr>
      </w:pPr>
      <w:r>
        <w:rPr>
          <w:rFonts w:ascii="Times New Roman" w:hAnsi="Times New Roman" w:cs="Times New Roman"/>
        </w:rPr>
        <w:t>Liberman, Luis</w:t>
      </w:r>
    </w:p>
    <w:p w14:paraId="27F3DF96" w14:textId="77777777" w:rsidR="00D73136" w:rsidRDefault="00D73136" w:rsidP="00D73136">
      <w:pPr>
        <w:spacing w:after="0" w:line="240" w:lineRule="auto"/>
        <w:jc w:val="right"/>
        <w:rPr>
          <w:rFonts w:ascii="Times New Roman" w:hAnsi="Times New Roman" w:cs="Times New Roman"/>
        </w:rPr>
      </w:pPr>
      <w:r>
        <w:rPr>
          <w:rFonts w:ascii="Times New Roman" w:hAnsi="Times New Roman" w:cs="Times New Roman"/>
        </w:rPr>
        <w:t>UBA-CBC/IUAS</w:t>
      </w:r>
    </w:p>
    <w:p w14:paraId="51D54533" w14:textId="77777777" w:rsidR="00D73136" w:rsidRDefault="00D73136" w:rsidP="00D73136">
      <w:pPr>
        <w:spacing w:after="0" w:line="240" w:lineRule="auto"/>
        <w:jc w:val="right"/>
        <w:rPr>
          <w:rFonts w:ascii="Times New Roman" w:hAnsi="Times New Roman" w:cs="Times New Roman"/>
        </w:rPr>
      </w:pPr>
      <w:hyperlink r:id="rId9" w:history="1">
        <w:r w:rsidRPr="0060645E">
          <w:rPr>
            <w:rStyle w:val="Hipervnculo"/>
            <w:rFonts w:ascii="Times New Roman" w:hAnsi="Times New Roman" w:cs="Times New Roman"/>
          </w:rPr>
          <w:t>rector@iuas.edu.ar</w:t>
        </w:r>
      </w:hyperlink>
    </w:p>
    <w:p w14:paraId="77E253C5" w14:textId="77777777" w:rsidR="00D73136" w:rsidRDefault="00D73136" w:rsidP="00D73136">
      <w:pPr>
        <w:spacing w:after="0" w:line="240" w:lineRule="auto"/>
        <w:rPr>
          <w:rFonts w:ascii="Times New Roman" w:hAnsi="Times New Roman" w:cs="Times New Roman"/>
          <w:b/>
          <w:bCs/>
        </w:rPr>
      </w:pPr>
    </w:p>
    <w:p w14:paraId="40B4B157" w14:textId="77777777" w:rsidR="00D73136" w:rsidRPr="00BA642E" w:rsidRDefault="00D73136" w:rsidP="00D73136">
      <w:pPr>
        <w:spacing w:after="0" w:line="240" w:lineRule="auto"/>
        <w:jc w:val="right"/>
        <w:rPr>
          <w:rFonts w:ascii="Times New Roman" w:hAnsi="Times New Roman" w:cs="Times New Roman"/>
        </w:rPr>
      </w:pPr>
      <w:r>
        <w:rPr>
          <w:rFonts w:ascii="Times New Roman" w:hAnsi="Times New Roman" w:cs="Times New Roman"/>
        </w:rPr>
        <w:t xml:space="preserve">Irrazabal, Gabriela </w:t>
      </w:r>
    </w:p>
    <w:p w14:paraId="6F042B59" w14:textId="77777777" w:rsidR="00D73136" w:rsidRPr="00BA642E" w:rsidRDefault="00D73136" w:rsidP="00D73136">
      <w:pPr>
        <w:spacing w:after="0" w:line="240" w:lineRule="auto"/>
        <w:jc w:val="right"/>
        <w:rPr>
          <w:rFonts w:ascii="Times New Roman" w:hAnsi="Times New Roman" w:cs="Times New Roman"/>
        </w:rPr>
      </w:pPr>
      <w:r>
        <w:rPr>
          <w:rFonts w:ascii="Times New Roman" w:hAnsi="Times New Roman" w:cs="Times New Roman"/>
        </w:rPr>
        <w:t>UBA-CBC/CONICET</w:t>
      </w:r>
    </w:p>
    <w:p w14:paraId="0DFFDFE2" w14:textId="77777777" w:rsidR="00D73136" w:rsidRDefault="00D73136" w:rsidP="00D73136">
      <w:pPr>
        <w:spacing w:after="0" w:line="240" w:lineRule="auto"/>
        <w:jc w:val="right"/>
        <w:rPr>
          <w:rFonts w:ascii="Times New Roman" w:hAnsi="Times New Roman" w:cs="Times New Roman"/>
        </w:rPr>
      </w:pPr>
      <w:hyperlink r:id="rId10" w:history="1">
        <w:r w:rsidRPr="0060645E">
          <w:rPr>
            <w:rStyle w:val="Hipervnculo"/>
            <w:rFonts w:ascii="Times New Roman" w:hAnsi="Times New Roman" w:cs="Times New Roman"/>
          </w:rPr>
          <w:t>impulsa.lab@cbc.uba.ar</w:t>
        </w:r>
      </w:hyperlink>
    </w:p>
    <w:p w14:paraId="247A036E" w14:textId="77777777" w:rsidR="00D73136" w:rsidRPr="00BA642E" w:rsidRDefault="00D73136" w:rsidP="005F3B2E">
      <w:pPr>
        <w:spacing w:after="0" w:line="240" w:lineRule="auto"/>
        <w:jc w:val="right"/>
        <w:rPr>
          <w:rFonts w:ascii="Times New Roman" w:hAnsi="Times New Roman" w:cs="Times New Roman"/>
        </w:rPr>
      </w:pPr>
    </w:p>
    <w:p w14:paraId="1B43FD84" w14:textId="77777777" w:rsidR="001923DC" w:rsidRPr="00BA642E" w:rsidRDefault="001923DC" w:rsidP="001923DC">
      <w:pPr>
        <w:jc w:val="center"/>
        <w:rPr>
          <w:rFonts w:ascii="Times New Roman" w:hAnsi="Times New Roman" w:cs="Times New Roman"/>
        </w:rPr>
      </w:pPr>
    </w:p>
    <w:p w14:paraId="7B9027E2" w14:textId="77777777" w:rsidR="00BA642E" w:rsidRDefault="00BA642E" w:rsidP="005F3B2E">
      <w:pPr>
        <w:rPr>
          <w:rFonts w:ascii="Times New Roman" w:hAnsi="Times New Roman" w:cs="Times New Roman"/>
          <w:b/>
          <w:bCs/>
          <w:color w:val="EE0000"/>
        </w:rPr>
      </w:pPr>
    </w:p>
    <w:p w14:paraId="132C5746" w14:textId="77777777" w:rsidR="00D73136" w:rsidRDefault="00D73136" w:rsidP="005F3B2E">
      <w:pPr>
        <w:rPr>
          <w:rFonts w:ascii="Times New Roman" w:hAnsi="Times New Roman" w:cs="Times New Roman"/>
          <w:b/>
          <w:bCs/>
          <w:color w:val="EE0000"/>
        </w:rPr>
      </w:pPr>
    </w:p>
    <w:p w14:paraId="178ACC29" w14:textId="77777777" w:rsidR="00D73136" w:rsidRDefault="00D73136" w:rsidP="005F3B2E">
      <w:pPr>
        <w:rPr>
          <w:rFonts w:ascii="Times New Roman" w:hAnsi="Times New Roman" w:cs="Times New Roman"/>
          <w:b/>
          <w:bCs/>
          <w:color w:val="EE0000"/>
        </w:rPr>
      </w:pPr>
    </w:p>
    <w:p w14:paraId="6987C4EB" w14:textId="77777777" w:rsidR="00D73136" w:rsidRDefault="00D73136" w:rsidP="005F3B2E">
      <w:pPr>
        <w:rPr>
          <w:rFonts w:ascii="Times New Roman" w:hAnsi="Times New Roman" w:cs="Times New Roman"/>
          <w:b/>
          <w:bCs/>
          <w:color w:val="EE0000"/>
        </w:rPr>
      </w:pPr>
    </w:p>
    <w:p w14:paraId="739CE06C" w14:textId="77777777" w:rsidR="00D73136" w:rsidRDefault="00D73136" w:rsidP="005F3B2E">
      <w:pPr>
        <w:rPr>
          <w:rFonts w:ascii="Times New Roman" w:hAnsi="Times New Roman" w:cs="Times New Roman"/>
          <w:b/>
          <w:bCs/>
          <w:color w:val="EE0000"/>
        </w:rPr>
      </w:pPr>
    </w:p>
    <w:p w14:paraId="7E636E48" w14:textId="77777777" w:rsidR="00D73136" w:rsidRDefault="00D73136" w:rsidP="005F3B2E">
      <w:pPr>
        <w:rPr>
          <w:rFonts w:ascii="Times New Roman" w:hAnsi="Times New Roman" w:cs="Times New Roman"/>
          <w:b/>
          <w:bCs/>
          <w:color w:val="EE0000"/>
        </w:rPr>
      </w:pPr>
    </w:p>
    <w:p w14:paraId="3128AF48" w14:textId="77777777" w:rsidR="00D73136" w:rsidRPr="00BA642E" w:rsidRDefault="00D73136" w:rsidP="005F3B2E">
      <w:pPr>
        <w:rPr>
          <w:rFonts w:ascii="Times New Roman" w:hAnsi="Times New Roman" w:cs="Times New Roman"/>
          <w:b/>
          <w:bCs/>
        </w:rPr>
      </w:pPr>
    </w:p>
    <w:p w14:paraId="0AEAE1A5" w14:textId="77777777" w:rsidR="00944860" w:rsidRDefault="00944860" w:rsidP="00580DF1">
      <w:pPr>
        <w:spacing w:line="240" w:lineRule="auto"/>
        <w:jc w:val="both"/>
        <w:rPr>
          <w:rFonts w:ascii="Times New Roman" w:hAnsi="Times New Roman" w:cs="Times New Roman"/>
          <w:b/>
          <w:bCs/>
          <w:lang w:val="en-US"/>
        </w:rPr>
      </w:pPr>
    </w:p>
    <w:p w14:paraId="6FDF1C1A" w14:textId="77777777" w:rsidR="00944860" w:rsidRDefault="00944860" w:rsidP="00580DF1">
      <w:pPr>
        <w:spacing w:line="240" w:lineRule="auto"/>
        <w:jc w:val="both"/>
        <w:rPr>
          <w:rFonts w:ascii="Times New Roman" w:hAnsi="Times New Roman" w:cs="Times New Roman"/>
          <w:b/>
          <w:bCs/>
          <w:lang w:val="en-US"/>
        </w:rPr>
      </w:pPr>
    </w:p>
    <w:p w14:paraId="0A8AA386" w14:textId="6ABD0592" w:rsidR="00580DF1" w:rsidRDefault="00AB538E" w:rsidP="00580DF1">
      <w:pPr>
        <w:spacing w:line="240" w:lineRule="auto"/>
        <w:jc w:val="both"/>
        <w:rPr>
          <w:rFonts w:ascii="Times New Roman" w:hAnsi="Times New Roman" w:cs="Times New Roman"/>
          <w:b/>
          <w:bCs/>
          <w:lang w:val="en-US"/>
        </w:rPr>
      </w:pPr>
      <w:proofErr w:type="spellStart"/>
      <w:r>
        <w:rPr>
          <w:rFonts w:ascii="Times New Roman" w:hAnsi="Times New Roman" w:cs="Times New Roman"/>
          <w:b/>
          <w:bCs/>
          <w:lang w:val="en-US"/>
        </w:rPr>
        <w:lastRenderedPageBreak/>
        <w:t>Resumen</w:t>
      </w:r>
      <w:proofErr w:type="spellEnd"/>
    </w:p>
    <w:p w14:paraId="3ACA5FDF" w14:textId="03B000E2" w:rsidR="00580DF1" w:rsidRPr="004F5826" w:rsidRDefault="00580DF1" w:rsidP="00580DF1">
      <w:pPr>
        <w:spacing w:line="240" w:lineRule="auto"/>
        <w:jc w:val="both"/>
        <w:rPr>
          <w:rFonts w:ascii="Times New Roman" w:hAnsi="Times New Roman" w:cs="Times New Roman"/>
          <w:bCs/>
          <w:lang w:val="es-ES"/>
        </w:rPr>
      </w:pPr>
      <w:r w:rsidRPr="004F5826">
        <w:rPr>
          <w:rFonts w:ascii="Times New Roman" w:hAnsi="Times New Roman" w:cs="Times New Roman"/>
          <w:bCs/>
          <w:lang w:val="es-ES"/>
        </w:rPr>
        <w:t xml:space="preserve">Esta ponencia presenta resultados de un estudio exploratorio de métodos mixtos sobre inicio de la vida universitaria en el Ciclo Básico Común (CBC) de la Universidad de Buenos Aires, realizado durante diciembre de 2025 con una muestra no probabilística de 210 y 5 entrevistas en profundidad, con el objetivo de caracterizar los principales desafíos académicos y emocionales que enfrentan los y las ingresantes en esta etapa formativa. </w:t>
      </w:r>
    </w:p>
    <w:p w14:paraId="00CCB220" w14:textId="77777777" w:rsidR="00580DF1" w:rsidRPr="004F5826" w:rsidRDefault="00580DF1" w:rsidP="00580DF1">
      <w:pPr>
        <w:spacing w:line="240" w:lineRule="auto"/>
        <w:jc w:val="both"/>
        <w:rPr>
          <w:rFonts w:ascii="Times New Roman" w:hAnsi="Times New Roman" w:cs="Times New Roman"/>
          <w:bCs/>
          <w:lang w:val="es-ES"/>
        </w:rPr>
      </w:pPr>
      <w:r w:rsidRPr="004F5826">
        <w:rPr>
          <w:rFonts w:ascii="Times New Roman" w:hAnsi="Times New Roman" w:cs="Times New Roman"/>
          <w:bCs/>
          <w:lang w:val="es-ES"/>
        </w:rPr>
        <w:t xml:space="preserve">Los hallazgos muestran una experiencia ambivalente: mientras el 57,6% espera encontrar formación académica sólida en la universidad, el 85% reporta algún nivel de impacto en su bienestar emocional y el 19,7% identifica que “organizarse para estudiar” es la principal dificultad al ingresar. La investigación documenta una transformación acelerada en las prácticas de aprendizaje, dado que el 72,4% utiliza herramientas de inteligencia artificial en sus actividades académicas cotidianas, lo cual plantea interrogantes sobre cómo acompañar pedagógicamente estas nuevas formas de estudio que emergen de manera masiva. </w:t>
      </w:r>
    </w:p>
    <w:p w14:paraId="47DA2D5F" w14:textId="77777777" w:rsidR="00580DF1" w:rsidRPr="004F5826" w:rsidRDefault="00580DF1" w:rsidP="00580DF1">
      <w:pPr>
        <w:spacing w:line="240" w:lineRule="auto"/>
        <w:jc w:val="both"/>
        <w:rPr>
          <w:rFonts w:ascii="Times New Roman" w:hAnsi="Times New Roman" w:cs="Times New Roman"/>
          <w:bCs/>
          <w:lang w:val="es-ES"/>
        </w:rPr>
      </w:pPr>
      <w:r w:rsidRPr="004F5826">
        <w:rPr>
          <w:rFonts w:ascii="Times New Roman" w:hAnsi="Times New Roman" w:cs="Times New Roman"/>
          <w:bCs/>
          <w:lang w:val="es-ES"/>
        </w:rPr>
        <w:t>El estudio caracteriza una población heterogénea en términos de capital cultural y trayectorias previas: el 33% son primera generación universitaria, el 49,4% proviene de escuelas públicas, y el 44,1% combina estudio con trabajo, configurando condiciones diferenciales para la permanencia y el desempeño académico. Las competencias que resultan más desafiantes para el estudiantado incluyen la organización autónoma del estudio, la comprensión de textos académicos</w:t>
      </w:r>
      <w:r w:rsidRPr="00580DF1">
        <w:rPr>
          <w:rFonts w:ascii="Times New Roman" w:hAnsi="Times New Roman" w:cs="Times New Roman"/>
          <w:bCs/>
          <w:lang w:val="en-US"/>
        </w:rPr>
        <w:t xml:space="preserve"> </w:t>
      </w:r>
      <w:r w:rsidRPr="004F5826">
        <w:rPr>
          <w:rFonts w:ascii="Times New Roman" w:hAnsi="Times New Roman" w:cs="Times New Roman"/>
          <w:bCs/>
          <w:lang w:val="es-ES"/>
        </w:rPr>
        <w:t xml:space="preserve">de alta densidad conceptual, el razonamiento lógico-matemático y la gestión emocional en un contexto de exigencias sostenidas. </w:t>
      </w:r>
    </w:p>
    <w:p w14:paraId="35A6682C" w14:textId="180B74C0" w:rsidR="00BA642E" w:rsidRPr="004F5826" w:rsidRDefault="00580DF1" w:rsidP="00580DF1">
      <w:pPr>
        <w:spacing w:line="240" w:lineRule="auto"/>
        <w:jc w:val="both"/>
        <w:rPr>
          <w:rFonts w:ascii="Times New Roman" w:hAnsi="Times New Roman" w:cs="Times New Roman"/>
          <w:bCs/>
          <w:lang w:val="es-ES"/>
        </w:rPr>
      </w:pPr>
      <w:r w:rsidRPr="004F5826">
        <w:rPr>
          <w:rFonts w:ascii="Times New Roman" w:hAnsi="Times New Roman" w:cs="Times New Roman"/>
          <w:bCs/>
          <w:lang w:val="es-ES"/>
        </w:rPr>
        <w:t>La investigación identifica que las redes informales de pares cumplen un rol central como sostén académico y emocional durante el primer año, funcionando como espacio privilegiado de intercambio de estrategias, resolución de dudas y contención afectiva, mientras que otros dispositivos institucionales de apoyo presentan menor visibilidad o accesibilidad percibida por parte de los estudiantes. Esta diferencia entre los recursos formales disponibles y las prácticas efectivas de los ingresantes sugiere la importancia de fortalecer canales de comunicación institucional y modalidades de acompañamiento que conecten de manera más directa con las necesidades de las y los estudiantes en un contexto de masividad y diversidad creciente. Esta ponencia aporta evidencia empírica situada sobre el inicio de la vida universitaria desde la perspectiva de los y las estudiantes, identificando áreas críticas donde podrían desarrollarse iniciativas de apoyo académico, orientación y bienestar que fortalezcan las trayectorias durante esta etapa fundacional del recorrido universitario como es el Ciclo Básico Común de la Universidad de Buenos Aires.</w:t>
      </w:r>
    </w:p>
    <w:p w14:paraId="1CD760C7" w14:textId="77777777" w:rsidR="00580DF1" w:rsidRPr="007B5B5F" w:rsidRDefault="00580DF1" w:rsidP="007B5B5F">
      <w:pPr>
        <w:spacing w:line="240" w:lineRule="auto"/>
        <w:jc w:val="both"/>
        <w:rPr>
          <w:rFonts w:ascii="Times New Roman" w:hAnsi="Times New Roman" w:cs="Times New Roman"/>
          <w:b/>
          <w:bCs/>
        </w:rPr>
      </w:pPr>
    </w:p>
    <w:p w14:paraId="2994BAB3" w14:textId="5D9BE6DF"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C724DE" w:rsidRPr="00C724DE">
        <w:rPr>
          <w:rFonts w:ascii="Times New Roman" w:hAnsi="Times New Roman" w:cs="Times New Roman"/>
          <w:bCs/>
        </w:rPr>
        <w:t>Transición educativa, Ciclo Básico Común, UBA, Experiencia estudiantil, Vida universitaria</w:t>
      </w:r>
    </w:p>
    <w:p w14:paraId="121E903B" w14:textId="77777777" w:rsidR="00580DF1" w:rsidRDefault="00580DF1" w:rsidP="007B5B5F">
      <w:pPr>
        <w:spacing w:line="240" w:lineRule="auto"/>
        <w:rPr>
          <w:rFonts w:ascii="Times New Roman" w:hAnsi="Times New Roman" w:cs="Times New Roman"/>
          <w:b/>
          <w:bCs/>
        </w:rPr>
      </w:pPr>
    </w:p>
    <w:p w14:paraId="398FEEC4" w14:textId="77777777" w:rsidR="00580DF1" w:rsidRDefault="00580DF1" w:rsidP="007B5B5F">
      <w:pPr>
        <w:spacing w:line="240" w:lineRule="auto"/>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703EE6C"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El Ciclo Básico Común (CBC) constituye el primer tramo de la vida universitaria para el estudiantado que ingresa a la Universidad de Buenos Aires (UBA). Más que un “primer año” en sentido administrativo, el CBC opera como un umbral institucional y simbólico: concentra el pasaje desde las lógicas escolares del nivel secundario hacia un régimen de estudio que exige autonomía, autorregulación del tiempo, apropiación de géneros discursivos específicos y manejo de modalidades de evaluación frecuentemente percibidas como más demandantes. En ese tránsito, se reconfiguran prácticas, expectativas y formas de pertenencia: se aprende, en suma, a habitar la universidad.</w:t>
      </w:r>
    </w:p>
    <w:p w14:paraId="2CDE727D"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Desde una perspectiva sociológica, el CBC no puede comprenderse únicamente como un dispositivo de nivelación académica. También puede ser leído como un espacio de producción y reproducción cultural en el que el estudiantado negocia capitales culturales desiguales, construye identidades académicas y se apropia —con mayor o menor éxito— de los códigos propios del campo universitario (Bourdieu y Passeron, 2003). La heterogeneidad social y educativa de quienes ingresan al CBC no es un dato accesorio, sino un rasgo estructural que incide en las trayectorias posibles: condiciona la familiaridad con el lenguaje académico, la disponibilidad de tiempo, el acceso a redes de información y la posibilidad de transformar el “derecho formal” a la universidad en permanencia efectiva. En el contexto argentino, la investigación sobre transición universitaria ha cobrado creciente relevancia. Ezcurra (2011) advierte sobre la persistencia de una "inclusión excluyente": el acceso masivo coexiste con altas tasas de abandono temprano concentradas en los sectores de menor capital cultural. García de Fanelli (2014) ha demostrado que el rendimiento en el primer año universitario es el predictor más robusto de la permanencia y el egreso. Carli (2012) contribuye a complejizar la figura del "estudiante universitario" argentino como sujeto históricamente situado, cuya experiencia no puede reducirse a variables individuales sino que se produce en la intersección entre expectativas, disposiciones previas y condiciones institucionales.</w:t>
      </w:r>
    </w:p>
    <w:p w14:paraId="6CDAE34C"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A estos debates se agrega un fenómeno reciente que reordena prácticas de estudio y modos de acceso al conocimiento: la irrupción de la inteligencia artificial (IA) en las prácticas cotidianas de estudio, fenómeno que impone desafíos inéditos tanto a los estudiantes como a los docentes y que, como muestran los datos de este estudio, ya ha transformado de manera significativa los modos de estudiar en el CBC.</w:t>
      </w:r>
    </w:p>
    <w:p w14:paraId="40F4D1F4" w14:textId="244EDC2A" w:rsid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 xml:space="preserve">El objetivo principal de esta ponencia es presentar los resultados de un estudio exploratorio realizado en diciembre de 2025 en el marco del proyecto Impulsa CBC: laboratorio de innovación y futuros para el inicio de la vida universitaria. Se combinan datos cuantitativos (encuesta a 210 estudiantes) y cualitativos (cinco entrevistas en profundidad) con el propósito de ofrecer una mirada situada sobre cuatro dimensiones articuladas: (1) emociones y expectativas vinculadas al ingreso; (2) brechas percibidas entre la formación secundaria y las exigencias académicas del CBC; (3) usos de herramientas de IA como estrategia de aprendizaje; y (4) impacto del estudio en el bienestar emocional. La estructura del artículo sigue el formato de investigación empírica: </w:t>
      </w:r>
      <w:r w:rsidRPr="00C724DE">
        <w:rPr>
          <w:rFonts w:ascii="Times New Roman" w:hAnsi="Times New Roman" w:cs="Times New Roman"/>
        </w:rPr>
        <w:lastRenderedPageBreak/>
        <w:t>tras el marco teórico/estado del arte, se detalla la metodología, se presentan resultados organizados en ejes, se propone una discusión interpretativa y se exponen limitaciones y conclusiones.</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0060ECFC" w14:textId="0C66BA6D" w:rsidR="00C724DE" w:rsidRPr="00B15DAD" w:rsidRDefault="00C724DE" w:rsidP="007B5B5F">
      <w:pPr>
        <w:spacing w:line="240" w:lineRule="auto"/>
        <w:jc w:val="both"/>
        <w:rPr>
          <w:rFonts w:ascii="Times New Roman" w:hAnsi="Times New Roman" w:cs="Times New Roman"/>
          <w:b/>
        </w:rPr>
      </w:pPr>
      <w:r w:rsidRPr="00B15DAD">
        <w:rPr>
          <w:rFonts w:ascii="Times New Roman" w:hAnsi="Times New Roman" w:cs="Times New Roman"/>
          <w:b/>
        </w:rPr>
        <w:t>Marco teórico</w:t>
      </w:r>
    </w:p>
    <w:p w14:paraId="3C13D0C8"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La transición de la escuela secundaria a la universidad constituye uno de los procesos más abordados por la literatura sobre trayectorias académicas, permanencia y deserción. Desde los aportes clásicos de Tinto (1987, 2019), que enfatizan la integración académica y social como factores decisivos para la continuidad, hasta estudios que priorizan dimensiones subjetivas y relacionales del ingreso, la evidencia coincide en su carácter multidimensional.</w:t>
      </w:r>
    </w:p>
    <w:p w14:paraId="5F3D4C9D"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Coulon (1997) introdujo el concepto de “afiliación” para explicar cómo el estudiantado aprende el oficio de ser universitario: extrañamiento, aprendizaje y afiliación. Este recorrido no se limita a adquirir contenidos, sino que implica una incorporación progresiva de disposiciones, códigos y reglas institucionales. Carli (2012), por su parte, asegura que la experiencia universitaria representa un espacio biográfico, en el que convergen las trayectorias personales, las historias educativas previas y las formas de habitar la institución. En esa convergencia se construye la identidad estudiantil. En este sentido, el ingreso a la universidad se constituye como una experiencia de incorporación a una cultura institucional con significados únicos para cada estudiante.  En una línea convergente, Figuera (2012) sostiene que las transiciones educativas suponen cambios simultáneos en el entorno, las expectativas, las metodologías de enseñanza, los vínculos sociales y las responsabilidades personales. Por lo tanto, ingresar a la universidad no es sólo “entrar” a una institución: es reconfigurar habitus y prácticas académicas que el nivel secundario no siempre transmite de manera sistemática (Coulon, 1997; Bourdieu y Passeron, 2003). Investigaciones más recientes profundizan esta perspectiva al mostrar que la transición universitaria constituye un proceso heterogéneo, relacionado con la pluralidad de trayectorias previas y con la generación institucional de condiciones de integración. En este sentido, las experiencias de adaptación varían significativamente según el capital académico previo, las estrategias de estudio y el acompañamiento recibido durante el ingreso (Niella, Dorio, Figuera y Fonseca, 2021)</w:t>
      </w:r>
    </w:p>
    <w:p w14:paraId="4DB11992"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 xml:space="preserve">Las expectativas ocupan un lugar central en estos procesos. Lejos de constituir un estado meramente psicológico, son producciones sociales atravesadas por capital cultural de origen, posición de clase y experiencias institucionales previas (Bourdieu y Passeron, 2003). En el último año de la secundaria, las y los jóvenes definen horizontes de continuidad educativa y de inserción laboral a partir de factores estructurales como la clase social, el lugar de residencia y el nivel educativo familiar, que inciden tanto en el contenido de las aspiraciones como en su viabilidad percibida (Filmus, Kaplan, Miranda y Moragues, 2001). En el contexto latinoamericano, diversos estudios señalan que quienes provienen de hogares con baja tradición universitaria suelen elaborar expectativas ambivalentes: optimismo por el valor simbólico de la universidad pública y, al mismo tiempo, incertidumbre respecto de la posibilidad real de sostener la trayectoria </w:t>
      </w:r>
      <w:r w:rsidRPr="00C724DE">
        <w:rPr>
          <w:rFonts w:ascii="Times New Roman" w:hAnsi="Times New Roman" w:cs="Times New Roman"/>
        </w:rPr>
        <w:lastRenderedPageBreak/>
        <w:t>(Sepúlveda, 2013). En este marco, las expectativas constituyen un primer punto de condensación subjetiva de desigualdades previas.</w:t>
      </w:r>
    </w:p>
    <w:p w14:paraId="1E2EDD84"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La brecha entre la escuela secundaria y la universidad es una de las problemáticas más documentadas por la investigación educativa. Ezcurra (2011) conceptualizó esta tensión a través de la “inclusión excluyente”: la masificación del acceso a la educación superior convive con altas tasas de deserción en el primer año, que afectan de manera desproporcionada a sectores socioeconómicamente vulnerables y a estudiantes de primera generación universitaria. La deserción, desde esta perspectiva, no se explica como un acontecimiento individual aislado, sino como resultado de condiciones institucionales, pedagógicas y materiales que configuran distintos grados de posibilidad de permanencia (Ezcurra, 2011; García de Fanelli, 2014). Buchbinder y Marquina (2008) señalan que, en la Argentina, la expansión de la matrícula no fue acompañada por transformaciones equivalentes en prácticas pedagógicas, lo que contribuye a consolidar una distancia entre lo que la secundaria formó y lo que la universidad exige.</w:t>
      </w:r>
    </w:p>
    <w:p w14:paraId="06F4E4E0"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Esta brecha se expresa en dificultades concretas: comprensión lectora de textos académicos, producción escrita en registro científico, organización autónoma del estudio y razonamiento lógico-formal (Ricci y Liberman, 2013). En la Argentina, la articulación interniveles fue objeto de políticas específicas desde la Ley de Educación Nacional (2006), aunque los estudios disponibles señalan resultados acotados y heterogéneos según jurisdicciones e instituciones (Gil, 2017).</w:t>
      </w:r>
    </w:p>
    <w:p w14:paraId="7BFD29A2"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La noción de alfabetización académica permite precisar el problema. Carlino (2005) sostiene que las prácticas de lectura, escritura y pensamiento crítico son específicas de cada disciplina y de cada cultura institucional; por lo tanto, su adquisición no puede asumirse como un punto de partida, sino que debería ser objeto de enseñanza explícita. La investigación sobre el primer tramo universitario ha documentado que las principales dificultades reportadas por quienes ingresan se concentran en competencias transversales: organización y planificación del estudio, comprensión de textos especializados, manejo del lenguaje matemático y adaptación a formas de evaluación que requieren elaboración propia y no mera reproducción (Esquivel, Carbonelli e Irrazábal, 2011, 2013). En esta línea, Navarro (2021) sostiene que alfabetización académica forma parte de un proceso que acompaña toda la trayectoria universitaria. Así, las experiencias de alfabetización desarrolladas durante la transición tienen un efecto estructurante sobre el recorrido posterior, en tanto favorecen la apropiación de los modos de producir, comunicar y validar el conocimiento propios de cada disciplina. En síntesis, las oportunidades de aprendizaje bridadas en esta etapa inciden en la adaptación inicial y, también, en la permanencia y progreso académico.</w:t>
      </w:r>
    </w:p>
    <w:p w14:paraId="5528A9B2"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 xml:space="preserve">Junto a la dimensión académica, la dimensión emocional de la transición ha sido abordada con creciente densidad analítica. El ingreso genera una constelación afectiva ambivalente: entusiasmo y orgullo se combinan con ansiedad, incertidumbre y sensación de extrañamiento, como parte constitutiva del proceso de afiliación (Coulon, 1997). Dubet (2005) subraya que esta ambivalencia no es una disfunción individual, sino una característica de la experiencia estudiantil contemporánea, en la que las y los actores deben articular simultáneamente integración institucional, orientación hacia un proyecto </w:t>
      </w:r>
      <w:r w:rsidRPr="00C724DE">
        <w:rPr>
          <w:rFonts w:ascii="Times New Roman" w:hAnsi="Times New Roman" w:cs="Times New Roman"/>
        </w:rPr>
        <w:lastRenderedPageBreak/>
        <w:t>vocacional y procesos de subjetivación identitaria. El modo en que se tramitan estas dimensiones afecta rendimiento, búsqueda de ayuda y decisión de persistir o abandonar (Tinto, 2019). En efecto, estudios recientes llevados a cabo en varias universidades españolas muestran que la percepción de apoyo institucional y las relaciones establecidas durante la etapa inicial afectan los procesos de adaptación académica y personal (Niella, Dorio, Figuera y Fonseca, 2021).</w:t>
      </w:r>
    </w:p>
    <w:p w14:paraId="1402F506"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En particular, la ansiedad ante la evaluación suele intensificarse en contextos de masividad, anonimato y escasez de retroalimentación formativa, así como por la dificultad para identificar apoyos disponibles (Zabalza, 2003).</w:t>
      </w:r>
    </w:p>
    <w:p w14:paraId="507E951C"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La masificación de la educación superior en América Latina, intensificada desde la década de 1990, transformó la composición social del estudiantado universitario sin modificar en la misma medida las lógicas institucionales (García de Fanelli, 2014). El ingreso de estudiantes de primera generación, con trayectorias secundarias diversas, que trabajan mientras estudian y que enfrentan condiciones materiales desfavorables, plantea un desafío que excede la ampliación del acceso: requiere repensar condiciones de permanencia y dispositivos de acompañamiento. Chiroleu (2009) identificó tres condiciones necesarias para que los dispositivos de inclusión sean efectivos: visibilidad institucional, accesibilidad real y pertinencia respecto de las necesidades concretas del estudiantado. Cuando alguna de estas condiciones falta, el dispositivo existe formalmente pero no opera como recurso significativo en la experiencia cotidiana. En ese escenario, las redes informales de pares emergen como principal mecanismo de apoyo académico y emocional (Coulon, 1997).</w:t>
      </w:r>
    </w:p>
    <w:p w14:paraId="232B3A46"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Un fenómeno emergente que ha comenzado a reconfigurar la experiencia universitaria es el uso de herramientas de inteligencia artificial generativa, particularmente desde la difusión masiva de ChatGPT en 2022. La investigación acumulada hasta 2025 muestra una adopción amplia: estudios en México (Fajardo Aguilar et al., 2023) y El Salvador (Diálogos sobre Educación, 2024: ) documentan tasas de uso habitual superiores al 60% y trabajos en el contexto español registran altos niveles de conocimiento y utilización para tareas académicas (Gallent-Torres, Zapata-González y Ortego-Hernando, 2023). Los usos reportados son heterogéneos: desde la búsqueda de explicaciones conceptuales y la resolución de ejercicios hasta la asistencia en la redacción de textos.</w:t>
      </w:r>
    </w:p>
    <w:p w14:paraId="4C6766DF"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Desde una perspectiva crítica, Farrokhnia, Banihashem, Noroozi y Wals (2024) advierten que el riesgo más significativo no es el plagio en sí, sino la automatización del aprendizaje: cuando la IA sustituye el proceso cognitivo y no funciona como andamiaje, se reduce la capacidad de razonamiento autónomo. Al mismo tiempo, Bain (2007) y Litwin (2008) sugieren una lectura complementaria: la adopción masiva de IA también puede entenderse como síntoma de brechas pedagógicas y de una demanda por explicaciones inmediatas y adaptadas, que la enseñanza masiva no siempre puede proveer.</w:t>
      </w:r>
    </w:p>
    <w:p w14:paraId="35E251E1" w14:textId="77777777" w:rsidR="00C724DE" w:rsidRP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 xml:space="preserve">En el contexto argentino, la investigación sobre ingreso universitario ha tenido como referencia central el trabajo de la Universidad de Buenos Aires y, en particular, el Ciclo Básico Común como espacio privilegiado de análisis. Los estudios disponibles </w:t>
      </w:r>
      <w:r w:rsidRPr="00C724DE">
        <w:rPr>
          <w:rFonts w:ascii="Times New Roman" w:hAnsi="Times New Roman" w:cs="Times New Roman"/>
        </w:rPr>
        <w:lastRenderedPageBreak/>
        <w:t>caracterizan al CBC como un dispositivo de tránsito que debe procesar una población estudiantil de alta heterogeneidad social, cultural y educativa: estudiantes de distintas procedencias geográficas, con trayectorias secundarias muy diversas en calidad y tipo de institución, algunos que trabajan a tiempo completo y muchos que ingresan sin haber tenido un entorno familiar con experiencia universitaria previa (Buchbinder y Marquina, 2008; Carli, 2012). Ricci y Liberman (2013) han señalado que los programas de formación docente continua son una variable crítica para mejorar la experiencia del primer año, dado que las prácticas pedagógicas de los docentes universitarios inciden directamente en la capacidad de los estudiantes para gestionar la transición. La investigación muestra también que los dispositivos institucionales de acompañamiento —tutorías, talleres de comprensión lectora, espacios de orientación vocacional— tienen mayor impacto cuando se articulan con las dinámicas curriculares concretas de las materias de primer año y no cuando funcionan como instancias paralelas y voluntarias (Chiroleu, 2009; Carli, 2012). Es decir, tal como lo expresa Navarro (2021) los programas de acompañamiento resultan más efectivos cuando están integrados en el proceso formativo y no limitados a acciones compensatorias aisladas (Navarro, 2021).</w:t>
      </w:r>
    </w:p>
    <w:p w14:paraId="3B5A25BE" w14:textId="466BE88C" w:rsidR="00C724DE" w:rsidRDefault="00C724DE" w:rsidP="00C724DE">
      <w:pPr>
        <w:spacing w:line="240" w:lineRule="auto"/>
        <w:jc w:val="both"/>
        <w:rPr>
          <w:rFonts w:ascii="Times New Roman" w:hAnsi="Times New Roman" w:cs="Times New Roman"/>
        </w:rPr>
      </w:pPr>
      <w:r w:rsidRPr="00C724DE">
        <w:rPr>
          <w:rFonts w:ascii="Times New Roman" w:hAnsi="Times New Roman" w:cs="Times New Roman"/>
        </w:rPr>
        <w:t>Este conjunto de evidencias configura el estado del arte sobre el que se inscribe la presente investigación, orientada a comprender la experiencia de ingreso al CBC desde la perspectiva de los propios estudiantes.</w:t>
      </w:r>
    </w:p>
    <w:p w14:paraId="5D46153E" w14:textId="77777777" w:rsidR="00944860" w:rsidRDefault="00944860" w:rsidP="00C724DE">
      <w:pPr>
        <w:spacing w:line="240" w:lineRule="auto"/>
        <w:jc w:val="both"/>
        <w:rPr>
          <w:rFonts w:ascii="Times New Roman" w:hAnsi="Times New Roman" w:cs="Times New Roman"/>
          <w:b/>
          <w:bCs/>
        </w:rPr>
      </w:pPr>
    </w:p>
    <w:p w14:paraId="79C9F8AB" w14:textId="77777777" w:rsidR="00C724DE" w:rsidRPr="00B15DAD" w:rsidRDefault="00C724DE" w:rsidP="00C724DE">
      <w:pPr>
        <w:spacing w:line="240" w:lineRule="auto"/>
        <w:jc w:val="both"/>
        <w:rPr>
          <w:rFonts w:ascii="Times New Roman" w:hAnsi="Times New Roman" w:cs="Times New Roman"/>
          <w:b/>
          <w:bCs/>
        </w:rPr>
      </w:pPr>
      <w:r w:rsidRPr="00B15DAD">
        <w:rPr>
          <w:rFonts w:ascii="Times New Roman" w:hAnsi="Times New Roman" w:cs="Times New Roman"/>
          <w:b/>
          <w:bCs/>
        </w:rPr>
        <w:t>Metodología</w:t>
      </w:r>
    </w:p>
    <w:p w14:paraId="5455AFC8" w14:textId="77777777" w:rsidR="00C724DE" w:rsidRPr="00C724DE" w:rsidRDefault="00C724DE" w:rsidP="00C724DE">
      <w:pPr>
        <w:spacing w:line="240" w:lineRule="auto"/>
        <w:jc w:val="both"/>
        <w:rPr>
          <w:rFonts w:ascii="Times New Roman" w:hAnsi="Times New Roman" w:cs="Times New Roman"/>
          <w:bCs/>
        </w:rPr>
      </w:pPr>
      <w:r w:rsidRPr="00C724DE">
        <w:rPr>
          <w:rFonts w:ascii="Times New Roman" w:hAnsi="Times New Roman" w:cs="Times New Roman"/>
          <w:bCs/>
        </w:rPr>
        <w:t>El estudio adoptó un diseño de métodos mixtos de carácter exploratorio, combinando un componente cuantitativo (encuesta) y un componente cualitativo (entrevistas en profundidad). Esta elección responde a una posición epistemológica: ningún método por sí solo permite capturar la complejidad de la experiencia de ingreso. Los datos cuantitativos permiten dimensionar magnitudes, proporciones y patrones a escala muestral; los datos cualitativos permiten reconstruir significados, emociones y estrategias, es decir, comprender cómo se vive lo que luego se expresa en porcentajes. La triangulación entre fuentes —procedimiento sistemático de validación cruzada— se utiliza para reforzar hallazgos y, cuando aparecen divergencias, convertirlas en objeto de interpretación sustantiva (Donolo, 2009).</w:t>
      </w:r>
    </w:p>
    <w:p w14:paraId="64A9D8D8" w14:textId="77777777" w:rsidR="00944860" w:rsidRDefault="00944860" w:rsidP="00944860">
      <w:pPr>
        <w:spacing w:line="240" w:lineRule="auto"/>
        <w:ind w:firstLine="708"/>
        <w:jc w:val="both"/>
        <w:rPr>
          <w:rFonts w:ascii="Times New Roman" w:hAnsi="Times New Roman" w:cs="Times New Roman"/>
          <w:bCs/>
        </w:rPr>
      </w:pPr>
    </w:p>
    <w:p w14:paraId="764568A4" w14:textId="77777777" w:rsidR="00C724DE" w:rsidRPr="00C724DE" w:rsidRDefault="00C724DE" w:rsidP="00944860">
      <w:pPr>
        <w:spacing w:line="240" w:lineRule="auto"/>
        <w:ind w:firstLine="708"/>
        <w:jc w:val="both"/>
        <w:rPr>
          <w:rFonts w:ascii="Times New Roman" w:hAnsi="Times New Roman" w:cs="Times New Roman"/>
          <w:bCs/>
        </w:rPr>
      </w:pPr>
      <w:r w:rsidRPr="00C724DE">
        <w:rPr>
          <w:rFonts w:ascii="Times New Roman" w:hAnsi="Times New Roman" w:cs="Times New Roman"/>
          <w:bCs/>
        </w:rPr>
        <w:t>Componente cuantitativo (encuesta)</w:t>
      </w:r>
    </w:p>
    <w:p w14:paraId="666FA6B9" w14:textId="62F0B0D5" w:rsidR="00B15DAD" w:rsidRPr="00C724DE" w:rsidRDefault="00C724DE" w:rsidP="00C724DE">
      <w:pPr>
        <w:spacing w:line="240" w:lineRule="auto"/>
        <w:jc w:val="both"/>
        <w:rPr>
          <w:rFonts w:ascii="Times New Roman" w:hAnsi="Times New Roman" w:cs="Times New Roman"/>
          <w:bCs/>
        </w:rPr>
      </w:pPr>
      <w:r w:rsidRPr="00C724DE">
        <w:rPr>
          <w:rFonts w:ascii="Times New Roman" w:hAnsi="Times New Roman" w:cs="Times New Roman"/>
          <w:bCs/>
        </w:rPr>
        <w:t>La encuesta consistió en un cuestionario autoadministrado en línea, enviado por correo electrónico en diciembre de 2025 a la base de datos del proyecto IMPULSA CBC. Se obtuvieron 210 respuestas válidas, lo que representa una tasa de respuesta del 26%. El instrumento incluyó preguntas cerradas sobre características sociodemográficas, trayectorias educativas previas, emociones ante el ingreso, expectativas, dificultades académicas, uso de herramientas digitales e impacto percibido del estudio sobre el bienestar emocional.</w:t>
      </w:r>
    </w:p>
    <w:p w14:paraId="1CFEF3D5" w14:textId="6FD63F62" w:rsidR="00C724DE" w:rsidRPr="00C724DE" w:rsidRDefault="00C724DE" w:rsidP="00C724DE">
      <w:pPr>
        <w:spacing w:after="200" w:line="276" w:lineRule="auto"/>
        <w:rPr>
          <w:rFonts w:ascii="Times New Roman" w:eastAsia="Times New Roman" w:hAnsi="Times New Roman" w:cs="Times New Roman"/>
          <w:i/>
          <w:iCs/>
          <w:color w:val="303030"/>
          <w:kern w:val="0"/>
          <w:highlight w:val="white"/>
          <w:lang w:val="es-ES" w:eastAsia="es-ES"/>
          <w14:ligatures w14:val="none"/>
        </w:rPr>
      </w:pPr>
      <w:r>
        <w:rPr>
          <w:rFonts w:ascii="Times New Roman" w:eastAsia="Times New Roman" w:hAnsi="Times New Roman" w:cs="Times New Roman"/>
          <w:i/>
          <w:iCs/>
          <w:color w:val="303030"/>
          <w:kern w:val="0"/>
          <w:highlight w:val="white"/>
          <w:lang w:val="es-ES" w:eastAsia="es-ES"/>
          <w14:ligatures w14:val="none"/>
        </w:rPr>
        <w:lastRenderedPageBreak/>
        <w:t xml:space="preserve">Tabla 1: </w:t>
      </w:r>
      <w:r w:rsidRPr="00C724DE">
        <w:rPr>
          <w:rFonts w:ascii="Times New Roman" w:eastAsia="Times New Roman" w:hAnsi="Times New Roman" w:cs="Times New Roman"/>
          <w:i/>
          <w:iCs/>
          <w:color w:val="303030"/>
          <w:kern w:val="0"/>
          <w:highlight w:val="white"/>
          <w:lang w:val="es-ES" w:eastAsia="es-ES"/>
          <w14:ligatures w14:val="none"/>
        </w:rPr>
        <w:t>Características sociodemográficas y educativas de la muestra (n = 210)</w:t>
      </w:r>
    </w:p>
    <w:tbl>
      <w:tblPr>
        <w:tblW w:w="9015" w:type="dxa"/>
        <w:tblInd w:w="-100" w:type="dxa"/>
        <w:tblBorders>
          <w:insideH w:val="nil"/>
          <w:insideV w:val="nil"/>
        </w:tblBorders>
        <w:tblLayout w:type="fixed"/>
        <w:tblLook w:val="0600" w:firstRow="0" w:lastRow="0" w:firstColumn="0" w:lastColumn="0" w:noHBand="1" w:noVBand="1"/>
      </w:tblPr>
      <w:tblGrid>
        <w:gridCol w:w="3000"/>
        <w:gridCol w:w="3990"/>
        <w:gridCol w:w="2025"/>
      </w:tblGrid>
      <w:tr w:rsidR="00C724DE" w:rsidRPr="00C724DE" w14:paraId="17BA112D" w14:textId="77777777" w:rsidTr="00C724DE">
        <w:trPr>
          <w:trHeight w:val="300"/>
        </w:trPr>
        <w:tc>
          <w:tcPr>
            <w:tcW w:w="3000" w:type="dxa"/>
            <w:tcBorders>
              <w:top w:val="single" w:sz="18" w:space="0" w:color="000000"/>
              <w:left w:val="nil"/>
              <w:bottom w:val="single" w:sz="6" w:space="0" w:color="000000"/>
              <w:right w:val="nil"/>
            </w:tcBorders>
            <w:tcMar>
              <w:top w:w="0" w:type="dxa"/>
              <w:left w:w="20" w:type="dxa"/>
              <w:bottom w:w="0" w:type="dxa"/>
              <w:right w:w="20" w:type="dxa"/>
            </w:tcMar>
            <w:hideMark/>
          </w:tcPr>
          <w:p w14:paraId="7BDCEBEC" w14:textId="77777777" w:rsidR="00C724DE" w:rsidRPr="00C724DE" w:rsidRDefault="00C724DE" w:rsidP="00C724DE">
            <w:pPr>
              <w:spacing w:before="240" w:after="40" w:line="276" w:lineRule="auto"/>
              <w:rPr>
                <w:rFonts w:ascii="Times New Roman" w:eastAsia="Times New Roman" w:hAnsi="Times New Roman" w:cs="Times New Roman"/>
                <w:b/>
                <w:bCs/>
                <w:color w:val="303030"/>
                <w:kern w:val="0"/>
                <w:sz w:val="20"/>
                <w:szCs w:val="20"/>
                <w:highlight w:val="white"/>
                <w:lang w:val="es-ES" w:eastAsia="es-ES"/>
                <w14:ligatures w14:val="none"/>
              </w:rPr>
            </w:pPr>
            <w:r w:rsidRPr="00C724DE">
              <w:rPr>
                <w:rFonts w:ascii="Times New Roman" w:eastAsia="Times New Roman" w:hAnsi="Times New Roman" w:cs="Times New Roman"/>
                <w:b/>
                <w:bCs/>
                <w:color w:val="303030"/>
                <w:kern w:val="0"/>
                <w:sz w:val="20"/>
                <w:szCs w:val="20"/>
                <w:highlight w:val="white"/>
                <w:lang w:val="es-ES" w:eastAsia="es-ES"/>
                <w14:ligatures w14:val="none"/>
              </w:rPr>
              <w:t>Dimensión</w:t>
            </w:r>
          </w:p>
        </w:tc>
        <w:tc>
          <w:tcPr>
            <w:tcW w:w="3990" w:type="dxa"/>
            <w:tcBorders>
              <w:top w:val="single" w:sz="18" w:space="0" w:color="000000"/>
              <w:left w:val="nil"/>
              <w:bottom w:val="single" w:sz="6" w:space="0" w:color="000000"/>
              <w:right w:val="nil"/>
            </w:tcBorders>
            <w:tcMar>
              <w:top w:w="0" w:type="dxa"/>
              <w:left w:w="20" w:type="dxa"/>
              <w:bottom w:w="0" w:type="dxa"/>
              <w:right w:w="20" w:type="dxa"/>
            </w:tcMar>
            <w:hideMark/>
          </w:tcPr>
          <w:p w14:paraId="6553A9C1" w14:textId="77777777" w:rsidR="00C724DE" w:rsidRPr="00C724DE" w:rsidRDefault="00C724DE" w:rsidP="00C724DE">
            <w:pPr>
              <w:spacing w:before="240" w:after="40" w:line="276" w:lineRule="auto"/>
              <w:rPr>
                <w:rFonts w:ascii="Times New Roman" w:eastAsia="Times New Roman" w:hAnsi="Times New Roman" w:cs="Times New Roman"/>
                <w:b/>
                <w:bCs/>
                <w:color w:val="303030"/>
                <w:kern w:val="0"/>
                <w:sz w:val="20"/>
                <w:szCs w:val="20"/>
                <w:highlight w:val="white"/>
                <w:lang w:val="es-ES" w:eastAsia="es-ES"/>
                <w14:ligatures w14:val="none"/>
              </w:rPr>
            </w:pPr>
            <w:r w:rsidRPr="00C724DE">
              <w:rPr>
                <w:rFonts w:ascii="Times New Roman" w:eastAsia="Times New Roman" w:hAnsi="Times New Roman" w:cs="Times New Roman"/>
                <w:b/>
                <w:bCs/>
                <w:color w:val="303030"/>
                <w:kern w:val="0"/>
                <w:sz w:val="20"/>
                <w:szCs w:val="20"/>
                <w:highlight w:val="white"/>
                <w:lang w:val="es-ES" w:eastAsia="es-ES"/>
                <w14:ligatures w14:val="none"/>
              </w:rPr>
              <w:t>Categoría</w:t>
            </w:r>
          </w:p>
        </w:tc>
        <w:tc>
          <w:tcPr>
            <w:tcW w:w="2025" w:type="dxa"/>
            <w:tcBorders>
              <w:top w:val="single" w:sz="18" w:space="0" w:color="000000"/>
              <w:left w:val="nil"/>
              <w:bottom w:val="single" w:sz="6" w:space="0" w:color="000000"/>
              <w:right w:val="nil"/>
            </w:tcBorders>
            <w:tcMar>
              <w:top w:w="0" w:type="dxa"/>
              <w:left w:w="20" w:type="dxa"/>
              <w:bottom w:w="0" w:type="dxa"/>
              <w:right w:w="20" w:type="dxa"/>
            </w:tcMar>
            <w:hideMark/>
          </w:tcPr>
          <w:p w14:paraId="55A4360A" w14:textId="77777777" w:rsidR="00C724DE" w:rsidRPr="00C724DE" w:rsidRDefault="00C724DE" w:rsidP="00C724DE">
            <w:pPr>
              <w:spacing w:before="240" w:after="40" w:line="276" w:lineRule="auto"/>
              <w:jc w:val="right"/>
              <w:rPr>
                <w:rFonts w:ascii="Times New Roman" w:eastAsia="Times New Roman" w:hAnsi="Times New Roman" w:cs="Times New Roman"/>
                <w:b/>
                <w:bCs/>
                <w:color w:val="303030"/>
                <w:kern w:val="0"/>
                <w:sz w:val="20"/>
                <w:szCs w:val="20"/>
                <w:highlight w:val="white"/>
                <w:lang w:val="es-ES" w:eastAsia="es-ES"/>
                <w14:ligatures w14:val="none"/>
              </w:rPr>
            </w:pPr>
            <w:r w:rsidRPr="00C724DE">
              <w:rPr>
                <w:rFonts w:ascii="Times New Roman" w:eastAsia="Times New Roman" w:hAnsi="Times New Roman" w:cs="Times New Roman"/>
                <w:b/>
                <w:bCs/>
                <w:color w:val="303030"/>
                <w:kern w:val="0"/>
                <w:sz w:val="20"/>
                <w:szCs w:val="20"/>
                <w:highlight w:val="white"/>
                <w:lang w:val="es-ES" w:eastAsia="es-ES"/>
                <w14:ligatures w14:val="none"/>
              </w:rPr>
              <w:t>%</w:t>
            </w:r>
          </w:p>
        </w:tc>
      </w:tr>
      <w:tr w:rsidR="00C724DE" w:rsidRPr="00C724DE" w14:paraId="36D9970D" w14:textId="77777777" w:rsidTr="00C724DE">
        <w:trPr>
          <w:trHeight w:val="270"/>
        </w:trPr>
        <w:tc>
          <w:tcPr>
            <w:tcW w:w="3000" w:type="dxa"/>
            <w:tcBorders>
              <w:top w:val="single" w:sz="6" w:space="0" w:color="000000"/>
              <w:left w:val="nil"/>
              <w:bottom w:val="nil"/>
              <w:right w:val="nil"/>
            </w:tcBorders>
            <w:tcMar>
              <w:top w:w="0" w:type="dxa"/>
              <w:left w:w="20" w:type="dxa"/>
              <w:bottom w:w="0" w:type="dxa"/>
              <w:right w:w="20" w:type="dxa"/>
            </w:tcMar>
            <w:hideMark/>
          </w:tcPr>
          <w:p w14:paraId="5831A245"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Identidad de género</w:t>
            </w:r>
          </w:p>
        </w:tc>
        <w:tc>
          <w:tcPr>
            <w:tcW w:w="3990" w:type="dxa"/>
            <w:tcBorders>
              <w:top w:val="single" w:sz="6" w:space="0" w:color="000000"/>
              <w:left w:val="nil"/>
              <w:bottom w:val="nil"/>
              <w:right w:val="nil"/>
            </w:tcBorders>
            <w:tcMar>
              <w:top w:w="0" w:type="dxa"/>
              <w:left w:w="20" w:type="dxa"/>
              <w:bottom w:w="0" w:type="dxa"/>
              <w:right w:w="20" w:type="dxa"/>
            </w:tcMar>
            <w:hideMark/>
          </w:tcPr>
          <w:p w14:paraId="032B1061"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Femenino</w:t>
            </w:r>
          </w:p>
        </w:tc>
        <w:tc>
          <w:tcPr>
            <w:tcW w:w="2025" w:type="dxa"/>
            <w:tcBorders>
              <w:top w:val="single" w:sz="6" w:space="0" w:color="000000"/>
              <w:left w:val="nil"/>
              <w:bottom w:val="nil"/>
              <w:right w:val="nil"/>
            </w:tcBorders>
            <w:tcMar>
              <w:top w:w="0" w:type="dxa"/>
              <w:left w:w="20" w:type="dxa"/>
              <w:bottom w:w="0" w:type="dxa"/>
              <w:right w:w="20" w:type="dxa"/>
            </w:tcMar>
            <w:hideMark/>
          </w:tcPr>
          <w:p w14:paraId="26200E84"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67,6</w:t>
            </w:r>
          </w:p>
        </w:tc>
      </w:tr>
      <w:tr w:rsidR="00C724DE" w:rsidRPr="00C724DE" w14:paraId="0BDA926E"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5484A7EF"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002B7058"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Masculino</w:t>
            </w:r>
          </w:p>
        </w:tc>
        <w:tc>
          <w:tcPr>
            <w:tcW w:w="2025" w:type="dxa"/>
            <w:tcBorders>
              <w:top w:val="nil"/>
              <w:left w:val="nil"/>
              <w:bottom w:val="nil"/>
              <w:right w:val="nil"/>
            </w:tcBorders>
            <w:tcMar>
              <w:top w:w="0" w:type="dxa"/>
              <w:left w:w="20" w:type="dxa"/>
              <w:bottom w:w="0" w:type="dxa"/>
              <w:right w:w="20" w:type="dxa"/>
            </w:tcMar>
            <w:hideMark/>
          </w:tcPr>
          <w:p w14:paraId="1D817E64"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29,4</w:t>
            </w:r>
          </w:p>
        </w:tc>
      </w:tr>
      <w:tr w:rsidR="00C724DE" w:rsidRPr="00C724DE" w14:paraId="0111E3C5" w14:textId="77777777" w:rsidTr="00B15DAD">
        <w:trPr>
          <w:trHeight w:val="438"/>
        </w:trPr>
        <w:tc>
          <w:tcPr>
            <w:tcW w:w="3000" w:type="dxa"/>
            <w:tcBorders>
              <w:top w:val="nil"/>
              <w:left w:val="nil"/>
              <w:bottom w:val="nil"/>
              <w:right w:val="nil"/>
            </w:tcBorders>
            <w:tcMar>
              <w:top w:w="0" w:type="dxa"/>
              <w:left w:w="20" w:type="dxa"/>
              <w:bottom w:w="0" w:type="dxa"/>
              <w:right w:w="20" w:type="dxa"/>
            </w:tcMar>
            <w:hideMark/>
          </w:tcPr>
          <w:p w14:paraId="5B304E7D"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67400B04"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Otro / No responde</w:t>
            </w:r>
          </w:p>
        </w:tc>
        <w:tc>
          <w:tcPr>
            <w:tcW w:w="2025" w:type="dxa"/>
            <w:tcBorders>
              <w:top w:val="nil"/>
              <w:left w:val="nil"/>
              <w:bottom w:val="nil"/>
              <w:right w:val="nil"/>
            </w:tcBorders>
            <w:tcMar>
              <w:top w:w="0" w:type="dxa"/>
              <w:left w:w="20" w:type="dxa"/>
              <w:bottom w:w="0" w:type="dxa"/>
              <w:right w:w="20" w:type="dxa"/>
            </w:tcMar>
            <w:hideMark/>
          </w:tcPr>
          <w:p w14:paraId="1EF39117"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3,0</w:t>
            </w:r>
          </w:p>
        </w:tc>
      </w:tr>
      <w:tr w:rsidR="00C724DE" w:rsidRPr="00C724DE" w14:paraId="448C7F22" w14:textId="77777777" w:rsidTr="00C724DE">
        <w:trPr>
          <w:trHeight w:val="270"/>
        </w:trPr>
        <w:tc>
          <w:tcPr>
            <w:tcW w:w="3000" w:type="dxa"/>
            <w:tcBorders>
              <w:top w:val="nil"/>
              <w:left w:val="nil"/>
              <w:bottom w:val="nil"/>
              <w:right w:val="nil"/>
            </w:tcBorders>
            <w:tcMar>
              <w:top w:w="0" w:type="dxa"/>
              <w:left w:w="20" w:type="dxa"/>
              <w:bottom w:w="0" w:type="dxa"/>
              <w:right w:w="20" w:type="dxa"/>
            </w:tcMar>
            <w:hideMark/>
          </w:tcPr>
          <w:p w14:paraId="265BA9D3"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Lugar de nacimiento</w:t>
            </w:r>
          </w:p>
        </w:tc>
        <w:tc>
          <w:tcPr>
            <w:tcW w:w="3990" w:type="dxa"/>
            <w:tcBorders>
              <w:top w:val="nil"/>
              <w:left w:val="nil"/>
              <w:bottom w:val="nil"/>
              <w:right w:val="nil"/>
            </w:tcBorders>
            <w:tcMar>
              <w:top w:w="0" w:type="dxa"/>
              <w:left w:w="20" w:type="dxa"/>
              <w:bottom w:w="0" w:type="dxa"/>
              <w:right w:w="20" w:type="dxa"/>
            </w:tcMar>
            <w:hideMark/>
          </w:tcPr>
          <w:p w14:paraId="258ED268"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Ciudad de Buenos Aires</w:t>
            </w:r>
          </w:p>
        </w:tc>
        <w:tc>
          <w:tcPr>
            <w:tcW w:w="2025" w:type="dxa"/>
            <w:tcBorders>
              <w:top w:val="nil"/>
              <w:left w:val="nil"/>
              <w:bottom w:val="nil"/>
              <w:right w:val="nil"/>
            </w:tcBorders>
            <w:tcMar>
              <w:top w:w="0" w:type="dxa"/>
              <w:left w:w="20" w:type="dxa"/>
              <w:bottom w:w="0" w:type="dxa"/>
              <w:right w:w="20" w:type="dxa"/>
            </w:tcMar>
            <w:hideMark/>
          </w:tcPr>
          <w:p w14:paraId="732A9B16"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44,1</w:t>
            </w:r>
          </w:p>
        </w:tc>
      </w:tr>
      <w:tr w:rsidR="00C724DE" w:rsidRPr="00C724DE" w14:paraId="6B778922"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5CF61F61"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691EB8E2"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Conurbano Bonaerense</w:t>
            </w:r>
          </w:p>
        </w:tc>
        <w:tc>
          <w:tcPr>
            <w:tcW w:w="2025" w:type="dxa"/>
            <w:tcBorders>
              <w:top w:val="nil"/>
              <w:left w:val="nil"/>
              <w:bottom w:val="nil"/>
              <w:right w:val="nil"/>
            </w:tcBorders>
            <w:tcMar>
              <w:top w:w="0" w:type="dxa"/>
              <w:left w:w="20" w:type="dxa"/>
              <w:bottom w:w="0" w:type="dxa"/>
              <w:right w:w="20" w:type="dxa"/>
            </w:tcMar>
            <w:hideMark/>
          </w:tcPr>
          <w:p w14:paraId="5AA79E7A"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38,2</w:t>
            </w:r>
          </w:p>
        </w:tc>
      </w:tr>
      <w:tr w:rsidR="00C724DE" w:rsidRPr="00C724DE" w14:paraId="2AC45102"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63D4BCE2"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735F1AB7"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Resto del país / Exterior</w:t>
            </w:r>
          </w:p>
        </w:tc>
        <w:tc>
          <w:tcPr>
            <w:tcW w:w="2025" w:type="dxa"/>
            <w:tcBorders>
              <w:top w:val="nil"/>
              <w:left w:val="nil"/>
              <w:bottom w:val="nil"/>
              <w:right w:val="nil"/>
            </w:tcBorders>
            <w:tcMar>
              <w:top w:w="0" w:type="dxa"/>
              <w:left w:w="20" w:type="dxa"/>
              <w:bottom w:w="0" w:type="dxa"/>
              <w:right w:w="20" w:type="dxa"/>
            </w:tcMar>
            <w:hideMark/>
          </w:tcPr>
          <w:p w14:paraId="2290DEE9"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17,7</w:t>
            </w:r>
          </w:p>
        </w:tc>
      </w:tr>
      <w:tr w:rsidR="00C724DE" w:rsidRPr="00C724DE" w14:paraId="71691879" w14:textId="77777777" w:rsidTr="00C724DE">
        <w:trPr>
          <w:trHeight w:val="270"/>
        </w:trPr>
        <w:tc>
          <w:tcPr>
            <w:tcW w:w="3000" w:type="dxa"/>
            <w:tcBorders>
              <w:top w:val="nil"/>
              <w:left w:val="nil"/>
              <w:bottom w:val="nil"/>
              <w:right w:val="nil"/>
            </w:tcBorders>
            <w:tcMar>
              <w:top w:w="0" w:type="dxa"/>
              <w:left w:w="20" w:type="dxa"/>
              <w:bottom w:w="0" w:type="dxa"/>
              <w:right w:w="20" w:type="dxa"/>
            </w:tcMar>
            <w:hideMark/>
          </w:tcPr>
          <w:p w14:paraId="486494B0"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Actividad laboral</w:t>
            </w:r>
          </w:p>
        </w:tc>
        <w:tc>
          <w:tcPr>
            <w:tcW w:w="3990" w:type="dxa"/>
            <w:tcBorders>
              <w:top w:val="nil"/>
              <w:left w:val="nil"/>
              <w:bottom w:val="nil"/>
              <w:right w:val="nil"/>
            </w:tcBorders>
            <w:tcMar>
              <w:top w:w="0" w:type="dxa"/>
              <w:left w:w="20" w:type="dxa"/>
              <w:bottom w:w="0" w:type="dxa"/>
              <w:right w:w="20" w:type="dxa"/>
            </w:tcMar>
            <w:hideMark/>
          </w:tcPr>
          <w:p w14:paraId="55A91168"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Busca trabajo</w:t>
            </w:r>
          </w:p>
        </w:tc>
        <w:tc>
          <w:tcPr>
            <w:tcW w:w="2025" w:type="dxa"/>
            <w:tcBorders>
              <w:top w:val="nil"/>
              <w:left w:val="nil"/>
              <w:bottom w:val="nil"/>
              <w:right w:val="nil"/>
            </w:tcBorders>
            <w:tcMar>
              <w:top w:w="0" w:type="dxa"/>
              <w:left w:w="20" w:type="dxa"/>
              <w:bottom w:w="0" w:type="dxa"/>
              <w:right w:w="20" w:type="dxa"/>
            </w:tcMar>
            <w:hideMark/>
          </w:tcPr>
          <w:p w14:paraId="520DAB15"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31,2</w:t>
            </w:r>
          </w:p>
        </w:tc>
      </w:tr>
      <w:tr w:rsidR="00C724DE" w:rsidRPr="00C724DE" w14:paraId="17B1FCEE"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67DCBD9C"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1A62F9FE"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No trabaja ni busca</w:t>
            </w:r>
          </w:p>
        </w:tc>
        <w:tc>
          <w:tcPr>
            <w:tcW w:w="2025" w:type="dxa"/>
            <w:tcBorders>
              <w:top w:val="nil"/>
              <w:left w:val="nil"/>
              <w:bottom w:val="nil"/>
              <w:right w:val="nil"/>
            </w:tcBorders>
            <w:tcMar>
              <w:top w:w="0" w:type="dxa"/>
              <w:left w:w="20" w:type="dxa"/>
              <w:bottom w:w="0" w:type="dxa"/>
              <w:right w:w="20" w:type="dxa"/>
            </w:tcMar>
            <w:hideMark/>
          </w:tcPr>
          <w:p w14:paraId="621D4376"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21,2</w:t>
            </w:r>
          </w:p>
        </w:tc>
      </w:tr>
      <w:tr w:rsidR="00C724DE" w:rsidRPr="00C724DE" w14:paraId="6BB5DE60"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224101FE"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32F62459"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Trabaja a tiempo parcial</w:t>
            </w:r>
          </w:p>
        </w:tc>
        <w:tc>
          <w:tcPr>
            <w:tcW w:w="2025" w:type="dxa"/>
            <w:tcBorders>
              <w:top w:val="nil"/>
              <w:left w:val="nil"/>
              <w:bottom w:val="nil"/>
              <w:right w:val="nil"/>
            </w:tcBorders>
            <w:tcMar>
              <w:top w:w="0" w:type="dxa"/>
              <w:left w:w="20" w:type="dxa"/>
              <w:bottom w:w="0" w:type="dxa"/>
              <w:right w:w="20" w:type="dxa"/>
            </w:tcMar>
            <w:hideMark/>
          </w:tcPr>
          <w:p w14:paraId="27DD3137"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15,3</w:t>
            </w:r>
          </w:p>
        </w:tc>
      </w:tr>
      <w:tr w:rsidR="00C724DE" w:rsidRPr="00C724DE" w14:paraId="381C428F"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3B20E915"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789AAD28"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Trabaja ocasionalmente</w:t>
            </w:r>
          </w:p>
        </w:tc>
        <w:tc>
          <w:tcPr>
            <w:tcW w:w="2025" w:type="dxa"/>
            <w:tcBorders>
              <w:top w:val="nil"/>
              <w:left w:val="nil"/>
              <w:bottom w:val="nil"/>
              <w:right w:val="nil"/>
            </w:tcBorders>
            <w:tcMar>
              <w:top w:w="0" w:type="dxa"/>
              <w:left w:w="20" w:type="dxa"/>
              <w:bottom w:w="0" w:type="dxa"/>
              <w:right w:w="20" w:type="dxa"/>
            </w:tcMar>
            <w:hideMark/>
          </w:tcPr>
          <w:p w14:paraId="60F1D243"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15,3</w:t>
            </w:r>
          </w:p>
        </w:tc>
      </w:tr>
      <w:tr w:rsidR="00C724DE" w:rsidRPr="00C724DE" w14:paraId="7D8F589E"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2F324935"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372F4741"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Trabaja a tiempo completo</w:t>
            </w:r>
          </w:p>
        </w:tc>
        <w:tc>
          <w:tcPr>
            <w:tcW w:w="2025" w:type="dxa"/>
            <w:tcBorders>
              <w:top w:val="nil"/>
              <w:left w:val="nil"/>
              <w:bottom w:val="nil"/>
              <w:right w:val="nil"/>
            </w:tcBorders>
            <w:tcMar>
              <w:top w:w="0" w:type="dxa"/>
              <w:left w:w="20" w:type="dxa"/>
              <w:bottom w:w="0" w:type="dxa"/>
              <w:right w:w="20" w:type="dxa"/>
            </w:tcMar>
            <w:hideMark/>
          </w:tcPr>
          <w:p w14:paraId="2BCD49A7"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13,5</w:t>
            </w:r>
          </w:p>
        </w:tc>
      </w:tr>
      <w:tr w:rsidR="00C724DE" w:rsidRPr="00C724DE" w14:paraId="5DFC7C17" w14:textId="77777777" w:rsidTr="00C724DE">
        <w:trPr>
          <w:trHeight w:val="690"/>
        </w:trPr>
        <w:tc>
          <w:tcPr>
            <w:tcW w:w="3000" w:type="dxa"/>
            <w:tcBorders>
              <w:top w:val="nil"/>
              <w:left w:val="nil"/>
              <w:bottom w:val="nil"/>
              <w:right w:val="nil"/>
            </w:tcBorders>
            <w:tcMar>
              <w:top w:w="0" w:type="dxa"/>
              <w:left w:w="20" w:type="dxa"/>
              <w:bottom w:w="0" w:type="dxa"/>
              <w:right w:w="20" w:type="dxa"/>
            </w:tcMar>
          </w:tcPr>
          <w:p w14:paraId="7F479424"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p>
        </w:tc>
        <w:tc>
          <w:tcPr>
            <w:tcW w:w="3990" w:type="dxa"/>
            <w:tcBorders>
              <w:top w:val="nil"/>
              <w:left w:val="nil"/>
              <w:bottom w:val="nil"/>
              <w:right w:val="nil"/>
            </w:tcBorders>
            <w:tcMar>
              <w:top w:w="0" w:type="dxa"/>
              <w:left w:w="20" w:type="dxa"/>
              <w:bottom w:w="0" w:type="dxa"/>
              <w:right w:w="20" w:type="dxa"/>
            </w:tcMar>
            <w:hideMark/>
          </w:tcPr>
          <w:p w14:paraId="780B14E6"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Prefiere no responder</w:t>
            </w:r>
          </w:p>
        </w:tc>
        <w:tc>
          <w:tcPr>
            <w:tcW w:w="2025" w:type="dxa"/>
            <w:tcBorders>
              <w:top w:val="nil"/>
              <w:left w:val="nil"/>
              <w:bottom w:val="nil"/>
              <w:right w:val="nil"/>
            </w:tcBorders>
            <w:tcMar>
              <w:top w:w="0" w:type="dxa"/>
              <w:left w:w="20" w:type="dxa"/>
              <w:bottom w:w="0" w:type="dxa"/>
              <w:right w:w="20" w:type="dxa"/>
            </w:tcMar>
            <w:hideMark/>
          </w:tcPr>
          <w:p w14:paraId="5C2DA414"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3,5</w:t>
            </w:r>
          </w:p>
        </w:tc>
      </w:tr>
      <w:tr w:rsidR="00C724DE" w:rsidRPr="00C724DE" w14:paraId="51D7808A" w14:textId="77777777" w:rsidTr="00C724DE">
        <w:trPr>
          <w:trHeight w:val="270"/>
        </w:trPr>
        <w:tc>
          <w:tcPr>
            <w:tcW w:w="3000" w:type="dxa"/>
            <w:tcBorders>
              <w:top w:val="nil"/>
              <w:left w:val="nil"/>
              <w:bottom w:val="nil"/>
              <w:right w:val="nil"/>
            </w:tcBorders>
            <w:tcMar>
              <w:top w:w="0" w:type="dxa"/>
              <w:left w:w="20" w:type="dxa"/>
              <w:bottom w:w="0" w:type="dxa"/>
              <w:right w:w="20" w:type="dxa"/>
            </w:tcMar>
            <w:hideMark/>
          </w:tcPr>
          <w:p w14:paraId="3A315C9E"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Primera generación universitaria</w:t>
            </w:r>
          </w:p>
        </w:tc>
        <w:tc>
          <w:tcPr>
            <w:tcW w:w="3990" w:type="dxa"/>
            <w:tcBorders>
              <w:top w:val="nil"/>
              <w:left w:val="nil"/>
              <w:bottom w:val="nil"/>
              <w:right w:val="nil"/>
            </w:tcBorders>
            <w:tcMar>
              <w:top w:w="0" w:type="dxa"/>
              <w:left w:w="20" w:type="dxa"/>
              <w:bottom w:w="0" w:type="dxa"/>
              <w:right w:w="20" w:type="dxa"/>
            </w:tcMar>
            <w:hideMark/>
          </w:tcPr>
          <w:p w14:paraId="12BAE035"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No</w:t>
            </w:r>
          </w:p>
        </w:tc>
        <w:tc>
          <w:tcPr>
            <w:tcW w:w="2025" w:type="dxa"/>
            <w:tcBorders>
              <w:top w:val="nil"/>
              <w:left w:val="nil"/>
              <w:bottom w:val="nil"/>
              <w:right w:val="nil"/>
            </w:tcBorders>
            <w:tcMar>
              <w:top w:w="0" w:type="dxa"/>
              <w:left w:w="20" w:type="dxa"/>
              <w:bottom w:w="0" w:type="dxa"/>
              <w:right w:w="20" w:type="dxa"/>
            </w:tcMar>
            <w:hideMark/>
          </w:tcPr>
          <w:p w14:paraId="26381DAF"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65,0</w:t>
            </w:r>
          </w:p>
        </w:tc>
      </w:tr>
      <w:tr w:rsidR="00C724DE" w:rsidRPr="00C724DE" w14:paraId="41D0B1F9"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536B104A"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4D5CBEC6"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Sí</w:t>
            </w:r>
          </w:p>
        </w:tc>
        <w:tc>
          <w:tcPr>
            <w:tcW w:w="2025" w:type="dxa"/>
            <w:tcBorders>
              <w:top w:val="nil"/>
              <w:left w:val="nil"/>
              <w:bottom w:val="nil"/>
              <w:right w:val="nil"/>
            </w:tcBorders>
            <w:tcMar>
              <w:top w:w="0" w:type="dxa"/>
              <w:left w:w="20" w:type="dxa"/>
              <w:bottom w:w="0" w:type="dxa"/>
              <w:right w:w="20" w:type="dxa"/>
            </w:tcMar>
            <w:hideMark/>
          </w:tcPr>
          <w:p w14:paraId="7A0F8E3D"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33,0</w:t>
            </w:r>
          </w:p>
        </w:tc>
      </w:tr>
      <w:tr w:rsidR="00C724DE" w:rsidRPr="00C724DE" w14:paraId="25CBB63E" w14:textId="77777777" w:rsidTr="00C724DE">
        <w:trPr>
          <w:trHeight w:val="315"/>
        </w:trPr>
        <w:tc>
          <w:tcPr>
            <w:tcW w:w="3000" w:type="dxa"/>
            <w:tcBorders>
              <w:top w:val="nil"/>
              <w:left w:val="nil"/>
              <w:bottom w:val="nil"/>
              <w:right w:val="nil"/>
            </w:tcBorders>
            <w:tcMar>
              <w:top w:w="0" w:type="dxa"/>
              <w:left w:w="20" w:type="dxa"/>
              <w:bottom w:w="0" w:type="dxa"/>
              <w:right w:w="20" w:type="dxa"/>
            </w:tcMar>
          </w:tcPr>
          <w:p w14:paraId="7E486203"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p>
        </w:tc>
        <w:tc>
          <w:tcPr>
            <w:tcW w:w="3990" w:type="dxa"/>
            <w:tcBorders>
              <w:top w:val="nil"/>
              <w:left w:val="nil"/>
              <w:bottom w:val="nil"/>
              <w:right w:val="nil"/>
            </w:tcBorders>
            <w:tcMar>
              <w:top w:w="0" w:type="dxa"/>
              <w:left w:w="20" w:type="dxa"/>
              <w:bottom w:w="0" w:type="dxa"/>
              <w:right w:w="20" w:type="dxa"/>
            </w:tcMar>
            <w:hideMark/>
          </w:tcPr>
          <w:p w14:paraId="39E51503"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No sabe/ No contesta</w:t>
            </w:r>
          </w:p>
        </w:tc>
        <w:tc>
          <w:tcPr>
            <w:tcW w:w="2025" w:type="dxa"/>
            <w:tcBorders>
              <w:top w:val="nil"/>
              <w:left w:val="nil"/>
              <w:bottom w:val="nil"/>
              <w:right w:val="nil"/>
            </w:tcBorders>
            <w:tcMar>
              <w:top w:w="0" w:type="dxa"/>
              <w:left w:w="20" w:type="dxa"/>
              <w:bottom w:w="0" w:type="dxa"/>
              <w:right w:w="20" w:type="dxa"/>
            </w:tcMar>
            <w:hideMark/>
          </w:tcPr>
          <w:p w14:paraId="2463DAC0"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2</w:t>
            </w:r>
          </w:p>
        </w:tc>
      </w:tr>
      <w:tr w:rsidR="00C724DE" w:rsidRPr="00C724DE" w14:paraId="301B1A4B" w14:textId="77777777" w:rsidTr="00C724DE">
        <w:trPr>
          <w:trHeight w:val="270"/>
        </w:trPr>
        <w:tc>
          <w:tcPr>
            <w:tcW w:w="3000" w:type="dxa"/>
            <w:tcBorders>
              <w:top w:val="nil"/>
              <w:left w:val="nil"/>
              <w:bottom w:val="nil"/>
              <w:right w:val="nil"/>
            </w:tcBorders>
            <w:tcMar>
              <w:top w:w="0" w:type="dxa"/>
              <w:left w:w="20" w:type="dxa"/>
              <w:bottom w:w="0" w:type="dxa"/>
              <w:right w:w="20" w:type="dxa"/>
            </w:tcMar>
            <w:hideMark/>
          </w:tcPr>
          <w:p w14:paraId="131B2EBC"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Tipo de institución secundaria</w:t>
            </w:r>
          </w:p>
        </w:tc>
        <w:tc>
          <w:tcPr>
            <w:tcW w:w="3990" w:type="dxa"/>
            <w:tcBorders>
              <w:top w:val="nil"/>
              <w:left w:val="nil"/>
              <w:bottom w:val="nil"/>
              <w:right w:val="nil"/>
            </w:tcBorders>
            <w:tcMar>
              <w:top w:w="0" w:type="dxa"/>
              <w:left w:w="20" w:type="dxa"/>
              <w:bottom w:w="0" w:type="dxa"/>
              <w:right w:w="20" w:type="dxa"/>
            </w:tcMar>
            <w:hideMark/>
          </w:tcPr>
          <w:p w14:paraId="14DC9D58"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Privada (laica + religiosa + mixta)</w:t>
            </w:r>
          </w:p>
        </w:tc>
        <w:tc>
          <w:tcPr>
            <w:tcW w:w="2025" w:type="dxa"/>
            <w:tcBorders>
              <w:top w:val="nil"/>
              <w:left w:val="nil"/>
              <w:bottom w:val="nil"/>
              <w:right w:val="nil"/>
            </w:tcBorders>
            <w:tcMar>
              <w:top w:w="0" w:type="dxa"/>
              <w:left w:w="20" w:type="dxa"/>
              <w:bottom w:w="0" w:type="dxa"/>
              <w:right w:w="20" w:type="dxa"/>
            </w:tcMar>
            <w:hideMark/>
          </w:tcPr>
          <w:p w14:paraId="6E8CF189"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50,6</w:t>
            </w:r>
          </w:p>
        </w:tc>
      </w:tr>
      <w:tr w:rsidR="00C724DE" w:rsidRPr="00C724DE" w14:paraId="1CB4F897"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1ACC7D19"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31E7F75B"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Pública</w:t>
            </w:r>
          </w:p>
        </w:tc>
        <w:tc>
          <w:tcPr>
            <w:tcW w:w="2025" w:type="dxa"/>
            <w:tcBorders>
              <w:top w:val="nil"/>
              <w:left w:val="nil"/>
              <w:bottom w:val="nil"/>
              <w:right w:val="nil"/>
            </w:tcBorders>
            <w:tcMar>
              <w:top w:w="0" w:type="dxa"/>
              <w:left w:w="20" w:type="dxa"/>
              <w:bottom w:w="0" w:type="dxa"/>
              <w:right w:w="20" w:type="dxa"/>
            </w:tcMar>
            <w:hideMark/>
          </w:tcPr>
          <w:p w14:paraId="2B093EA5"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49,4</w:t>
            </w:r>
          </w:p>
        </w:tc>
      </w:tr>
      <w:tr w:rsidR="00C724DE" w:rsidRPr="00C724DE" w14:paraId="52392283" w14:textId="77777777" w:rsidTr="00C724DE">
        <w:trPr>
          <w:trHeight w:val="270"/>
        </w:trPr>
        <w:tc>
          <w:tcPr>
            <w:tcW w:w="3000" w:type="dxa"/>
            <w:tcBorders>
              <w:top w:val="nil"/>
              <w:left w:val="nil"/>
              <w:bottom w:val="nil"/>
              <w:right w:val="nil"/>
            </w:tcBorders>
            <w:tcMar>
              <w:top w:w="0" w:type="dxa"/>
              <w:left w:w="20" w:type="dxa"/>
              <w:bottom w:w="0" w:type="dxa"/>
              <w:right w:w="20" w:type="dxa"/>
            </w:tcMar>
            <w:hideMark/>
          </w:tcPr>
          <w:p w14:paraId="65B1789E"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Año de egreso de la secundaria</w:t>
            </w:r>
          </w:p>
        </w:tc>
        <w:tc>
          <w:tcPr>
            <w:tcW w:w="3990" w:type="dxa"/>
            <w:tcBorders>
              <w:top w:val="nil"/>
              <w:left w:val="nil"/>
              <w:bottom w:val="nil"/>
              <w:right w:val="nil"/>
            </w:tcBorders>
            <w:tcMar>
              <w:top w:w="0" w:type="dxa"/>
              <w:left w:w="20" w:type="dxa"/>
              <w:bottom w:w="0" w:type="dxa"/>
              <w:right w:w="20" w:type="dxa"/>
            </w:tcMar>
            <w:hideMark/>
          </w:tcPr>
          <w:p w14:paraId="646D3557"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El año pasado</w:t>
            </w:r>
          </w:p>
        </w:tc>
        <w:tc>
          <w:tcPr>
            <w:tcW w:w="2025" w:type="dxa"/>
            <w:tcBorders>
              <w:top w:val="nil"/>
              <w:left w:val="nil"/>
              <w:bottom w:val="nil"/>
              <w:right w:val="nil"/>
            </w:tcBorders>
            <w:tcMar>
              <w:top w:w="0" w:type="dxa"/>
              <w:left w:w="20" w:type="dxa"/>
              <w:bottom w:w="0" w:type="dxa"/>
              <w:right w:w="20" w:type="dxa"/>
            </w:tcMar>
            <w:hideMark/>
          </w:tcPr>
          <w:p w14:paraId="4CA432AE"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56,5</w:t>
            </w:r>
          </w:p>
        </w:tc>
      </w:tr>
      <w:tr w:rsidR="00C724DE" w:rsidRPr="00C724DE" w14:paraId="4F7CD282"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74EDEB9B"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6674885A"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Entre 2 y 5 años atrás</w:t>
            </w:r>
          </w:p>
        </w:tc>
        <w:tc>
          <w:tcPr>
            <w:tcW w:w="2025" w:type="dxa"/>
            <w:tcBorders>
              <w:top w:val="nil"/>
              <w:left w:val="nil"/>
              <w:bottom w:val="nil"/>
              <w:right w:val="nil"/>
            </w:tcBorders>
            <w:tcMar>
              <w:top w:w="0" w:type="dxa"/>
              <w:left w:w="20" w:type="dxa"/>
              <w:bottom w:w="0" w:type="dxa"/>
              <w:right w:w="20" w:type="dxa"/>
            </w:tcMar>
            <w:hideMark/>
          </w:tcPr>
          <w:p w14:paraId="1F9FC608"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20,6</w:t>
            </w:r>
          </w:p>
        </w:tc>
      </w:tr>
      <w:tr w:rsidR="00C724DE" w:rsidRPr="00C724DE" w14:paraId="063C2F7C"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02A4A883"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lastRenderedPageBreak/>
              <w:t xml:space="preserve"> </w:t>
            </w:r>
          </w:p>
        </w:tc>
        <w:tc>
          <w:tcPr>
            <w:tcW w:w="3990" w:type="dxa"/>
            <w:tcBorders>
              <w:top w:val="nil"/>
              <w:left w:val="nil"/>
              <w:bottom w:val="nil"/>
              <w:right w:val="nil"/>
            </w:tcBorders>
            <w:tcMar>
              <w:top w:w="0" w:type="dxa"/>
              <w:left w:w="20" w:type="dxa"/>
              <w:bottom w:w="0" w:type="dxa"/>
              <w:right w:w="20" w:type="dxa"/>
            </w:tcMar>
            <w:hideMark/>
          </w:tcPr>
          <w:p w14:paraId="01E1508F"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Hace más de 10 años</w:t>
            </w:r>
          </w:p>
        </w:tc>
        <w:tc>
          <w:tcPr>
            <w:tcW w:w="2025" w:type="dxa"/>
            <w:tcBorders>
              <w:top w:val="nil"/>
              <w:left w:val="nil"/>
              <w:bottom w:val="nil"/>
              <w:right w:val="nil"/>
            </w:tcBorders>
            <w:tcMar>
              <w:top w:w="0" w:type="dxa"/>
              <w:left w:w="20" w:type="dxa"/>
              <w:bottom w:w="0" w:type="dxa"/>
              <w:right w:w="20" w:type="dxa"/>
            </w:tcMar>
            <w:hideMark/>
          </w:tcPr>
          <w:p w14:paraId="3BDC1C73"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14,1</w:t>
            </w:r>
          </w:p>
        </w:tc>
      </w:tr>
      <w:tr w:rsidR="00C724DE" w:rsidRPr="00C724DE" w14:paraId="1B987EE6" w14:textId="77777777" w:rsidTr="00C724DE">
        <w:trPr>
          <w:trHeight w:val="315"/>
        </w:trPr>
        <w:tc>
          <w:tcPr>
            <w:tcW w:w="3000" w:type="dxa"/>
            <w:tcBorders>
              <w:top w:val="nil"/>
              <w:left w:val="nil"/>
              <w:bottom w:val="nil"/>
              <w:right w:val="nil"/>
            </w:tcBorders>
            <w:tcMar>
              <w:top w:w="0" w:type="dxa"/>
              <w:left w:w="20" w:type="dxa"/>
              <w:bottom w:w="0" w:type="dxa"/>
              <w:right w:w="20" w:type="dxa"/>
            </w:tcMar>
            <w:hideMark/>
          </w:tcPr>
          <w:p w14:paraId="4DF64D5C"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nil"/>
              <w:right w:val="nil"/>
            </w:tcBorders>
            <w:tcMar>
              <w:top w:w="0" w:type="dxa"/>
              <w:left w:w="20" w:type="dxa"/>
              <w:bottom w:w="0" w:type="dxa"/>
              <w:right w:w="20" w:type="dxa"/>
            </w:tcMar>
            <w:hideMark/>
          </w:tcPr>
          <w:p w14:paraId="7D02ADCA"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Entre 6 y 10 años atrás</w:t>
            </w:r>
          </w:p>
        </w:tc>
        <w:tc>
          <w:tcPr>
            <w:tcW w:w="2025" w:type="dxa"/>
            <w:tcBorders>
              <w:top w:val="nil"/>
              <w:left w:val="nil"/>
              <w:bottom w:val="nil"/>
              <w:right w:val="nil"/>
            </w:tcBorders>
            <w:tcMar>
              <w:top w:w="0" w:type="dxa"/>
              <w:left w:w="20" w:type="dxa"/>
              <w:bottom w:w="0" w:type="dxa"/>
              <w:right w:w="20" w:type="dxa"/>
            </w:tcMar>
            <w:hideMark/>
          </w:tcPr>
          <w:p w14:paraId="6AD229BF"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8,2</w:t>
            </w:r>
          </w:p>
        </w:tc>
      </w:tr>
      <w:tr w:rsidR="00C724DE" w:rsidRPr="00C724DE" w14:paraId="171DAF23" w14:textId="77777777" w:rsidTr="00C724DE">
        <w:trPr>
          <w:trHeight w:val="315"/>
        </w:trPr>
        <w:tc>
          <w:tcPr>
            <w:tcW w:w="3000" w:type="dxa"/>
            <w:tcBorders>
              <w:top w:val="nil"/>
              <w:left w:val="nil"/>
              <w:bottom w:val="nil"/>
              <w:right w:val="nil"/>
            </w:tcBorders>
            <w:tcMar>
              <w:top w:w="0" w:type="dxa"/>
              <w:left w:w="20" w:type="dxa"/>
              <w:bottom w:w="0" w:type="dxa"/>
              <w:right w:w="20" w:type="dxa"/>
            </w:tcMar>
          </w:tcPr>
          <w:p w14:paraId="4448F06E"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p>
        </w:tc>
        <w:tc>
          <w:tcPr>
            <w:tcW w:w="3990" w:type="dxa"/>
            <w:tcBorders>
              <w:top w:val="nil"/>
              <w:left w:val="nil"/>
              <w:bottom w:val="nil"/>
              <w:right w:val="nil"/>
            </w:tcBorders>
            <w:tcMar>
              <w:top w:w="0" w:type="dxa"/>
              <w:left w:w="20" w:type="dxa"/>
              <w:bottom w:w="0" w:type="dxa"/>
              <w:right w:w="20" w:type="dxa"/>
            </w:tcMar>
            <w:hideMark/>
          </w:tcPr>
          <w:p w14:paraId="3D3C929D" w14:textId="77777777" w:rsidR="00C724DE" w:rsidRPr="00C724DE" w:rsidRDefault="00C724DE" w:rsidP="00C724DE">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Prefiero no responder</w:t>
            </w:r>
          </w:p>
        </w:tc>
        <w:tc>
          <w:tcPr>
            <w:tcW w:w="2025" w:type="dxa"/>
            <w:tcBorders>
              <w:top w:val="nil"/>
              <w:left w:val="nil"/>
              <w:bottom w:val="nil"/>
              <w:right w:val="nil"/>
            </w:tcBorders>
            <w:tcMar>
              <w:top w:w="0" w:type="dxa"/>
              <w:left w:w="20" w:type="dxa"/>
              <w:bottom w:w="0" w:type="dxa"/>
              <w:right w:w="20" w:type="dxa"/>
            </w:tcMar>
            <w:hideMark/>
          </w:tcPr>
          <w:p w14:paraId="57D16507"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C724DE">
              <w:rPr>
                <w:rFonts w:ascii="Times New Roman" w:eastAsia="Times New Roman" w:hAnsi="Times New Roman" w:cs="Times New Roman"/>
                <w:color w:val="303030"/>
                <w:kern w:val="0"/>
                <w:sz w:val="20"/>
                <w:szCs w:val="20"/>
                <w:highlight w:val="white"/>
                <w:lang w:val="es-ES" w:eastAsia="es-ES"/>
                <w14:ligatures w14:val="none"/>
              </w:rPr>
              <w:t>0,6</w:t>
            </w:r>
          </w:p>
        </w:tc>
      </w:tr>
      <w:tr w:rsidR="00C724DE" w:rsidRPr="00C724DE" w14:paraId="69D003AD" w14:textId="77777777" w:rsidTr="00C724DE">
        <w:trPr>
          <w:trHeight w:val="345"/>
        </w:trPr>
        <w:tc>
          <w:tcPr>
            <w:tcW w:w="3000" w:type="dxa"/>
            <w:tcBorders>
              <w:top w:val="nil"/>
              <w:left w:val="nil"/>
              <w:bottom w:val="single" w:sz="18" w:space="0" w:color="000000"/>
              <w:right w:val="nil"/>
            </w:tcBorders>
            <w:tcMar>
              <w:top w:w="0" w:type="dxa"/>
              <w:left w:w="20" w:type="dxa"/>
              <w:bottom w:w="0" w:type="dxa"/>
              <w:right w:w="20" w:type="dxa"/>
            </w:tcMar>
            <w:hideMark/>
          </w:tcPr>
          <w:p w14:paraId="68D49346"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3990" w:type="dxa"/>
            <w:tcBorders>
              <w:top w:val="nil"/>
              <w:left w:val="nil"/>
              <w:bottom w:val="single" w:sz="18" w:space="0" w:color="000000"/>
              <w:right w:val="nil"/>
            </w:tcBorders>
            <w:tcMar>
              <w:top w:w="0" w:type="dxa"/>
              <w:left w:w="20" w:type="dxa"/>
              <w:bottom w:w="0" w:type="dxa"/>
              <w:right w:w="20" w:type="dxa"/>
            </w:tcMar>
            <w:hideMark/>
          </w:tcPr>
          <w:p w14:paraId="3E22E229" w14:textId="77777777" w:rsidR="00C724DE" w:rsidRPr="00C724DE" w:rsidRDefault="00C724DE" w:rsidP="00C724DE">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c>
          <w:tcPr>
            <w:tcW w:w="2025" w:type="dxa"/>
            <w:tcBorders>
              <w:top w:val="nil"/>
              <w:left w:val="nil"/>
              <w:bottom w:val="single" w:sz="18" w:space="0" w:color="000000"/>
              <w:right w:val="nil"/>
            </w:tcBorders>
            <w:tcMar>
              <w:top w:w="0" w:type="dxa"/>
              <w:left w:w="20" w:type="dxa"/>
              <w:bottom w:w="0" w:type="dxa"/>
              <w:right w:w="20" w:type="dxa"/>
            </w:tcMar>
            <w:hideMark/>
          </w:tcPr>
          <w:p w14:paraId="5B4B10CA" w14:textId="77777777" w:rsidR="00C724DE" w:rsidRPr="00C724DE" w:rsidRDefault="00C724DE" w:rsidP="00C724DE">
            <w:pPr>
              <w:spacing w:before="240" w:after="40" w:line="276" w:lineRule="auto"/>
              <w:jc w:val="right"/>
              <w:rPr>
                <w:rFonts w:ascii="Times New Roman" w:eastAsia="Times New Roman" w:hAnsi="Times New Roman" w:cs="Times New Roman"/>
                <w:color w:val="303030"/>
                <w:kern w:val="0"/>
                <w:highlight w:val="white"/>
                <w:lang w:val="es-ES" w:eastAsia="es-ES"/>
                <w14:ligatures w14:val="none"/>
              </w:rPr>
            </w:pPr>
            <w:r w:rsidRPr="00C724DE">
              <w:rPr>
                <w:rFonts w:ascii="Times New Roman" w:eastAsia="Times New Roman" w:hAnsi="Times New Roman" w:cs="Times New Roman"/>
                <w:color w:val="303030"/>
                <w:kern w:val="0"/>
                <w:highlight w:val="white"/>
                <w:lang w:val="es-ES" w:eastAsia="es-ES"/>
                <w14:ligatures w14:val="none"/>
              </w:rPr>
              <w:t xml:space="preserve"> </w:t>
            </w:r>
          </w:p>
        </w:tc>
      </w:tr>
    </w:tbl>
    <w:p w14:paraId="6C29EC12" w14:textId="77777777" w:rsidR="00C724DE" w:rsidRPr="00C724DE" w:rsidRDefault="00C724DE" w:rsidP="00C724DE">
      <w:pPr>
        <w:spacing w:after="0" w:line="276" w:lineRule="auto"/>
        <w:rPr>
          <w:rFonts w:ascii="Times New Roman" w:eastAsia="Times New Roman" w:hAnsi="Times New Roman" w:cs="Times New Roman"/>
          <w:color w:val="303030"/>
          <w:kern w:val="0"/>
          <w:sz w:val="22"/>
          <w:szCs w:val="22"/>
          <w:highlight w:val="white"/>
          <w:lang w:val="es-ES" w:eastAsia="es-ES"/>
          <w14:ligatures w14:val="none"/>
        </w:rPr>
      </w:pPr>
      <w:r w:rsidRPr="00C724DE">
        <w:rPr>
          <w:rFonts w:ascii="Times New Roman" w:eastAsia="Times New Roman" w:hAnsi="Times New Roman" w:cs="Times New Roman"/>
          <w:color w:val="303030"/>
          <w:kern w:val="0"/>
          <w:sz w:val="22"/>
          <w:szCs w:val="22"/>
          <w:highlight w:val="white"/>
          <w:lang w:val="es-ES" w:eastAsia="es-ES"/>
          <w14:ligatures w14:val="none"/>
        </w:rPr>
        <w:t xml:space="preserve">Fuente: </w:t>
      </w:r>
      <w:r w:rsidRPr="00C724DE">
        <w:rPr>
          <w:rFonts w:ascii="Times New Roman" w:eastAsia="Times New Roman" w:hAnsi="Times New Roman" w:cs="Times New Roman"/>
          <w:color w:val="303030"/>
          <w:kern w:val="0"/>
          <w:sz w:val="22"/>
          <w:szCs w:val="22"/>
          <w:lang w:val="es-ES" w:eastAsia="es-ES"/>
          <w14:ligatures w14:val="none"/>
        </w:rPr>
        <w:t>Encuesta IMPULSA CBC, diciembre 2025 (n = 210).</w:t>
      </w:r>
    </w:p>
    <w:p w14:paraId="67470275" w14:textId="77777777" w:rsidR="00B15DAD" w:rsidRDefault="00B15DAD" w:rsidP="007B5B5F">
      <w:pPr>
        <w:spacing w:line="240" w:lineRule="auto"/>
        <w:rPr>
          <w:rFonts w:ascii="Times New Roman" w:hAnsi="Times New Roman" w:cs="Times New Roman"/>
          <w:b/>
          <w:bCs/>
        </w:rPr>
      </w:pPr>
    </w:p>
    <w:p w14:paraId="5D3A2AC2" w14:textId="77777777" w:rsidR="00506F3D" w:rsidRPr="00506F3D" w:rsidRDefault="00506F3D" w:rsidP="00506F3D">
      <w:pPr>
        <w:spacing w:after="200" w:line="276" w:lineRule="auto"/>
        <w:ind w:firstLine="708"/>
        <w:jc w:val="both"/>
        <w:rPr>
          <w:rFonts w:ascii="Times New Roman" w:eastAsia="Times New Roman" w:hAnsi="Times New Roman" w:cs="Times New Roman"/>
          <w:bCs/>
          <w:color w:val="303030"/>
          <w:kern w:val="0"/>
          <w:lang w:val="es-ES" w:eastAsia="es-ES"/>
          <w14:ligatures w14:val="none"/>
        </w:rPr>
      </w:pPr>
      <w:r w:rsidRPr="00506F3D">
        <w:rPr>
          <w:rFonts w:ascii="Times New Roman" w:eastAsia="Times New Roman" w:hAnsi="Times New Roman" w:cs="Times New Roman"/>
          <w:bCs/>
          <w:color w:val="303030"/>
          <w:kern w:val="0"/>
          <w:lang w:val="es-ES" w:eastAsia="es-ES"/>
          <w14:ligatures w14:val="none"/>
        </w:rPr>
        <w:t>Componente Cualitativo (Entrevistas)</w:t>
      </w:r>
    </w:p>
    <w:p w14:paraId="1B873C68" w14:textId="77777777" w:rsidR="00506F3D" w:rsidRPr="00506F3D" w:rsidRDefault="00506F3D" w:rsidP="00506F3D">
      <w:pPr>
        <w:spacing w:after="200" w:line="276" w:lineRule="auto"/>
        <w:jc w:val="both"/>
        <w:rPr>
          <w:rFonts w:ascii="Times New Roman" w:eastAsia="Times New Roman" w:hAnsi="Times New Roman" w:cs="Times New Roman"/>
          <w:bCs/>
          <w:color w:val="303030"/>
          <w:kern w:val="0"/>
          <w:lang w:val="es-ES" w:eastAsia="es-ES"/>
          <w14:ligatures w14:val="none"/>
        </w:rPr>
      </w:pPr>
      <w:r w:rsidRPr="00506F3D">
        <w:rPr>
          <w:rFonts w:ascii="Times New Roman" w:eastAsia="Times New Roman" w:hAnsi="Times New Roman" w:cs="Times New Roman"/>
          <w:bCs/>
          <w:color w:val="303030"/>
          <w:kern w:val="0"/>
          <w:lang w:val="es-ES" w:eastAsia="es-ES"/>
          <w14:ligatures w14:val="none"/>
        </w:rPr>
        <w:t>Se realizaron cinco entrevistas en profundidad de manera virtual (Google Meet) con un guion semiestructurado y flexible, elaborado a partir de ejes temáticos relevados en la literatura y de las dimensiones exploradas en la encuesta. Las y los participantes se seleccionaron buscando diversidad de perfiles, con el objetivo de captar heterogeneidad: un estudiante con trayectoria universitaria previa e hijo a cargo (Sociología), una estudiante de primera generación que trabaja a tiempo parcial (Psicología), una estudiante proveniente del interior del país (Medicina), un estudiante que cursa en modalidad presencial intensiva (Ingeniería) y una estudiante que cursa en UBA XXI (Derecho). Este criterio no busca representatividad estadística sino diversidad informacional.</w:t>
      </w:r>
    </w:p>
    <w:p w14:paraId="4D635DC1" w14:textId="2E2512C9" w:rsidR="00C724DE" w:rsidRPr="00506F3D" w:rsidRDefault="00506F3D" w:rsidP="00506F3D">
      <w:pPr>
        <w:spacing w:after="200" w:line="276" w:lineRule="auto"/>
        <w:jc w:val="both"/>
        <w:rPr>
          <w:rFonts w:ascii="Times New Roman" w:eastAsia="Times New Roman" w:hAnsi="Times New Roman" w:cs="Times New Roman"/>
          <w:bCs/>
          <w:color w:val="303030"/>
          <w:kern w:val="0"/>
          <w:highlight w:val="white"/>
          <w:lang w:val="es-ES" w:eastAsia="es-ES"/>
          <w14:ligatures w14:val="none"/>
        </w:rPr>
      </w:pPr>
      <w:r w:rsidRPr="00506F3D">
        <w:rPr>
          <w:rFonts w:ascii="Times New Roman" w:eastAsia="Times New Roman" w:hAnsi="Times New Roman" w:cs="Times New Roman"/>
          <w:bCs/>
          <w:color w:val="303030"/>
          <w:kern w:val="0"/>
          <w:lang w:val="es-ES" w:eastAsia="es-ES"/>
          <w14:ligatures w14:val="none"/>
        </w:rPr>
        <w:t>El análisis cualitativo siguió un proceso de codificación temática: se identificaron núcleos de sentido recurrentes, se agruparon por afinidad conceptual y se reconstruyeron relaciones entre categorías. El procedimiento fue realizado por tres investigadores de manera independiente; posteriormente se compararon y discutieron análisis para minimizar la incidencia de la subjetividad en la interpretación, recurriendo a triangulación de investigador (</w:t>
      </w:r>
      <w:proofErr w:type="spellStart"/>
      <w:r w:rsidRPr="00506F3D">
        <w:rPr>
          <w:rFonts w:ascii="Times New Roman" w:eastAsia="Times New Roman" w:hAnsi="Times New Roman" w:cs="Times New Roman"/>
          <w:bCs/>
          <w:color w:val="303030"/>
          <w:kern w:val="0"/>
          <w:lang w:val="es-ES" w:eastAsia="es-ES"/>
          <w14:ligatures w14:val="none"/>
        </w:rPr>
        <w:t>Donolo</w:t>
      </w:r>
      <w:proofErr w:type="spellEnd"/>
      <w:r w:rsidRPr="00506F3D">
        <w:rPr>
          <w:rFonts w:ascii="Times New Roman" w:eastAsia="Times New Roman" w:hAnsi="Times New Roman" w:cs="Times New Roman"/>
          <w:bCs/>
          <w:color w:val="303030"/>
          <w:kern w:val="0"/>
          <w:lang w:val="es-ES" w:eastAsia="es-ES"/>
          <w14:ligatures w14:val="none"/>
        </w:rPr>
        <w:t xml:space="preserve">, 2009; Verón Rojas, Medina e Idoyaga, 2023). Las divergencias se resolvieron por consenso argumentado. Las citas se presentan mediante códigos de anonimato (Entrevistado/a </w:t>
      </w:r>
      <w:proofErr w:type="spellStart"/>
      <w:r w:rsidRPr="00506F3D">
        <w:rPr>
          <w:rFonts w:ascii="Times New Roman" w:eastAsia="Times New Roman" w:hAnsi="Times New Roman" w:cs="Times New Roman"/>
          <w:bCs/>
          <w:color w:val="303030"/>
          <w:kern w:val="0"/>
          <w:lang w:val="es-ES" w:eastAsia="es-ES"/>
          <w14:ligatures w14:val="none"/>
        </w:rPr>
        <w:t>A</w:t>
      </w:r>
      <w:proofErr w:type="spellEnd"/>
      <w:r w:rsidRPr="00506F3D">
        <w:rPr>
          <w:rFonts w:ascii="Times New Roman" w:eastAsia="Times New Roman" w:hAnsi="Times New Roman" w:cs="Times New Roman"/>
          <w:bCs/>
          <w:color w:val="303030"/>
          <w:kern w:val="0"/>
          <w:lang w:val="es-ES" w:eastAsia="es-ES"/>
          <w14:ligatures w14:val="none"/>
        </w:rPr>
        <w:t>, B, C, D, J) para resguardar confidencialidad.</w:t>
      </w:r>
    </w:p>
    <w:p w14:paraId="55F5EA73" w14:textId="0E48F719" w:rsidR="00506F3D" w:rsidRPr="00B15DAD" w:rsidRDefault="00506F3D" w:rsidP="00506F3D">
      <w:pPr>
        <w:spacing w:before="240" w:line="276" w:lineRule="auto"/>
        <w:rPr>
          <w:rFonts w:ascii="Times New Roman" w:eastAsia="Times New Roman" w:hAnsi="Times New Roman" w:cs="Times New Roman"/>
          <w:b/>
          <w:color w:val="303030"/>
          <w:kern w:val="0"/>
          <w:highlight w:val="white"/>
          <w:lang w:val="es-ES" w:eastAsia="es-ES"/>
          <w14:ligatures w14:val="none"/>
        </w:rPr>
      </w:pPr>
      <w:r w:rsidRPr="00B15DAD">
        <w:rPr>
          <w:rFonts w:ascii="Times New Roman" w:eastAsia="Times New Roman" w:hAnsi="Times New Roman" w:cs="Times New Roman"/>
          <w:b/>
          <w:color w:val="303030"/>
          <w:kern w:val="0"/>
          <w:highlight w:val="white"/>
          <w:lang w:val="es-ES" w:eastAsia="es-ES"/>
          <w14:ligatures w14:val="none"/>
        </w:rPr>
        <w:t>Resultados</w:t>
      </w:r>
    </w:p>
    <w:p w14:paraId="4D0EF092" w14:textId="77777777" w:rsidR="00506F3D" w:rsidRPr="00506F3D" w:rsidRDefault="00506F3D" w:rsidP="00506F3D">
      <w:pPr>
        <w:spacing w:before="240" w:line="276" w:lineRule="auto"/>
        <w:jc w:val="both"/>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highlight w:val="white"/>
          <w:lang w:val="es-ES" w:eastAsia="es-ES"/>
          <w14:ligatures w14:val="none"/>
        </w:rPr>
        <w:t>Los hallazgos se organizan en cuatro ejes temáticos. Para cada eje, se articulan los datos cuantitativos provenientes de la encuesta a estudiantes (n=210) con los testimonios y análisis temáticos de las entrevistas en profundidad (n=5). Este enfoque integrado permite ofrecer una visión multidimensional de la experiencia estudiantil en el CBC conectando las tendencias generales con las vivencias individuales.</w:t>
      </w:r>
    </w:p>
    <w:p w14:paraId="512FE808" w14:textId="77777777" w:rsidR="00506F3D" w:rsidRPr="00506F3D" w:rsidRDefault="00506F3D" w:rsidP="00506F3D">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lang w:val="es-ES" w:eastAsia="es-ES"/>
          <w14:ligatures w14:val="none"/>
        </w:rPr>
        <w:t xml:space="preserve">El ingreso a la UBA genera una constelación de emociones complejas y ambivalentes. Si bien predominan sentimientos positivos como el entusiasmo y el orgullo, también </w:t>
      </w:r>
      <w:r w:rsidRPr="00506F3D">
        <w:rPr>
          <w:rFonts w:ascii="Times New Roman" w:eastAsia="Times New Roman" w:hAnsi="Times New Roman" w:cs="Times New Roman"/>
          <w:color w:val="303030"/>
          <w:kern w:val="0"/>
          <w:lang w:val="es-ES" w:eastAsia="es-ES"/>
          <w14:ligatures w14:val="none"/>
        </w:rPr>
        <w:lastRenderedPageBreak/>
        <w:t>emergen con fuerza la ansiedad y los nervios como parte constitutiva de la experiencia inicial (Fuente 1, Resumen Ejecutivo). Esta tensión emocional se agudiza frente a las instancias de evaluación, donde las emociones negativas son preponderantes: el 26,7% de los encuestados reporta sentir ansiedad, el 18,6% preocupación y el 17,6% nervios (Fuente 1, Gráfico "Emociones que generan las instancias de evaluación").</w:t>
      </w:r>
    </w:p>
    <w:p w14:paraId="35E55053" w14:textId="77777777" w:rsidR="00506F3D" w:rsidRPr="00506F3D" w:rsidRDefault="00506F3D" w:rsidP="00506F3D">
      <w:pPr>
        <w:spacing w:after="0" w:line="276" w:lineRule="auto"/>
        <w:rPr>
          <w:rFonts w:ascii="Times New Roman" w:eastAsia="Times New Roman" w:hAnsi="Times New Roman" w:cs="Times New Roman"/>
          <w:color w:val="303030"/>
          <w:kern w:val="0"/>
          <w:highlight w:val="white"/>
          <w:lang w:val="es-ES" w:eastAsia="es-ES"/>
          <w14:ligatures w14:val="none"/>
        </w:rPr>
      </w:pPr>
    </w:p>
    <w:p w14:paraId="01BBB24B" w14:textId="59ECFDAD" w:rsidR="00506F3D" w:rsidRPr="00506F3D" w:rsidRDefault="00506F3D" w:rsidP="00506F3D">
      <w:pPr>
        <w:spacing w:before="240" w:after="40" w:line="276" w:lineRule="auto"/>
        <w:rPr>
          <w:rFonts w:ascii="Times New Roman" w:eastAsia="Times New Roman" w:hAnsi="Times New Roman" w:cs="Times New Roman"/>
          <w:i/>
          <w:iCs/>
          <w:kern w:val="0"/>
          <w:highlight w:val="white"/>
          <w:lang w:val="es-ES" w:eastAsia="es-ES"/>
          <w14:ligatures w14:val="none"/>
        </w:rPr>
      </w:pPr>
      <w:r w:rsidRPr="00506F3D">
        <w:rPr>
          <w:rFonts w:ascii="Times New Roman" w:eastAsia="Times New Roman" w:hAnsi="Times New Roman" w:cs="Times New Roman"/>
          <w:i/>
          <w:iCs/>
          <w:kern w:val="0"/>
          <w:lang w:val="es-ES" w:eastAsia="es-ES"/>
          <w14:ligatures w14:val="none"/>
        </w:rPr>
        <w:t xml:space="preserve">Tabla 2: </w:t>
      </w:r>
      <w:r w:rsidRPr="00506F3D">
        <w:rPr>
          <w:rFonts w:ascii="Times New Roman" w:eastAsia="Times New Roman" w:hAnsi="Times New Roman" w:cs="Times New Roman"/>
          <w:i/>
          <w:iCs/>
          <w:kern w:val="0"/>
          <w:highlight w:val="white"/>
          <w:lang w:val="es-ES" w:eastAsia="es-ES"/>
          <w14:ligatures w14:val="none"/>
        </w:rPr>
        <w:t xml:space="preserve">Emociones ante instancias de evaluación </w:t>
      </w:r>
    </w:p>
    <w:tbl>
      <w:tblPr>
        <w:tblW w:w="9030" w:type="dxa"/>
        <w:tblInd w:w="-100" w:type="dxa"/>
        <w:tblBorders>
          <w:insideH w:val="nil"/>
          <w:insideV w:val="nil"/>
        </w:tblBorders>
        <w:tblLayout w:type="fixed"/>
        <w:tblLook w:val="0600" w:firstRow="0" w:lastRow="0" w:firstColumn="0" w:lastColumn="0" w:noHBand="1" w:noVBand="1"/>
      </w:tblPr>
      <w:tblGrid>
        <w:gridCol w:w="6495"/>
        <w:gridCol w:w="2535"/>
      </w:tblGrid>
      <w:tr w:rsidR="00506F3D" w:rsidRPr="00506F3D" w14:paraId="1628595B" w14:textId="77777777" w:rsidTr="00506F3D">
        <w:trPr>
          <w:trHeight w:val="300"/>
        </w:trPr>
        <w:tc>
          <w:tcPr>
            <w:tcW w:w="6491" w:type="dxa"/>
            <w:tcBorders>
              <w:top w:val="single" w:sz="18" w:space="0" w:color="000000"/>
              <w:left w:val="nil"/>
              <w:bottom w:val="single" w:sz="6" w:space="0" w:color="000000"/>
              <w:right w:val="nil"/>
            </w:tcBorders>
            <w:tcMar>
              <w:top w:w="0" w:type="dxa"/>
              <w:left w:w="20" w:type="dxa"/>
              <w:bottom w:w="0" w:type="dxa"/>
              <w:right w:w="20" w:type="dxa"/>
            </w:tcMar>
            <w:hideMark/>
          </w:tcPr>
          <w:p w14:paraId="18B39F5F" w14:textId="77777777" w:rsidR="00506F3D" w:rsidRPr="00506F3D" w:rsidRDefault="00506F3D" w:rsidP="00506F3D">
            <w:pPr>
              <w:spacing w:before="240" w:after="40" w:line="276" w:lineRule="auto"/>
              <w:rPr>
                <w:rFonts w:ascii="Times New Roman" w:eastAsia="Times New Roman" w:hAnsi="Times New Roman" w:cs="Times New Roman"/>
                <w:b/>
                <w:bCs/>
                <w:i/>
                <w:iCs/>
                <w:kern w:val="0"/>
                <w:sz w:val="20"/>
                <w:szCs w:val="20"/>
                <w:highlight w:val="white"/>
                <w:lang w:val="es-ES" w:eastAsia="es-ES"/>
                <w14:ligatures w14:val="none"/>
              </w:rPr>
            </w:pPr>
            <w:r w:rsidRPr="00506F3D">
              <w:rPr>
                <w:rFonts w:ascii="Times New Roman" w:eastAsia="Times New Roman" w:hAnsi="Times New Roman" w:cs="Times New Roman"/>
                <w:b/>
                <w:bCs/>
                <w:i/>
                <w:iCs/>
                <w:kern w:val="0"/>
                <w:sz w:val="20"/>
                <w:szCs w:val="20"/>
                <w:highlight w:val="white"/>
                <w:lang w:val="es-ES" w:eastAsia="es-ES"/>
                <w14:ligatures w14:val="none"/>
              </w:rPr>
              <w:t>Emoción</w:t>
            </w:r>
          </w:p>
        </w:tc>
        <w:tc>
          <w:tcPr>
            <w:tcW w:w="2533" w:type="dxa"/>
            <w:tcBorders>
              <w:top w:val="single" w:sz="18" w:space="0" w:color="000000"/>
              <w:left w:val="nil"/>
              <w:bottom w:val="single" w:sz="6" w:space="0" w:color="000000"/>
              <w:right w:val="nil"/>
            </w:tcBorders>
            <w:tcMar>
              <w:top w:w="0" w:type="dxa"/>
              <w:left w:w="20" w:type="dxa"/>
              <w:bottom w:w="0" w:type="dxa"/>
              <w:right w:w="20" w:type="dxa"/>
            </w:tcMar>
            <w:hideMark/>
          </w:tcPr>
          <w:p w14:paraId="3DF5B4DD" w14:textId="77777777" w:rsidR="00506F3D" w:rsidRPr="00506F3D" w:rsidRDefault="00506F3D" w:rsidP="00506F3D">
            <w:pPr>
              <w:spacing w:before="240" w:after="40" w:line="276" w:lineRule="auto"/>
              <w:jc w:val="right"/>
              <w:rPr>
                <w:rFonts w:ascii="Times New Roman" w:eastAsia="Times New Roman" w:hAnsi="Times New Roman" w:cs="Times New Roman"/>
                <w:b/>
                <w:bCs/>
                <w:i/>
                <w:iCs/>
                <w:kern w:val="0"/>
                <w:sz w:val="20"/>
                <w:szCs w:val="20"/>
                <w:highlight w:val="white"/>
                <w:lang w:val="es-ES" w:eastAsia="es-ES"/>
                <w14:ligatures w14:val="none"/>
              </w:rPr>
            </w:pPr>
            <w:r w:rsidRPr="00506F3D">
              <w:rPr>
                <w:rFonts w:ascii="Times New Roman" w:eastAsia="Times New Roman" w:hAnsi="Times New Roman" w:cs="Times New Roman"/>
                <w:b/>
                <w:bCs/>
                <w:i/>
                <w:iCs/>
                <w:kern w:val="0"/>
                <w:sz w:val="20"/>
                <w:szCs w:val="20"/>
                <w:highlight w:val="white"/>
                <w:lang w:val="es-ES" w:eastAsia="es-ES"/>
                <w14:ligatures w14:val="none"/>
              </w:rPr>
              <w:t>%</w:t>
            </w:r>
          </w:p>
        </w:tc>
      </w:tr>
      <w:tr w:rsidR="00506F3D" w:rsidRPr="00506F3D" w14:paraId="414870B9" w14:textId="77777777" w:rsidTr="00506F3D">
        <w:trPr>
          <w:trHeight w:val="270"/>
        </w:trPr>
        <w:tc>
          <w:tcPr>
            <w:tcW w:w="6491" w:type="dxa"/>
            <w:tcBorders>
              <w:top w:val="single" w:sz="6" w:space="0" w:color="000000"/>
              <w:left w:val="nil"/>
              <w:bottom w:val="nil"/>
              <w:right w:val="nil"/>
            </w:tcBorders>
            <w:tcMar>
              <w:top w:w="0" w:type="dxa"/>
              <w:left w:w="20" w:type="dxa"/>
              <w:bottom w:w="0" w:type="dxa"/>
              <w:right w:w="20" w:type="dxa"/>
            </w:tcMar>
            <w:hideMark/>
          </w:tcPr>
          <w:p w14:paraId="24F8AE15"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Ansiedad</w:t>
            </w:r>
          </w:p>
        </w:tc>
        <w:tc>
          <w:tcPr>
            <w:tcW w:w="2533" w:type="dxa"/>
            <w:tcBorders>
              <w:top w:val="single" w:sz="6" w:space="0" w:color="000000"/>
              <w:left w:val="nil"/>
              <w:bottom w:val="nil"/>
              <w:right w:val="nil"/>
            </w:tcBorders>
            <w:tcMar>
              <w:top w:w="0" w:type="dxa"/>
              <w:left w:w="20" w:type="dxa"/>
              <w:bottom w:w="0" w:type="dxa"/>
              <w:right w:w="20" w:type="dxa"/>
            </w:tcMar>
            <w:hideMark/>
          </w:tcPr>
          <w:p w14:paraId="733B340B"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26,7</w:t>
            </w:r>
          </w:p>
        </w:tc>
      </w:tr>
      <w:tr w:rsidR="00506F3D" w:rsidRPr="00506F3D" w14:paraId="2184AB8C"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1319443F"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Preocupación</w:t>
            </w:r>
          </w:p>
        </w:tc>
        <w:tc>
          <w:tcPr>
            <w:tcW w:w="2533" w:type="dxa"/>
            <w:tcBorders>
              <w:top w:val="nil"/>
              <w:left w:val="nil"/>
              <w:bottom w:val="nil"/>
              <w:right w:val="nil"/>
            </w:tcBorders>
            <w:tcMar>
              <w:top w:w="0" w:type="dxa"/>
              <w:left w:w="20" w:type="dxa"/>
              <w:bottom w:w="0" w:type="dxa"/>
              <w:right w:w="20" w:type="dxa"/>
            </w:tcMar>
            <w:hideMark/>
          </w:tcPr>
          <w:p w14:paraId="4B5BF2F6"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18,6</w:t>
            </w:r>
          </w:p>
        </w:tc>
      </w:tr>
      <w:tr w:rsidR="00506F3D" w:rsidRPr="00506F3D" w14:paraId="3D8805B1"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79B5EE13"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Nervios</w:t>
            </w:r>
          </w:p>
        </w:tc>
        <w:tc>
          <w:tcPr>
            <w:tcW w:w="2533" w:type="dxa"/>
            <w:tcBorders>
              <w:top w:val="nil"/>
              <w:left w:val="nil"/>
              <w:bottom w:val="nil"/>
              <w:right w:val="nil"/>
            </w:tcBorders>
            <w:tcMar>
              <w:top w:w="0" w:type="dxa"/>
              <w:left w:w="20" w:type="dxa"/>
              <w:bottom w:w="0" w:type="dxa"/>
              <w:right w:w="20" w:type="dxa"/>
            </w:tcMar>
            <w:hideMark/>
          </w:tcPr>
          <w:p w14:paraId="537B5566"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17,6</w:t>
            </w:r>
          </w:p>
        </w:tc>
      </w:tr>
      <w:tr w:rsidR="00506F3D" w:rsidRPr="00506F3D" w14:paraId="0DC6BBF1"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264F36C3"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Estrés</w:t>
            </w:r>
          </w:p>
        </w:tc>
        <w:tc>
          <w:tcPr>
            <w:tcW w:w="2533" w:type="dxa"/>
            <w:tcBorders>
              <w:top w:val="nil"/>
              <w:left w:val="nil"/>
              <w:bottom w:val="nil"/>
              <w:right w:val="nil"/>
            </w:tcBorders>
            <w:tcMar>
              <w:top w:w="0" w:type="dxa"/>
              <w:left w:w="20" w:type="dxa"/>
              <w:bottom w:w="0" w:type="dxa"/>
              <w:right w:w="20" w:type="dxa"/>
            </w:tcMar>
            <w:hideMark/>
          </w:tcPr>
          <w:p w14:paraId="47F49A0D"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12,4</w:t>
            </w:r>
          </w:p>
        </w:tc>
      </w:tr>
      <w:tr w:rsidR="00506F3D" w:rsidRPr="00506F3D" w14:paraId="3D307D51"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1C24D083"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Inseguridad</w:t>
            </w:r>
          </w:p>
        </w:tc>
        <w:tc>
          <w:tcPr>
            <w:tcW w:w="2533" w:type="dxa"/>
            <w:tcBorders>
              <w:top w:val="nil"/>
              <w:left w:val="nil"/>
              <w:bottom w:val="nil"/>
              <w:right w:val="nil"/>
            </w:tcBorders>
            <w:tcMar>
              <w:top w:w="0" w:type="dxa"/>
              <w:left w:w="20" w:type="dxa"/>
              <w:bottom w:w="0" w:type="dxa"/>
              <w:right w:w="20" w:type="dxa"/>
            </w:tcMar>
            <w:hideMark/>
          </w:tcPr>
          <w:p w14:paraId="4B6001C3"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10,8</w:t>
            </w:r>
          </w:p>
        </w:tc>
      </w:tr>
      <w:tr w:rsidR="00506F3D" w:rsidRPr="00506F3D" w14:paraId="6C0A5EE6"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08446059"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Motivación</w:t>
            </w:r>
          </w:p>
        </w:tc>
        <w:tc>
          <w:tcPr>
            <w:tcW w:w="2533" w:type="dxa"/>
            <w:tcBorders>
              <w:top w:val="nil"/>
              <w:left w:val="nil"/>
              <w:bottom w:val="nil"/>
              <w:right w:val="nil"/>
            </w:tcBorders>
            <w:tcMar>
              <w:top w:w="0" w:type="dxa"/>
              <w:left w:w="20" w:type="dxa"/>
              <w:bottom w:w="0" w:type="dxa"/>
              <w:right w:w="20" w:type="dxa"/>
            </w:tcMar>
            <w:hideMark/>
          </w:tcPr>
          <w:p w14:paraId="4230FA98"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6,3</w:t>
            </w:r>
          </w:p>
        </w:tc>
      </w:tr>
      <w:tr w:rsidR="00506F3D" w:rsidRPr="00506F3D" w14:paraId="2E74CC39"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64E79AE8"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Confianza</w:t>
            </w:r>
          </w:p>
        </w:tc>
        <w:tc>
          <w:tcPr>
            <w:tcW w:w="2533" w:type="dxa"/>
            <w:tcBorders>
              <w:top w:val="nil"/>
              <w:left w:val="nil"/>
              <w:bottom w:val="nil"/>
              <w:right w:val="nil"/>
            </w:tcBorders>
            <w:tcMar>
              <w:top w:w="0" w:type="dxa"/>
              <w:left w:w="20" w:type="dxa"/>
              <w:bottom w:w="0" w:type="dxa"/>
              <w:right w:w="20" w:type="dxa"/>
            </w:tcMar>
            <w:hideMark/>
          </w:tcPr>
          <w:p w14:paraId="242EB224"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4,8</w:t>
            </w:r>
          </w:p>
        </w:tc>
      </w:tr>
      <w:tr w:rsidR="00506F3D" w:rsidRPr="00506F3D" w14:paraId="22F26288"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51CB6293" w14:textId="77777777" w:rsidR="00506F3D" w:rsidRPr="00506F3D" w:rsidRDefault="00506F3D" w:rsidP="00506F3D">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Indiferencia</w:t>
            </w:r>
          </w:p>
        </w:tc>
        <w:tc>
          <w:tcPr>
            <w:tcW w:w="2533" w:type="dxa"/>
            <w:tcBorders>
              <w:top w:val="nil"/>
              <w:left w:val="nil"/>
              <w:bottom w:val="nil"/>
              <w:right w:val="nil"/>
            </w:tcBorders>
            <w:tcMar>
              <w:top w:w="0" w:type="dxa"/>
              <w:left w:w="20" w:type="dxa"/>
              <w:bottom w:w="0" w:type="dxa"/>
              <w:right w:w="20" w:type="dxa"/>
            </w:tcMar>
            <w:hideMark/>
          </w:tcPr>
          <w:p w14:paraId="02918044"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506F3D">
              <w:rPr>
                <w:rFonts w:ascii="Times New Roman" w:eastAsia="Times New Roman" w:hAnsi="Times New Roman" w:cs="Times New Roman"/>
                <w:i/>
                <w:iCs/>
                <w:kern w:val="0"/>
                <w:sz w:val="20"/>
                <w:szCs w:val="20"/>
                <w:highlight w:val="white"/>
                <w:lang w:val="es-ES" w:eastAsia="es-ES"/>
                <w14:ligatures w14:val="none"/>
              </w:rPr>
              <w:t>2,8</w:t>
            </w:r>
          </w:p>
        </w:tc>
      </w:tr>
      <w:tr w:rsidR="00506F3D" w:rsidRPr="00506F3D" w14:paraId="57FAB455" w14:textId="77777777" w:rsidTr="00506F3D">
        <w:trPr>
          <w:trHeight w:val="345"/>
        </w:trPr>
        <w:tc>
          <w:tcPr>
            <w:tcW w:w="6491" w:type="dxa"/>
            <w:tcBorders>
              <w:top w:val="nil"/>
              <w:left w:val="nil"/>
              <w:bottom w:val="single" w:sz="18" w:space="0" w:color="000000"/>
              <w:right w:val="nil"/>
            </w:tcBorders>
            <w:tcMar>
              <w:top w:w="0" w:type="dxa"/>
              <w:left w:w="20" w:type="dxa"/>
              <w:bottom w:w="0" w:type="dxa"/>
              <w:right w:w="20" w:type="dxa"/>
            </w:tcMar>
          </w:tcPr>
          <w:p w14:paraId="47BACD3B" w14:textId="77777777" w:rsidR="00506F3D" w:rsidRPr="00506F3D" w:rsidRDefault="00506F3D" w:rsidP="00506F3D">
            <w:pPr>
              <w:spacing w:before="240" w:after="40" w:line="276" w:lineRule="auto"/>
              <w:rPr>
                <w:rFonts w:ascii="Times New Roman" w:eastAsia="Times New Roman" w:hAnsi="Times New Roman" w:cs="Times New Roman"/>
                <w:i/>
                <w:iCs/>
                <w:kern w:val="0"/>
                <w:highlight w:val="white"/>
                <w:lang w:val="es-ES" w:eastAsia="es-ES"/>
                <w14:ligatures w14:val="none"/>
              </w:rPr>
            </w:pPr>
          </w:p>
        </w:tc>
        <w:tc>
          <w:tcPr>
            <w:tcW w:w="2533" w:type="dxa"/>
            <w:tcBorders>
              <w:top w:val="nil"/>
              <w:left w:val="nil"/>
              <w:bottom w:val="single" w:sz="18" w:space="0" w:color="000000"/>
              <w:right w:val="nil"/>
            </w:tcBorders>
            <w:tcMar>
              <w:top w:w="0" w:type="dxa"/>
              <w:left w:w="20" w:type="dxa"/>
              <w:bottom w:w="0" w:type="dxa"/>
              <w:right w:w="20" w:type="dxa"/>
            </w:tcMar>
            <w:hideMark/>
          </w:tcPr>
          <w:p w14:paraId="64602866" w14:textId="77777777" w:rsidR="00506F3D" w:rsidRPr="00506F3D" w:rsidRDefault="00506F3D" w:rsidP="00506F3D">
            <w:pPr>
              <w:spacing w:before="240" w:after="40" w:line="276" w:lineRule="auto"/>
              <w:jc w:val="right"/>
              <w:rPr>
                <w:rFonts w:ascii="Times New Roman" w:eastAsia="Times New Roman" w:hAnsi="Times New Roman" w:cs="Times New Roman"/>
                <w:i/>
                <w:iCs/>
                <w:kern w:val="0"/>
                <w:highlight w:val="white"/>
                <w:lang w:val="es-ES" w:eastAsia="es-ES"/>
                <w14:ligatures w14:val="none"/>
              </w:rPr>
            </w:pPr>
            <w:r w:rsidRPr="00506F3D">
              <w:rPr>
                <w:rFonts w:ascii="Times New Roman" w:eastAsia="Times New Roman" w:hAnsi="Times New Roman" w:cs="Times New Roman"/>
                <w:i/>
                <w:iCs/>
                <w:kern w:val="0"/>
                <w:highlight w:val="white"/>
                <w:lang w:val="es-ES" w:eastAsia="es-ES"/>
                <w14:ligatures w14:val="none"/>
              </w:rPr>
              <w:t xml:space="preserve"> </w:t>
            </w:r>
          </w:p>
        </w:tc>
      </w:tr>
    </w:tbl>
    <w:p w14:paraId="0DF3F492" w14:textId="77777777" w:rsidR="00AE122A" w:rsidRDefault="00EB6234" w:rsidP="00AE122A">
      <w:pPr>
        <w:spacing w:after="0" w:line="276" w:lineRule="auto"/>
        <w:rPr>
          <w:rFonts w:ascii="Times New Roman" w:eastAsia="Times New Roman" w:hAnsi="Times New Roman" w:cs="Times New Roman"/>
          <w:iCs/>
          <w:kern w:val="0"/>
          <w:sz w:val="22"/>
          <w:szCs w:val="22"/>
          <w:lang w:val="es-ES" w:eastAsia="es-ES"/>
          <w14:ligatures w14:val="none"/>
        </w:rPr>
      </w:pPr>
      <w:r w:rsidRPr="00EB6234">
        <w:rPr>
          <w:rFonts w:ascii="Times New Roman" w:eastAsia="Times New Roman" w:hAnsi="Times New Roman" w:cs="Times New Roman"/>
          <w:iCs/>
          <w:kern w:val="0"/>
          <w:sz w:val="22"/>
          <w:szCs w:val="22"/>
          <w:highlight w:val="white"/>
          <w:lang w:val="es-ES" w:eastAsia="es-ES"/>
          <w14:ligatures w14:val="none"/>
        </w:rPr>
        <w:t>Fuente:</w:t>
      </w:r>
      <w:r w:rsidR="00506F3D" w:rsidRPr="00506F3D">
        <w:rPr>
          <w:rFonts w:ascii="Times New Roman" w:eastAsia="Times New Roman" w:hAnsi="Times New Roman" w:cs="Times New Roman"/>
          <w:iCs/>
          <w:kern w:val="0"/>
          <w:sz w:val="22"/>
          <w:szCs w:val="22"/>
          <w:highlight w:val="white"/>
          <w:lang w:val="es-ES" w:eastAsia="es-ES"/>
          <w14:ligatures w14:val="none"/>
        </w:rPr>
        <w:t xml:space="preserve"> Encuesta IMPULSA CBC, diciembre 2025 (n = 210).</w:t>
      </w:r>
      <w:r w:rsidR="00506F3D" w:rsidRPr="00EB6234">
        <w:rPr>
          <w:rFonts w:ascii="Times New Roman" w:eastAsia="Times New Roman" w:hAnsi="Times New Roman" w:cs="Times New Roman"/>
          <w:iCs/>
          <w:kern w:val="0"/>
          <w:sz w:val="22"/>
          <w:szCs w:val="22"/>
          <w:highlight w:val="white"/>
          <w:lang w:val="es-ES" w:eastAsia="es-ES"/>
          <w14:ligatures w14:val="none"/>
        </w:rPr>
        <w:t xml:space="preserve"> </w:t>
      </w:r>
      <w:r w:rsidR="00506F3D" w:rsidRPr="00506F3D">
        <w:rPr>
          <w:rFonts w:ascii="Times New Roman" w:eastAsia="Times New Roman" w:hAnsi="Times New Roman" w:cs="Times New Roman"/>
          <w:iCs/>
          <w:kern w:val="0"/>
          <w:sz w:val="22"/>
          <w:szCs w:val="22"/>
          <w:highlight w:val="white"/>
          <w:lang w:val="es-ES" w:eastAsia="es-ES"/>
          <w14:ligatures w14:val="none"/>
        </w:rPr>
        <w:t xml:space="preserve"> </w:t>
      </w:r>
    </w:p>
    <w:p w14:paraId="47E51491" w14:textId="62FA36A4" w:rsidR="00506F3D" w:rsidRPr="00AE122A" w:rsidRDefault="00EB6234" w:rsidP="00AE122A">
      <w:pPr>
        <w:spacing w:after="0" w:line="276" w:lineRule="auto"/>
        <w:jc w:val="both"/>
        <w:rPr>
          <w:rFonts w:ascii="Times New Roman" w:eastAsia="Times New Roman" w:hAnsi="Times New Roman" w:cs="Times New Roman"/>
          <w:iCs/>
          <w:kern w:val="0"/>
          <w:sz w:val="22"/>
          <w:szCs w:val="22"/>
          <w:lang w:val="es-ES" w:eastAsia="es-ES"/>
          <w14:ligatures w14:val="none"/>
        </w:rPr>
      </w:pPr>
      <w:r w:rsidRPr="00EB6234">
        <w:rPr>
          <w:rFonts w:ascii="Times New Roman" w:eastAsia="Times New Roman" w:hAnsi="Times New Roman" w:cs="Times New Roman"/>
          <w:i/>
          <w:iCs/>
          <w:kern w:val="0"/>
          <w:lang w:val="es-ES" w:eastAsia="es-ES"/>
          <w14:ligatures w14:val="none"/>
        </w:rPr>
        <w:t xml:space="preserve">Nota: </w:t>
      </w:r>
      <w:r w:rsidR="00506F3D" w:rsidRPr="00EB6234">
        <w:rPr>
          <w:rFonts w:ascii="Times New Roman" w:eastAsia="Times New Roman" w:hAnsi="Times New Roman" w:cs="Times New Roman"/>
          <w:i/>
          <w:iCs/>
          <w:kern w:val="0"/>
          <w:lang w:val="es-ES" w:eastAsia="es-ES"/>
          <w14:ligatures w14:val="none"/>
        </w:rPr>
        <w:t>(selección múltiple, hasta 3 opciones)</w:t>
      </w:r>
      <w:r w:rsidRPr="00EB6234">
        <w:rPr>
          <w:rFonts w:ascii="Times New Roman" w:eastAsia="Times New Roman" w:hAnsi="Times New Roman" w:cs="Times New Roman"/>
          <w:i/>
          <w:iCs/>
          <w:kern w:val="0"/>
          <w:lang w:val="es-ES" w:eastAsia="es-ES"/>
          <w14:ligatures w14:val="none"/>
        </w:rPr>
        <w:t xml:space="preserve">. </w:t>
      </w:r>
      <w:r w:rsidR="00506F3D" w:rsidRPr="00506F3D">
        <w:rPr>
          <w:rFonts w:ascii="Times New Roman" w:eastAsia="Times New Roman" w:hAnsi="Times New Roman" w:cs="Times New Roman"/>
          <w:i/>
          <w:iCs/>
          <w:kern w:val="0"/>
          <w:highlight w:val="white"/>
          <w:lang w:val="es-ES" w:eastAsia="es-ES"/>
          <w14:ligatures w14:val="none"/>
        </w:rPr>
        <w:t xml:space="preserve">Los porcentajes se calculan sobre el total de menciones, no sobre el número de </w:t>
      </w:r>
      <w:proofErr w:type="spellStart"/>
      <w:r w:rsidR="00506F3D" w:rsidRPr="00506F3D">
        <w:rPr>
          <w:rFonts w:ascii="Times New Roman" w:eastAsia="Times New Roman" w:hAnsi="Times New Roman" w:cs="Times New Roman"/>
          <w:i/>
          <w:iCs/>
          <w:kern w:val="0"/>
          <w:highlight w:val="white"/>
          <w:lang w:val="es-ES" w:eastAsia="es-ES"/>
          <w14:ligatures w14:val="none"/>
        </w:rPr>
        <w:t>respondentes</w:t>
      </w:r>
      <w:proofErr w:type="spellEnd"/>
      <w:r w:rsidR="00506F3D" w:rsidRPr="00506F3D">
        <w:rPr>
          <w:rFonts w:ascii="Times New Roman" w:eastAsia="Times New Roman" w:hAnsi="Times New Roman" w:cs="Times New Roman"/>
          <w:iCs/>
          <w:kern w:val="0"/>
          <w:highlight w:val="white"/>
          <w:lang w:val="es-ES" w:eastAsia="es-ES"/>
          <w14:ligatures w14:val="none"/>
        </w:rPr>
        <w:t>.</w:t>
      </w:r>
    </w:p>
    <w:p w14:paraId="1C3EAE8D" w14:textId="77777777" w:rsidR="00AE122A" w:rsidRDefault="00AE122A" w:rsidP="00AE122A">
      <w:pPr>
        <w:spacing w:after="0" w:line="276" w:lineRule="auto"/>
        <w:jc w:val="both"/>
        <w:rPr>
          <w:rFonts w:ascii="Times New Roman" w:eastAsia="Times New Roman" w:hAnsi="Times New Roman" w:cs="Times New Roman"/>
          <w:kern w:val="0"/>
          <w:highlight w:val="white"/>
          <w:lang w:val="es-ES" w:eastAsia="es-ES"/>
          <w14:ligatures w14:val="none"/>
        </w:rPr>
      </w:pPr>
    </w:p>
    <w:p w14:paraId="3A52E9E6" w14:textId="77777777" w:rsidR="00506F3D" w:rsidRPr="00506F3D" w:rsidRDefault="00506F3D" w:rsidP="00AE122A">
      <w:pPr>
        <w:spacing w:after="0" w:line="276" w:lineRule="auto"/>
        <w:jc w:val="both"/>
        <w:rPr>
          <w:rFonts w:ascii="Times New Roman" w:eastAsia="Times New Roman" w:hAnsi="Times New Roman" w:cs="Times New Roman"/>
          <w:kern w:val="0"/>
          <w:highlight w:val="white"/>
          <w:lang w:val="es-ES" w:eastAsia="es-ES"/>
          <w14:ligatures w14:val="none"/>
        </w:rPr>
      </w:pPr>
      <w:r w:rsidRPr="00506F3D">
        <w:rPr>
          <w:rFonts w:ascii="Times New Roman" w:eastAsia="Times New Roman" w:hAnsi="Times New Roman" w:cs="Times New Roman"/>
          <w:kern w:val="0"/>
          <w:highlight w:val="white"/>
          <w:lang w:val="es-ES" w:eastAsia="es-ES"/>
          <w14:ligatures w14:val="none"/>
        </w:rPr>
        <w:t>Los relatos cualitativos refuerzan esta visión, describiendo al CBC con términos que denotan un alto grado de exigencia y carga emocional. Palabras como "perseverancia y paciencia" (Fuente 2, Entrevistado D), "trabajo, esfuerzo y disciplina" (Fuente 2, Entrevistado B) y "estrés" (Fuente 2, Entrevistada J) son utilizadas para caracterizar esta etapa.</w:t>
      </w:r>
    </w:p>
    <w:p w14:paraId="19E3F3A0" w14:textId="77777777" w:rsidR="00506F3D" w:rsidRPr="00506F3D" w:rsidRDefault="00506F3D" w:rsidP="00506F3D">
      <w:pPr>
        <w:spacing w:after="200" w:line="276" w:lineRule="auto"/>
        <w:rPr>
          <w:rFonts w:ascii="Times New Roman" w:eastAsia="Times New Roman" w:hAnsi="Times New Roman" w:cs="Times New Roman"/>
          <w:bCs/>
          <w:i/>
          <w:color w:val="303030"/>
          <w:kern w:val="0"/>
          <w:highlight w:val="white"/>
          <w:lang w:val="es-ES" w:eastAsia="es-ES"/>
          <w14:ligatures w14:val="none"/>
        </w:rPr>
      </w:pPr>
    </w:p>
    <w:p w14:paraId="391529F2" w14:textId="77777777" w:rsidR="00AE122A" w:rsidRDefault="00AE122A" w:rsidP="00506F3D">
      <w:pPr>
        <w:spacing w:after="200" w:line="276" w:lineRule="auto"/>
        <w:rPr>
          <w:rFonts w:ascii="Times New Roman" w:eastAsia="Times New Roman" w:hAnsi="Times New Roman" w:cs="Times New Roman"/>
          <w:bCs/>
          <w:i/>
          <w:color w:val="303030"/>
          <w:kern w:val="0"/>
          <w:highlight w:val="white"/>
          <w:lang w:val="es-ES" w:eastAsia="es-ES"/>
          <w14:ligatures w14:val="none"/>
        </w:rPr>
      </w:pPr>
    </w:p>
    <w:p w14:paraId="7BF704B3" w14:textId="77777777" w:rsidR="00AE122A" w:rsidRDefault="00AE122A" w:rsidP="00506F3D">
      <w:pPr>
        <w:spacing w:after="200" w:line="276" w:lineRule="auto"/>
        <w:rPr>
          <w:rFonts w:ascii="Times New Roman" w:eastAsia="Times New Roman" w:hAnsi="Times New Roman" w:cs="Times New Roman"/>
          <w:bCs/>
          <w:i/>
          <w:color w:val="303030"/>
          <w:kern w:val="0"/>
          <w:highlight w:val="white"/>
          <w:lang w:val="es-ES" w:eastAsia="es-ES"/>
          <w14:ligatures w14:val="none"/>
        </w:rPr>
      </w:pPr>
    </w:p>
    <w:p w14:paraId="5905F726" w14:textId="77777777" w:rsidR="00506F3D" w:rsidRPr="00506F3D" w:rsidRDefault="00506F3D" w:rsidP="00506F3D">
      <w:pPr>
        <w:spacing w:after="200" w:line="276" w:lineRule="auto"/>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bCs/>
          <w:i/>
          <w:color w:val="303030"/>
          <w:kern w:val="0"/>
          <w:highlight w:val="white"/>
          <w:lang w:val="es-ES" w:eastAsia="es-ES"/>
          <w14:ligatures w14:val="none"/>
        </w:rPr>
        <w:lastRenderedPageBreak/>
        <w:t>Tabla 3:</w:t>
      </w:r>
      <w:r w:rsidRPr="00506F3D">
        <w:rPr>
          <w:rFonts w:ascii="Times New Roman" w:eastAsia="Times New Roman" w:hAnsi="Times New Roman" w:cs="Times New Roman"/>
          <w:b/>
          <w:bCs/>
          <w:color w:val="303030"/>
          <w:kern w:val="0"/>
          <w:highlight w:val="white"/>
          <w:lang w:val="es-ES" w:eastAsia="es-ES"/>
          <w14:ligatures w14:val="none"/>
        </w:rPr>
        <w:t xml:space="preserve"> </w:t>
      </w:r>
      <w:r w:rsidRPr="00506F3D">
        <w:rPr>
          <w:rFonts w:ascii="Times New Roman" w:eastAsia="Times New Roman" w:hAnsi="Times New Roman" w:cs="Times New Roman"/>
          <w:i/>
          <w:iCs/>
          <w:color w:val="303030"/>
          <w:kern w:val="0"/>
          <w:highlight w:val="white"/>
          <w:lang w:val="es-ES" w:eastAsia="es-ES"/>
          <w14:ligatures w14:val="none"/>
        </w:rPr>
        <w:t>Aspectos del inicio de la vida universitaria reportados como más desafiantes</w:t>
      </w:r>
    </w:p>
    <w:tbl>
      <w:tblPr>
        <w:tblW w:w="8985" w:type="dxa"/>
        <w:tblInd w:w="-100" w:type="dxa"/>
        <w:tblBorders>
          <w:insideH w:val="nil"/>
          <w:insideV w:val="nil"/>
        </w:tblBorders>
        <w:tblLayout w:type="fixed"/>
        <w:tblLook w:val="0600" w:firstRow="0" w:lastRow="0" w:firstColumn="0" w:lastColumn="0" w:noHBand="1" w:noVBand="1"/>
      </w:tblPr>
      <w:tblGrid>
        <w:gridCol w:w="6495"/>
        <w:gridCol w:w="2490"/>
      </w:tblGrid>
      <w:tr w:rsidR="00506F3D" w:rsidRPr="00506F3D" w14:paraId="7D73F980" w14:textId="77777777" w:rsidTr="00506F3D">
        <w:trPr>
          <w:trHeight w:val="300"/>
        </w:trPr>
        <w:tc>
          <w:tcPr>
            <w:tcW w:w="6495" w:type="dxa"/>
            <w:tcBorders>
              <w:top w:val="single" w:sz="18" w:space="0" w:color="000000"/>
              <w:left w:val="nil"/>
              <w:bottom w:val="single" w:sz="6" w:space="0" w:color="000000"/>
              <w:right w:val="nil"/>
            </w:tcBorders>
            <w:tcMar>
              <w:top w:w="0" w:type="dxa"/>
              <w:left w:w="20" w:type="dxa"/>
              <w:bottom w:w="0" w:type="dxa"/>
              <w:right w:w="20" w:type="dxa"/>
            </w:tcMar>
            <w:hideMark/>
          </w:tcPr>
          <w:p w14:paraId="54E74538" w14:textId="77777777" w:rsidR="00506F3D" w:rsidRPr="00506F3D" w:rsidRDefault="00506F3D" w:rsidP="00506F3D">
            <w:pPr>
              <w:spacing w:before="240" w:after="40" w:line="276" w:lineRule="auto"/>
              <w:rPr>
                <w:rFonts w:ascii="Times New Roman" w:eastAsia="Times New Roman" w:hAnsi="Times New Roman" w:cs="Times New Roman"/>
                <w:b/>
                <w:bCs/>
                <w:color w:val="303030"/>
                <w:kern w:val="0"/>
                <w:sz w:val="20"/>
                <w:szCs w:val="20"/>
                <w:highlight w:val="white"/>
                <w:lang w:val="es-ES" w:eastAsia="es-ES"/>
                <w14:ligatures w14:val="none"/>
              </w:rPr>
            </w:pPr>
            <w:r w:rsidRPr="00506F3D">
              <w:rPr>
                <w:rFonts w:ascii="Times New Roman" w:eastAsia="Times New Roman" w:hAnsi="Times New Roman" w:cs="Times New Roman"/>
                <w:b/>
                <w:bCs/>
                <w:color w:val="303030"/>
                <w:kern w:val="0"/>
                <w:sz w:val="20"/>
                <w:szCs w:val="20"/>
                <w:highlight w:val="white"/>
                <w:lang w:val="es-ES" w:eastAsia="es-ES"/>
                <w14:ligatures w14:val="none"/>
              </w:rPr>
              <w:t>Desafío</w:t>
            </w:r>
          </w:p>
        </w:tc>
        <w:tc>
          <w:tcPr>
            <w:tcW w:w="2490" w:type="dxa"/>
            <w:tcBorders>
              <w:top w:val="single" w:sz="18" w:space="0" w:color="000000"/>
              <w:left w:val="nil"/>
              <w:bottom w:val="single" w:sz="6" w:space="0" w:color="000000"/>
              <w:right w:val="nil"/>
            </w:tcBorders>
            <w:tcMar>
              <w:top w:w="0" w:type="dxa"/>
              <w:left w:w="20" w:type="dxa"/>
              <w:bottom w:w="0" w:type="dxa"/>
              <w:right w:w="20" w:type="dxa"/>
            </w:tcMar>
            <w:hideMark/>
          </w:tcPr>
          <w:p w14:paraId="47575C12" w14:textId="77777777" w:rsidR="00506F3D" w:rsidRPr="00506F3D" w:rsidRDefault="00506F3D" w:rsidP="00506F3D">
            <w:pPr>
              <w:spacing w:before="240" w:after="40" w:line="276" w:lineRule="auto"/>
              <w:jc w:val="right"/>
              <w:rPr>
                <w:rFonts w:ascii="Times New Roman" w:eastAsia="Times New Roman" w:hAnsi="Times New Roman" w:cs="Times New Roman"/>
                <w:b/>
                <w:bCs/>
                <w:color w:val="303030"/>
                <w:kern w:val="0"/>
                <w:sz w:val="20"/>
                <w:szCs w:val="20"/>
                <w:highlight w:val="white"/>
                <w:lang w:val="es-ES" w:eastAsia="es-ES"/>
                <w14:ligatures w14:val="none"/>
              </w:rPr>
            </w:pPr>
            <w:r w:rsidRPr="00506F3D">
              <w:rPr>
                <w:rFonts w:ascii="Times New Roman" w:eastAsia="Times New Roman" w:hAnsi="Times New Roman" w:cs="Times New Roman"/>
                <w:b/>
                <w:bCs/>
                <w:color w:val="303030"/>
                <w:kern w:val="0"/>
                <w:sz w:val="20"/>
                <w:szCs w:val="20"/>
                <w:highlight w:val="white"/>
                <w:lang w:val="es-ES" w:eastAsia="es-ES"/>
                <w14:ligatures w14:val="none"/>
              </w:rPr>
              <w:t>%</w:t>
            </w:r>
          </w:p>
        </w:tc>
      </w:tr>
      <w:tr w:rsidR="00506F3D" w:rsidRPr="00506F3D" w14:paraId="58EB7068" w14:textId="77777777" w:rsidTr="00506F3D">
        <w:trPr>
          <w:trHeight w:val="270"/>
        </w:trPr>
        <w:tc>
          <w:tcPr>
            <w:tcW w:w="6495" w:type="dxa"/>
            <w:tcBorders>
              <w:top w:val="single" w:sz="6" w:space="0" w:color="000000"/>
              <w:left w:val="nil"/>
              <w:bottom w:val="nil"/>
              <w:right w:val="nil"/>
            </w:tcBorders>
            <w:tcMar>
              <w:top w:w="0" w:type="dxa"/>
              <w:left w:w="20" w:type="dxa"/>
              <w:bottom w:w="0" w:type="dxa"/>
              <w:right w:w="20" w:type="dxa"/>
            </w:tcMar>
            <w:hideMark/>
          </w:tcPr>
          <w:p w14:paraId="653790F8"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Organizar y planificar el estudio</w:t>
            </w:r>
          </w:p>
        </w:tc>
        <w:tc>
          <w:tcPr>
            <w:tcW w:w="2490" w:type="dxa"/>
            <w:tcBorders>
              <w:top w:val="single" w:sz="6" w:space="0" w:color="000000"/>
              <w:left w:val="nil"/>
              <w:bottom w:val="nil"/>
              <w:right w:val="nil"/>
            </w:tcBorders>
            <w:tcMar>
              <w:top w:w="0" w:type="dxa"/>
              <w:left w:w="20" w:type="dxa"/>
              <w:bottom w:w="0" w:type="dxa"/>
              <w:right w:w="20" w:type="dxa"/>
            </w:tcMar>
            <w:hideMark/>
          </w:tcPr>
          <w:p w14:paraId="1FC16279"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19,7</w:t>
            </w:r>
          </w:p>
        </w:tc>
      </w:tr>
      <w:tr w:rsidR="00506F3D" w:rsidRPr="00506F3D" w14:paraId="39323368"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5B442550"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Mantener la motivación para estudiar</w:t>
            </w:r>
          </w:p>
        </w:tc>
        <w:tc>
          <w:tcPr>
            <w:tcW w:w="2490" w:type="dxa"/>
            <w:tcBorders>
              <w:top w:val="nil"/>
              <w:left w:val="nil"/>
              <w:bottom w:val="nil"/>
              <w:right w:val="nil"/>
            </w:tcBorders>
            <w:tcMar>
              <w:top w:w="0" w:type="dxa"/>
              <w:left w:w="20" w:type="dxa"/>
              <w:bottom w:w="0" w:type="dxa"/>
              <w:right w:w="20" w:type="dxa"/>
            </w:tcMar>
            <w:hideMark/>
          </w:tcPr>
          <w:p w14:paraId="60585E9A"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14,4</w:t>
            </w:r>
          </w:p>
        </w:tc>
      </w:tr>
      <w:tr w:rsidR="00506F3D" w:rsidRPr="00506F3D" w14:paraId="3E13DC18"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55EAE11D"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Comprender lenguaje matemático / razonamiento lógico</w:t>
            </w:r>
          </w:p>
        </w:tc>
        <w:tc>
          <w:tcPr>
            <w:tcW w:w="2490" w:type="dxa"/>
            <w:tcBorders>
              <w:top w:val="nil"/>
              <w:left w:val="nil"/>
              <w:bottom w:val="nil"/>
              <w:right w:val="nil"/>
            </w:tcBorders>
            <w:tcMar>
              <w:top w:w="0" w:type="dxa"/>
              <w:left w:w="20" w:type="dxa"/>
              <w:bottom w:w="0" w:type="dxa"/>
              <w:right w:w="20" w:type="dxa"/>
            </w:tcMar>
            <w:hideMark/>
          </w:tcPr>
          <w:p w14:paraId="2ECB088D"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14,2</w:t>
            </w:r>
          </w:p>
        </w:tc>
      </w:tr>
      <w:tr w:rsidR="00506F3D" w:rsidRPr="00506F3D" w14:paraId="496C080E"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1AEF5A84"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Comprender los textos y materiales de estudio</w:t>
            </w:r>
          </w:p>
        </w:tc>
        <w:tc>
          <w:tcPr>
            <w:tcW w:w="2490" w:type="dxa"/>
            <w:tcBorders>
              <w:top w:val="nil"/>
              <w:left w:val="nil"/>
              <w:bottom w:val="nil"/>
              <w:right w:val="nil"/>
            </w:tcBorders>
            <w:tcMar>
              <w:top w:w="0" w:type="dxa"/>
              <w:left w:w="20" w:type="dxa"/>
              <w:bottom w:w="0" w:type="dxa"/>
              <w:right w:w="20" w:type="dxa"/>
            </w:tcMar>
            <w:hideMark/>
          </w:tcPr>
          <w:p w14:paraId="6B702C9A"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12,9</w:t>
            </w:r>
          </w:p>
        </w:tc>
      </w:tr>
      <w:tr w:rsidR="00506F3D" w:rsidRPr="00506F3D" w14:paraId="534DD055" w14:textId="77777777" w:rsidTr="00506F3D">
        <w:trPr>
          <w:trHeight w:val="524"/>
        </w:trPr>
        <w:tc>
          <w:tcPr>
            <w:tcW w:w="6495" w:type="dxa"/>
            <w:tcBorders>
              <w:top w:val="nil"/>
              <w:left w:val="nil"/>
              <w:bottom w:val="nil"/>
              <w:right w:val="nil"/>
            </w:tcBorders>
            <w:tcMar>
              <w:top w:w="0" w:type="dxa"/>
              <w:left w:w="20" w:type="dxa"/>
              <w:bottom w:w="0" w:type="dxa"/>
              <w:right w:w="20" w:type="dxa"/>
            </w:tcMar>
            <w:hideMark/>
          </w:tcPr>
          <w:p w14:paraId="507DE185"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Afrontar los exámenes</w:t>
            </w:r>
          </w:p>
        </w:tc>
        <w:tc>
          <w:tcPr>
            <w:tcW w:w="2490" w:type="dxa"/>
            <w:tcBorders>
              <w:top w:val="nil"/>
              <w:left w:val="nil"/>
              <w:bottom w:val="nil"/>
              <w:right w:val="nil"/>
            </w:tcBorders>
            <w:tcMar>
              <w:top w:w="0" w:type="dxa"/>
              <w:left w:w="20" w:type="dxa"/>
              <w:bottom w:w="0" w:type="dxa"/>
              <w:right w:w="20" w:type="dxa"/>
            </w:tcMar>
            <w:hideMark/>
          </w:tcPr>
          <w:p w14:paraId="08417C64"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11,6</w:t>
            </w:r>
          </w:p>
        </w:tc>
      </w:tr>
      <w:tr w:rsidR="00506F3D" w:rsidRPr="00506F3D" w14:paraId="2BE2AE42" w14:textId="77777777" w:rsidTr="00506F3D">
        <w:trPr>
          <w:trHeight w:val="524"/>
        </w:trPr>
        <w:tc>
          <w:tcPr>
            <w:tcW w:w="6495" w:type="dxa"/>
            <w:tcBorders>
              <w:top w:val="nil"/>
              <w:left w:val="nil"/>
              <w:bottom w:val="nil"/>
              <w:right w:val="nil"/>
            </w:tcBorders>
            <w:tcMar>
              <w:top w:w="0" w:type="dxa"/>
              <w:left w:w="20" w:type="dxa"/>
              <w:bottom w:w="0" w:type="dxa"/>
              <w:right w:w="20" w:type="dxa"/>
            </w:tcMar>
            <w:hideMark/>
          </w:tcPr>
          <w:p w14:paraId="6B3E3C12"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Mantener la motivación para asistir a clases</w:t>
            </w:r>
          </w:p>
        </w:tc>
        <w:tc>
          <w:tcPr>
            <w:tcW w:w="2490" w:type="dxa"/>
            <w:tcBorders>
              <w:top w:val="nil"/>
              <w:left w:val="nil"/>
              <w:bottom w:val="nil"/>
              <w:right w:val="nil"/>
            </w:tcBorders>
            <w:tcMar>
              <w:top w:w="0" w:type="dxa"/>
              <w:left w:w="20" w:type="dxa"/>
              <w:bottom w:w="0" w:type="dxa"/>
              <w:right w:w="20" w:type="dxa"/>
            </w:tcMar>
            <w:hideMark/>
          </w:tcPr>
          <w:p w14:paraId="4D936DA8" w14:textId="77777777" w:rsidR="00506F3D" w:rsidRPr="00506F3D" w:rsidRDefault="00506F3D" w:rsidP="00506F3D">
            <w:pPr>
              <w:spacing w:after="0" w:line="240"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7,3</w:t>
            </w:r>
          </w:p>
        </w:tc>
      </w:tr>
      <w:tr w:rsidR="00506F3D" w:rsidRPr="00506F3D" w14:paraId="7089B9E2"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3243E6DB"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Redactar con lenguaje académico</w:t>
            </w:r>
          </w:p>
        </w:tc>
        <w:tc>
          <w:tcPr>
            <w:tcW w:w="2490" w:type="dxa"/>
            <w:tcBorders>
              <w:top w:val="nil"/>
              <w:left w:val="nil"/>
              <w:bottom w:val="nil"/>
              <w:right w:val="nil"/>
            </w:tcBorders>
            <w:tcMar>
              <w:top w:w="0" w:type="dxa"/>
              <w:left w:w="20" w:type="dxa"/>
              <w:bottom w:w="0" w:type="dxa"/>
              <w:right w:w="20" w:type="dxa"/>
            </w:tcMar>
            <w:hideMark/>
          </w:tcPr>
          <w:p w14:paraId="71FC20F8"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9,8</w:t>
            </w:r>
          </w:p>
        </w:tc>
      </w:tr>
      <w:tr w:rsidR="00506F3D" w:rsidRPr="00506F3D" w14:paraId="2947D2A0"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6EAD139A"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Relacionar temas y autores</w:t>
            </w:r>
          </w:p>
        </w:tc>
        <w:tc>
          <w:tcPr>
            <w:tcW w:w="2490" w:type="dxa"/>
            <w:tcBorders>
              <w:top w:val="nil"/>
              <w:left w:val="nil"/>
              <w:bottom w:val="nil"/>
              <w:right w:val="nil"/>
            </w:tcBorders>
            <w:tcMar>
              <w:top w:w="0" w:type="dxa"/>
              <w:left w:w="20" w:type="dxa"/>
              <w:bottom w:w="0" w:type="dxa"/>
              <w:right w:w="20" w:type="dxa"/>
            </w:tcMar>
            <w:hideMark/>
          </w:tcPr>
          <w:p w14:paraId="00D5E892"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8,4</w:t>
            </w:r>
          </w:p>
        </w:tc>
      </w:tr>
      <w:tr w:rsidR="00506F3D" w:rsidRPr="00506F3D" w14:paraId="08078B9A"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436816B3"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Ninguno</w:t>
            </w:r>
          </w:p>
        </w:tc>
        <w:tc>
          <w:tcPr>
            <w:tcW w:w="2490" w:type="dxa"/>
            <w:tcBorders>
              <w:top w:val="nil"/>
              <w:left w:val="nil"/>
              <w:bottom w:val="nil"/>
              <w:right w:val="nil"/>
            </w:tcBorders>
            <w:tcMar>
              <w:top w:w="0" w:type="dxa"/>
              <w:left w:w="20" w:type="dxa"/>
              <w:bottom w:w="0" w:type="dxa"/>
              <w:right w:w="20" w:type="dxa"/>
            </w:tcMar>
            <w:hideMark/>
          </w:tcPr>
          <w:p w14:paraId="0B3B9674"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1,5</w:t>
            </w:r>
          </w:p>
        </w:tc>
      </w:tr>
      <w:tr w:rsidR="00506F3D" w:rsidRPr="00506F3D" w14:paraId="1BFB07FE" w14:textId="77777777" w:rsidTr="00506F3D">
        <w:trPr>
          <w:trHeight w:val="270"/>
        </w:trPr>
        <w:tc>
          <w:tcPr>
            <w:tcW w:w="6495" w:type="dxa"/>
            <w:tcBorders>
              <w:top w:val="nil"/>
              <w:left w:val="nil"/>
              <w:bottom w:val="nil"/>
              <w:right w:val="nil"/>
            </w:tcBorders>
            <w:tcMar>
              <w:top w:w="0" w:type="dxa"/>
              <w:left w:w="20" w:type="dxa"/>
              <w:bottom w:w="0" w:type="dxa"/>
              <w:right w:w="20" w:type="dxa"/>
            </w:tcMar>
            <w:hideMark/>
          </w:tcPr>
          <w:p w14:paraId="248353E9"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Otro (cursar materias o vinculadas con la carrera)</w:t>
            </w:r>
          </w:p>
        </w:tc>
        <w:tc>
          <w:tcPr>
            <w:tcW w:w="2490" w:type="dxa"/>
            <w:tcBorders>
              <w:top w:val="nil"/>
              <w:left w:val="nil"/>
              <w:bottom w:val="nil"/>
              <w:right w:val="nil"/>
            </w:tcBorders>
            <w:tcMar>
              <w:top w:w="0" w:type="dxa"/>
              <w:left w:w="20" w:type="dxa"/>
              <w:bottom w:w="0" w:type="dxa"/>
              <w:right w:w="20" w:type="dxa"/>
            </w:tcMar>
            <w:hideMark/>
          </w:tcPr>
          <w:p w14:paraId="5D36D7A0"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0,5</w:t>
            </w:r>
          </w:p>
        </w:tc>
      </w:tr>
      <w:tr w:rsidR="00506F3D" w:rsidRPr="00506F3D" w14:paraId="43EA8226" w14:textId="77777777" w:rsidTr="00506F3D">
        <w:trPr>
          <w:trHeight w:val="345"/>
        </w:trPr>
        <w:tc>
          <w:tcPr>
            <w:tcW w:w="6495" w:type="dxa"/>
            <w:tcBorders>
              <w:top w:val="nil"/>
              <w:left w:val="nil"/>
              <w:bottom w:val="single" w:sz="18" w:space="0" w:color="000000"/>
              <w:right w:val="nil"/>
            </w:tcBorders>
            <w:tcMar>
              <w:top w:w="0" w:type="dxa"/>
              <w:left w:w="20" w:type="dxa"/>
              <w:bottom w:w="0" w:type="dxa"/>
              <w:right w:w="20" w:type="dxa"/>
            </w:tcMar>
            <w:hideMark/>
          </w:tcPr>
          <w:p w14:paraId="086E6036" w14:textId="77777777" w:rsidR="00506F3D" w:rsidRPr="00506F3D" w:rsidRDefault="00506F3D" w:rsidP="00506F3D">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highlight w:val="white"/>
                <w:lang w:val="es-ES" w:eastAsia="es-ES"/>
                <w14:ligatures w14:val="none"/>
              </w:rPr>
              <w:t xml:space="preserve"> </w:t>
            </w:r>
          </w:p>
        </w:tc>
        <w:tc>
          <w:tcPr>
            <w:tcW w:w="2490" w:type="dxa"/>
            <w:tcBorders>
              <w:top w:val="nil"/>
              <w:left w:val="nil"/>
              <w:bottom w:val="single" w:sz="18" w:space="0" w:color="000000"/>
              <w:right w:val="nil"/>
            </w:tcBorders>
            <w:tcMar>
              <w:top w:w="0" w:type="dxa"/>
              <w:left w:w="20" w:type="dxa"/>
              <w:bottom w:w="0" w:type="dxa"/>
              <w:right w:w="20" w:type="dxa"/>
            </w:tcMar>
            <w:hideMark/>
          </w:tcPr>
          <w:p w14:paraId="0D6DAF4B"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highlight w:val="white"/>
                <w:lang w:val="es-ES" w:eastAsia="es-ES"/>
                <w14:ligatures w14:val="none"/>
              </w:rPr>
              <w:t xml:space="preserve"> </w:t>
            </w:r>
          </w:p>
        </w:tc>
      </w:tr>
    </w:tbl>
    <w:p w14:paraId="168FC499" w14:textId="77777777" w:rsidR="00506F3D" w:rsidRPr="00944860" w:rsidRDefault="00506F3D" w:rsidP="00506F3D">
      <w:pPr>
        <w:spacing w:after="0" w:line="276" w:lineRule="auto"/>
        <w:rPr>
          <w:rFonts w:ascii="Times New Roman" w:eastAsia="Times New Roman" w:hAnsi="Times New Roman" w:cs="Times New Roman"/>
          <w:iCs/>
          <w:kern w:val="0"/>
          <w:sz w:val="22"/>
          <w:szCs w:val="22"/>
          <w:highlight w:val="white"/>
          <w:lang w:val="es-ES" w:eastAsia="es-ES"/>
          <w14:ligatures w14:val="none"/>
        </w:rPr>
      </w:pPr>
      <w:r w:rsidRPr="00944860">
        <w:rPr>
          <w:rFonts w:ascii="Times New Roman" w:eastAsia="Times New Roman" w:hAnsi="Times New Roman" w:cs="Times New Roman"/>
          <w:iCs/>
          <w:kern w:val="0"/>
          <w:sz w:val="22"/>
          <w:szCs w:val="22"/>
          <w:highlight w:val="white"/>
          <w:lang w:val="es-ES" w:eastAsia="es-ES"/>
          <w14:ligatures w14:val="none"/>
        </w:rPr>
        <w:t xml:space="preserve">Fuente: </w:t>
      </w:r>
      <w:r w:rsidRPr="00944860">
        <w:rPr>
          <w:rFonts w:ascii="Times New Roman" w:eastAsia="Times New Roman" w:hAnsi="Times New Roman" w:cs="Times New Roman"/>
          <w:iCs/>
          <w:kern w:val="0"/>
          <w:sz w:val="22"/>
          <w:szCs w:val="22"/>
          <w:lang w:val="es-ES" w:eastAsia="es-ES"/>
          <w14:ligatures w14:val="none"/>
        </w:rPr>
        <w:t>Encuesta IMPULSA CBC, diciembre 2025 (n = 210).</w:t>
      </w:r>
    </w:p>
    <w:p w14:paraId="2475DE6D" w14:textId="425A8700" w:rsidR="00506F3D" w:rsidRPr="00944860" w:rsidRDefault="00506F3D" w:rsidP="00AE122A">
      <w:pPr>
        <w:spacing w:after="0" w:line="276" w:lineRule="auto"/>
        <w:jc w:val="both"/>
        <w:rPr>
          <w:rFonts w:ascii="Times New Roman" w:eastAsia="Times New Roman" w:hAnsi="Times New Roman" w:cs="Times New Roman"/>
          <w:kern w:val="0"/>
          <w:sz w:val="22"/>
          <w:szCs w:val="22"/>
          <w:highlight w:val="white"/>
          <w:lang w:val="es-ES" w:eastAsia="es-ES"/>
          <w14:ligatures w14:val="none"/>
        </w:rPr>
      </w:pPr>
      <w:r w:rsidRPr="00944860">
        <w:rPr>
          <w:rFonts w:ascii="Times New Roman" w:eastAsia="Times New Roman" w:hAnsi="Times New Roman" w:cs="Times New Roman"/>
          <w:i/>
          <w:iCs/>
          <w:kern w:val="0"/>
          <w:sz w:val="22"/>
          <w:szCs w:val="22"/>
          <w:highlight w:val="white"/>
          <w:lang w:val="es-ES" w:eastAsia="es-ES"/>
          <w14:ligatures w14:val="none"/>
        </w:rPr>
        <w:t>Nota. Los porcentajes corresponden a la distribución de respuestas</w:t>
      </w:r>
      <w:r w:rsidRPr="00944860">
        <w:rPr>
          <w:rFonts w:ascii="Times New Roman" w:eastAsia="Times New Roman" w:hAnsi="Times New Roman" w:cs="Times New Roman"/>
          <w:i/>
          <w:iCs/>
          <w:kern w:val="0"/>
          <w:sz w:val="22"/>
          <w:szCs w:val="22"/>
          <w:lang w:val="es-ES" w:eastAsia="es-ES"/>
          <w14:ligatures w14:val="none"/>
        </w:rPr>
        <w:t xml:space="preserve"> de selección múltiple, (hasta 3 opciones)</w:t>
      </w:r>
      <w:r w:rsidR="00EB6234" w:rsidRPr="00944860">
        <w:rPr>
          <w:rFonts w:ascii="Times New Roman" w:eastAsia="Times New Roman" w:hAnsi="Times New Roman" w:cs="Times New Roman"/>
          <w:i/>
          <w:iCs/>
          <w:kern w:val="0"/>
          <w:sz w:val="22"/>
          <w:szCs w:val="22"/>
          <w:highlight w:val="white"/>
          <w:lang w:val="es-ES" w:eastAsia="es-ES"/>
          <w14:ligatures w14:val="none"/>
        </w:rPr>
        <w:t xml:space="preserve"> reportadas en la encuesta.</w:t>
      </w:r>
      <w:r w:rsidRPr="00944860">
        <w:rPr>
          <w:rFonts w:ascii="Times New Roman" w:eastAsia="Times New Roman" w:hAnsi="Times New Roman" w:cs="Times New Roman"/>
          <w:i/>
          <w:iCs/>
          <w:kern w:val="0"/>
          <w:sz w:val="22"/>
          <w:szCs w:val="22"/>
          <w:highlight w:val="white"/>
          <w:lang w:val="es-ES" w:eastAsia="es-ES"/>
          <w14:ligatures w14:val="none"/>
        </w:rPr>
        <w:t xml:space="preserve"> </w:t>
      </w:r>
    </w:p>
    <w:p w14:paraId="58E2C1F4" w14:textId="77777777" w:rsidR="00506F3D" w:rsidRPr="00944860" w:rsidRDefault="00506F3D" w:rsidP="00EB6234">
      <w:pPr>
        <w:spacing w:before="240" w:after="240" w:line="276" w:lineRule="auto"/>
        <w:jc w:val="both"/>
        <w:rPr>
          <w:rFonts w:ascii="Times New Roman" w:eastAsia="Times New Roman" w:hAnsi="Times New Roman" w:cs="Times New Roman"/>
          <w:i/>
          <w:iCs/>
          <w:kern w:val="0"/>
          <w:sz w:val="20"/>
          <w:szCs w:val="20"/>
          <w:highlight w:val="white"/>
          <w:lang w:val="es-ES" w:eastAsia="es-ES"/>
          <w14:ligatures w14:val="none"/>
        </w:rPr>
      </w:pPr>
      <w:r w:rsidRPr="00944860">
        <w:rPr>
          <w:rFonts w:ascii="Times New Roman" w:eastAsia="Times New Roman" w:hAnsi="Times New Roman" w:cs="Times New Roman"/>
          <w:kern w:val="0"/>
          <w:highlight w:val="white"/>
          <w:lang w:val="es-ES" w:eastAsia="es-ES"/>
          <w14:ligatures w14:val="none"/>
        </w:rPr>
        <w:t xml:space="preserve">La dificultad predominante, Organización y planificación del estudio (19,7%), es especialmente significativa desde la perspectiva de Bourdieu y Passeron (2003): no se trata de una incapacidad individual sino de la ausencia de un </w:t>
      </w:r>
      <w:proofErr w:type="spellStart"/>
      <w:r w:rsidRPr="00944860">
        <w:rPr>
          <w:rFonts w:ascii="Times New Roman" w:eastAsia="Times New Roman" w:hAnsi="Times New Roman" w:cs="Times New Roman"/>
          <w:i/>
          <w:iCs/>
          <w:kern w:val="0"/>
          <w:highlight w:val="white"/>
          <w:lang w:val="es-ES" w:eastAsia="es-ES"/>
          <w14:ligatures w14:val="none"/>
        </w:rPr>
        <w:t>habitus</w:t>
      </w:r>
      <w:proofErr w:type="spellEnd"/>
      <w:r w:rsidRPr="00944860">
        <w:rPr>
          <w:rFonts w:ascii="Times New Roman" w:eastAsia="Times New Roman" w:hAnsi="Times New Roman" w:cs="Times New Roman"/>
          <w:kern w:val="0"/>
          <w:highlight w:val="white"/>
          <w:lang w:val="es-ES" w:eastAsia="es-ES"/>
          <w14:ligatures w14:val="none"/>
        </w:rPr>
        <w:t xml:space="preserve"> estudiantil universitario que se adquiere de modo diferencial según el capital cultural familiar. El 33% de primera generación universitaria y el 49,4% proveniente de escuelas públicas representan la población más vulnerable ante esta brecha.</w:t>
      </w:r>
    </w:p>
    <w:p w14:paraId="0E379CFD" w14:textId="77777777" w:rsidR="00506F3D" w:rsidRPr="00506F3D" w:rsidRDefault="00506F3D" w:rsidP="00EB6234">
      <w:pPr>
        <w:spacing w:after="0" w:line="276" w:lineRule="auto"/>
        <w:jc w:val="both"/>
        <w:rPr>
          <w:rFonts w:ascii="Times New Roman" w:eastAsia="Times New Roman" w:hAnsi="Times New Roman" w:cs="Times New Roman"/>
          <w:i/>
          <w:iCs/>
          <w:kern w:val="0"/>
          <w:highlight w:val="white"/>
          <w:lang w:val="es-ES" w:eastAsia="es-ES"/>
          <w14:ligatures w14:val="none"/>
        </w:rPr>
      </w:pPr>
      <w:r w:rsidRPr="00506F3D">
        <w:rPr>
          <w:rFonts w:ascii="Times New Roman" w:eastAsia="Times New Roman" w:hAnsi="Times New Roman" w:cs="Times New Roman"/>
          <w:kern w:val="0"/>
          <w:highlight w:val="white"/>
          <w:lang w:val="es-ES" w:eastAsia="es-ES"/>
          <w14:ligatures w14:val="none"/>
        </w:rPr>
        <w:t xml:space="preserve">A pesar de estos desafíos, las expectativas puestas en la universidad son muy altas. La mayoría de los estudiantes espera encontrar en su trayectoria una </w:t>
      </w:r>
      <w:r w:rsidRPr="00506F3D">
        <w:rPr>
          <w:rFonts w:ascii="Times New Roman" w:eastAsia="Times New Roman" w:hAnsi="Times New Roman" w:cs="Times New Roman"/>
          <w:bCs/>
          <w:kern w:val="0"/>
          <w:highlight w:val="white"/>
          <w:lang w:val="es-ES" w:eastAsia="es-ES"/>
          <w14:ligatures w14:val="none"/>
        </w:rPr>
        <w:t>"formación académica sólida" (57,6%)</w:t>
      </w:r>
      <w:r w:rsidRPr="00506F3D">
        <w:rPr>
          <w:rFonts w:ascii="Times New Roman" w:eastAsia="Times New Roman" w:hAnsi="Times New Roman" w:cs="Times New Roman"/>
          <w:kern w:val="0"/>
          <w:highlight w:val="white"/>
          <w:lang w:val="es-ES" w:eastAsia="es-ES"/>
          <w14:ligatures w14:val="none"/>
        </w:rPr>
        <w:t xml:space="preserve"> y, en segundo lugar, </w:t>
      </w:r>
      <w:r w:rsidRPr="00506F3D">
        <w:rPr>
          <w:rFonts w:ascii="Times New Roman" w:eastAsia="Times New Roman" w:hAnsi="Times New Roman" w:cs="Times New Roman"/>
          <w:bCs/>
          <w:kern w:val="0"/>
          <w:highlight w:val="white"/>
          <w:lang w:val="es-ES" w:eastAsia="es-ES"/>
          <w14:ligatures w14:val="none"/>
        </w:rPr>
        <w:t>"oportunidades laborales o profesionales" (20,0%)</w:t>
      </w:r>
      <w:r w:rsidRPr="00506F3D">
        <w:rPr>
          <w:rFonts w:ascii="Times New Roman" w:eastAsia="Times New Roman" w:hAnsi="Times New Roman" w:cs="Times New Roman"/>
          <w:kern w:val="0"/>
          <w:highlight w:val="white"/>
          <w:lang w:val="es-ES" w:eastAsia="es-ES"/>
          <w14:ligatures w14:val="none"/>
        </w:rPr>
        <w:t xml:space="preserve">, lo que evidencia una fuerte conexión entre la UBA, la educación de calidad y el desarrollo profesional futuro (Fuente 1, Gráfico "¿Qué </w:t>
      </w:r>
      <w:proofErr w:type="spellStart"/>
      <w:r w:rsidRPr="00506F3D">
        <w:rPr>
          <w:rFonts w:ascii="Times New Roman" w:eastAsia="Times New Roman" w:hAnsi="Times New Roman" w:cs="Times New Roman"/>
          <w:kern w:val="0"/>
          <w:highlight w:val="white"/>
          <w:lang w:val="es-ES" w:eastAsia="es-ES"/>
          <w14:ligatures w14:val="none"/>
        </w:rPr>
        <w:t>esperás</w:t>
      </w:r>
      <w:proofErr w:type="spellEnd"/>
      <w:r w:rsidRPr="00506F3D">
        <w:rPr>
          <w:rFonts w:ascii="Times New Roman" w:eastAsia="Times New Roman" w:hAnsi="Times New Roman" w:cs="Times New Roman"/>
          <w:kern w:val="0"/>
          <w:highlight w:val="white"/>
          <w:lang w:val="es-ES" w:eastAsia="es-ES"/>
          <w14:ligatures w14:val="none"/>
        </w:rPr>
        <w:t xml:space="preserve"> encontrar en tu experiencia universitaria?").</w:t>
      </w:r>
    </w:p>
    <w:p w14:paraId="068E463E" w14:textId="77777777" w:rsidR="00506F3D" w:rsidRPr="00506F3D" w:rsidRDefault="00506F3D" w:rsidP="00EB6234">
      <w:pPr>
        <w:spacing w:before="240" w:line="276" w:lineRule="auto"/>
        <w:jc w:val="both"/>
        <w:rPr>
          <w:rFonts w:ascii="Times New Roman" w:eastAsia="Times New Roman" w:hAnsi="Times New Roman" w:cs="Times New Roman"/>
          <w:kern w:val="0"/>
          <w:highlight w:val="white"/>
          <w:lang w:val="es-ES" w:eastAsia="es-ES"/>
          <w14:ligatures w14:val="none"/>
        </w:rPr>
      </w:pPr>
      <w:r w:rsidRPr="00506F3D">
        <w:rPr>
          <w:rFonts w:ascii="Times New Roman" w:eastAsia="Times New Roman" w:hAnsi="Times New Roman" w:cs="Times New Roman"/>
          <w:kern w:val="0"/>
          <w:highlight w:val="white"/>
          <w:lang w:val="es-ES" w:eastAsia="es-ES"/>
          <w14:ligatures w14:val="none"/>
        </w:rPr>
        <w:lastRenderedPageBreak/>
        <w:t>Este patrón de ambivalencia emocional es coherente con el análisis de Dubet (2005): el ingreso a la universidad implica simultáneamente la realización de un proyecto deseado y el enfrentamiento con un conjunto de demandas que pone a prueba los recursos previos. Los relatos cualitativos refuerzan esta lectura: 'perseverancia y paciencia' (Entrevistado D), 'trabajo, esfuerzo y disciplina' (Entrevistado B), 'estrés' (Entrevistada J).</w:t>
      </w:r>
    </w:p>
    <w:p w14:paraId="1B297212" w14:textId="77777777" w:rsidR="00506F3D" w:rsidRPr="00506F3D" w:rsidRDefault="00506F3D" w:rsidP="00EB6234">
      <w:pPr>
        <w:spacing w:before="60" w:after="200" w:line="276" w:lineRule="auto"/>
        <w:jc w:val="both"/>
        <w:rPr>
          <w:rFonts w:ascii="Times New Roman" w:eastAsia="Times New Roman" w:hAnsi="Times New Roman" w:cs="Times New Roman"/>
          <w:kern w:val="0"/>
          <w:highlight w:val="white"/>
          <w:lang w:val="es-ES" w:eastAsia="es-ES"/>
          <w14:ligatures w14:val="none"/>
        </w:rPr>
      </w:pPr>
      <w:r w:rsidRPr="00506F3D">
        <w:rPr>
          <w:rFonts w:ascii="Times New Roman" w:eastAsia="Times New Roman" w:hAnsi="Times New Roman" w:cs="Times New Roman"/>
          <w:iCs/>
          <w:kern w:val="0"/>
          <w:highlight w:val="white"/>
          <w:lang w:val="es-ES" w:eastAsia="es-ES"/>
          <w14:ligatures w14:val="none"/>
        </w:rPr>
        <w:t>En efecto,</w:t>
      </w:r>
      <w:r w:rsidRPr="00506F3D">
        <w:rPr>
          <w:rFonts w:ascii="Times New Roman" w:eastAsia="Times New Roman" w:hAnsi="Times New Roman" w:cs="Times New Roman"/>
          <w:i/>
          <w:iCs/>
          <w:kern w:val="0"/>
          <w:highlight w:val="white"/>
          <w:lang w:val="es-ES" w:eastAsia="es-ES"/>
          <w14:ligatures w14:val="none"/>
        </w:rPr>
        <w:t xml:space="preserve"> </w:t>
      </w:r>
      <w:r w:rsidRPr="00506F3D">
        <w:rPr>
          <w:rFonts w:ascii="Times New Roman" w:eastAsia="Times New Roman" w:hAnsi="Times New Roman" w:cs="Times New Roman"/>
          <w:kern w:val="0"/>
          <w:highlight w:val="white"/>
          <w:lang w:val="es-ES" w:eastAsia="es-ES"/>
          <w14:ligatures w14:val="none"/>
        </w:rPr>
        <w:t xml:space="preserve">que el 57,6% espere una 'formación académica sólida' revela la persistencia del imaginario reformista de la UBA que </w:t>
      </w:r>
      <w:proofErr w:type="spellStart"/>
      <w:r w:rsidRPr="00506F3D">
        <w:rPr>
          <w:rFonts w:ascii="Times New Roman" w:eastAsia="Times New Roman" w:hAnsi="Times New Roman" w:cs="Times New Roman"/>
          <w:kern w:val="0"/>
          <w:highlight w:val="white"/>
          <w:lang w:val="es-ES" w:eastAsia="es-ES"/>
          <w14:ligatures w14:val="none"/>
        </w:rPr>
        <w:t>Carli</w:t>
      </w:r>
      <w:proofErr w:type="spellEnd"/>
      <w:r w:rsidRPr="00506F3D">
        <w:rPr>
          <w:rFonts w:ascii="Times New Roman" w:eastAsia="Times New Roman" w:hAnsi="Times New Roman" w:cs="Times New Roman"/>
          <w:kern w:val="0"/>
          <w:highlight w:val="white"/>
          <w:lang w:val="es-ES" w:eastAsia="es-ES"/>
          <w14:ligatures w14:val="none"/>
        </w:rPr>
        <w:t xml:space="preserve"> (2012) ha analizado: la institución sigue siendo percibida como garantía de calidad y prestigio, lo que explica las altas expectativas aun en un contexto de experiencia emocionalmente exigente.</w:t>
      </w:r>
    </w:p>
    <w:p w14:paraId="365DDA05" w14:textId="330FBB3E" w:rsidR="00506F3D" w:rsidRPr="00506F3D" w:rsidRDefault="00EB6234" w:rsidP="00506F3D">
      <w:pPr>
        <w:spacing w:before="240" w:after="40" w:line="276" w:lineRule="auto"/>
        <w:rPr>
          <w:rFonts w:ascii="Times New Roman" w:eastAsia="Times New Roman" w:hAnsi="Times New Roman" w:cs="Times New Roman"/>
          <w:i/>
          <w:iCs/>
          <w:color w:val="303030"/>
          <w:kern w:val="0"/>
          <w:highlight w:val="white"/>
          <w:lang w:val="es-ES" w:eastAsia="es-ES"/>
          <w14:ligatures w14:val="none"/>
        </w:rPr>
      </w:pPr>
      <w:r w:rsidRPr="00EB6234">
        <w:rPr>
          <w:rFonts w:ascii="Times New Roman" w:eastAsia="Times New Roman" w:hAnsi="Times New Roman" w:cs="Times New Roman"/>
          <w:i/>
          <w:iCs/>
          <w:color w:val="303030"/>
          <w:kern w:val="0"/>
          <w:lang w:val="es-ES" w:eastAsia="es-ES"/>
          <w14:ligatures w14:val="none"/>
        </w:rPr>
        <w:t xml:space="preserve">Tabla 4: </w:t>
      </w:r>
      <w:r w:rsidR="00506F3D" w:rsidRPr="00506F3D">
        <w:rPr>
          <w:rFonts w:ascii="Times New Roman" w:eastAsia="Times New Roman" w:hAnsi="Times New Roman" w:cs="Times New Roman"/>
          <w:i/>
          <w:iCs/>
          <w:color w:val="303030"/>
          <w:kern w:val="0"/>
          <w:highlight w:val="white"/>
          <w:lang w:val="es-ES" w:eastAsia="es-ES"/>
          <w14:ligatures w14:val="none"/>
        </w:rPr>
        <w:t>Expectativas para la experiencia universitaria</w:t>
      </w:r>
    </w:p>
    <w:tbl>
      <w:tblPr>
        <w:tblW w:w="9030" w:type="dxa"/>
        <w:tblInd w:w="-100" w:type="dxa"/>
        <w:tblBorders>
          <w:insideH w:val="nil"/>
          <w:insideV w:val="nil"/>
        </w:tblBorders>
        <w:tblLayout w:type="fixed"/>
        <w:tblLook w:val="0600" w:firstRow="0" w:lastRow="0" w:firstColumn="0" w:lastColumn="0" w:noHBand="1" w:noVBand="1"/>
      </w:tblPr>
      <w:tblGrid>
        <w:gridCol w:w="6495"/>
        <w:gridCol w:w="2535"/>
      </w:tblGrid>
      <w:tr w:rsidR="00506F3D" w:rsidRPr="00506F3D" w14:paraId="3E601C6D" w14:textId="77777777" w:rsidTr="00506F3D">
        <w:trPr>
          <w:trHeight w:val="300"/>
        </w:trPr>
        <w:tc>
          <w:tcPr>
            <w:tcW w:w="6491" w:type="dxa"/>
            <w:tcBorders>
              <w:top w:val="single" w:sz="18" w:space="0" w:color="000000"/>
              <w:left w:val="nil"/>
              <w:bottom w:val="single" w:sz="6" w:space="0" w:color="000000"/>
              <w:right w:val="nil"/>
            </w:tcBorders>
            <w:tcMar>
              <w:top w:w="0" w:type="dxa"/>
              <w:left w:w="20" w:type="dxa"/>
              <w:bottom w:w="0" w:type="dxa"/>
              <w:right w:w="20" w:type="dxa"/>
            </w:tcMar>
            <w:hideMark/>
          </w:tcPr>
          <w:p w14:paraId="4981B806" w14:textId="77777777" w:rsidR="00506F3D" w:rsidRPr="00506F3D" w:rsidRDefault="00506F3D" w:rsidP="00506F3D">
            <w:pPr>
              <w:spacing w:before="240" w:after="40" w:line="276" w:lineRule="auto"/>
              <w:rPr>
                <w:rFonts w:ascii="Times New Roman" w:eastAsia="Times New Roman" w:hAnsi="Times New Roman" w:cs="Times New Roman"/>
                <w:b/>
                <w:bCs/>
                <w:color w:val="303030"/>
                <w:kern w:val="0"/>
                <w:sz w:val="20"/>
                <w:szCs w:val="20"/>
                <w:highlight w:val="white"/>
                <w:lang w:val="es-ES" w:eastAsia="es-ES"/>
                <w14:ligatures w14:val="none"/>
              </w:rPr>
            </w:pPr>
            <w:r w:rsidRPr="00506F3D">
              <w:rPr>
                <w:rFonts w:ascii="Times New Roman" w:eastAsia="Times New Roman" w:hAnsi="Times New Roman" w:cs="Times New Roman"/>
                <w:b/>
                <w:bCs/>
                <w:color w:val="303030"/>
                <w:kern w:val="0"/>
                <w:sz w:val="20"/>
                <w:szCs w:val="20"/>
                <w:highlight w:val="white"/>
                <w:lang w:val="es-ES" w:eastAsia="es-ES"/>
                <w14:ligatures w14:val="none"/>
              </w:rPr>
              <w:t>Expectativa</w:t>
            </w:r>
          </w:p>
        </w:tc>
        <w:tc>
          <w:tcPr>
            <w:tcW w:w="2533" w:type="dxa"/>
            <w:tcBorders>
              <w:top w:val="single" w:sz="18" w:space="0" w:color="000000"/>
              <w:left w:val="nil"/>
              <w:bottom w:val="single" w:sz="6" w:space="0" w:color="000000"/>
              <w:right w:val="nil"/>
            </w:tcBorders>
            <w:tcMar>
              <w:top w:w="0" w:type="dxa"/>
              <w:left w:w="20" w:type="dxa"/>
              <w:bottom w:w="0" w:type="dxa"/>
              <w:right w:w="20" w:type="dxa"/>
            </w:tcMar>
            <w:hideMark/>
          </w:tcPr>
          <w:p w14:paraId="107D9F97" w14:textId="77777777" w:rsidR="00506F3D" w:rsidRPr="00506F3D" w:rsidRDefault="00506F3D" w:rsidP="00506F3D">
            <w:pPr>
              <w:spacing w:before="240" w:after="40" w:line="276" w:lineRule="auto"/>
              <w:jc w:val="right"/>
              <w:rPr>
                <w:rFonts w:ascii="Times New Roman" w:eastAsia="Times New Roman" w:hAnsi="Times New Roman" w:cs="Times New Roman"/>
                <w:b/>
                <w:bCs/>
                <w:color w:val="303030"/>
                <w:kern w:val="0"/>
                <w:sz w:val="20"/>
                <w:szCs w:val="20"/>
                <w:highlight w:val="white"/>
                <w:lang w:val="es-ES" w:eastAsia="es-ES"/>
                <w14:ligatures w14:val="none"/>
              </w:rPr>
            </w:pPr>
            <w:r w:rsidRPr="00506F3D">
              <w:rPr>
                <w:rFonts w:ascii="Times New Roman" w:eastAsia="Times New Roman" w:hAnsi="Times New Roman" w:cs="Times New Roman"/>
                <w:b/>
                <w:bCs/>
                <w:color w:val="303030"/>
                <w:kern w:val="0"/>
                <w:sz w:val="20"/>
                <w:szCs w:val="20"/>
                <w:highlight w:val="white"/>
                <w:lang w:val="es-ES" w:eastAsia="es-ES"/>
                <w14:ligatures w14:val="none"/>
              </w:rPr>
              <w:t>%</w:t>
            </w:r>
          </w:p>
        </w:tc>
      </w:tr>
      <w:tr w:rsidR="00506F3D" w:rsidRPr="00506F3D" w14:paraId="379C660D" w14:textId="77777777" w:rsidTr="00506F3D">
        <w:trPr>
          <w:trHeight w:val="270"/>
        </w:trPr>
        <w:tc>
          <w:tcPr>
            <w:tcW w:w="6491" w:type="dxa"/>
            <w:tcBorders>
              <w:top w:val="single" w:sz="6" w:space="0" w:color="000000"/>
              <w:left w:val="nil"/>
              <w:bottom w:val="nil"/>
              <w:right w:val="nil"/>
            </w:tcBorders>
            <w:tcMar>
              <w:top w:w="0" w:type="dxa"/>
              <w:left w:w="20" w:type="dxa"/>
              <w:bottom w:w="0" w:type="dxa"/>
              <w:right w:w="20" w:type="dxa"/>
            </w:tcMar>
            <w:hideMark/>
          </w:tcPr>
          <w:p w14:paraId="082F60C3"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Formación académica sólida</w:t>
            </w:r>
          </w:p>
        </w:tc>
        <w:tc>
          <w:tcPr>
            <w:tcW w:w="2533" w:type="dxa"/>
            <w:tcBorders>
              <w:top w:val="single" w:sz="6" w:space="0" w:color="000000"/>
              <w:left w:val="nil"/>
              <w:bottom w:val="nil"/>
              <w:right w:val="nil"/>
            </w:tcBorders>
            <w:tcMar>
              <w:top w:w="0" w:type="dxa"/>
              <w:left w:w="20" w:type="dxa"/>
              <w:bottom w:w="0" w:type="dxa"/>
              <w:right w:w="20" w:type="dxa"/>
            </w:tcMar>
            <w:hideMark/>
          </w:tcPr>
          <w:p w14:paraId="1C9FC02E"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57,6</w:t>
            </w:r>
          </w:p>
        </w:tc>
      </w:tr>
      <w:tr w:rsidR="00506F3D" w:rsidRPr="00506F3D" w14:paraId="62D66A0C"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0603C330"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Oportunidades laborales o profesionales</w:t>
            </w:r>
          </w:p>
        </w:tc>
        <w:tc>
          <w:tcPr>
            <w:tcW w:w="2533" w:type="dxa"/>
            <w:tcBorders>
              <w:top w:val="nil"/>
              <w:left w:val="nil"/>
              <w:bottom w:val="nil"/>
              <w:right w:val="nil"/>
            </w:tcBorders>
            <w:tcMar>
              <w:top w:w="0" w:type="dxa"/>
              <w:left w:w="20" w:type="dxa"/>
              <w:bottom w:w="0" w:type="dxa"/>
              <w:right w:w="20" w:type="dxa"/>
            </w:tcMar>
            <w:hideMark/>
          </w:tcPr>
          <w:p w14:paraId="5963C055"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20,0</w:t>
            </w:r>
          </w:p>
        </w:tc>
      </w:tr>
      <w:tr w:rsidR="00506F3D" w:rsidRPr="00506F3D" w14:paraId="24AD8182"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56AF4126"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Desarrollo personal</w:t>
            </w:r>
          </w:p>
        </w:tc>
        <w:tc>
          <w:tcPr>
            <w:tcW w:w="2533" w:type="dxa"/>
            <w:tcBorders>
              <w:top w:val="nil"/>
              <w:left w:val="nil"/>
              <w:bottom w:val="nil"/>
              <w:right w:val="nil"/>
            </w:tcBorders>
            <w:tcMar>
              <w:top w:w="0" w:type="dxa"/>
              <w:left w:w="20" w:type="dxa"/>
              <w:bottom w:w="0" w:type="dxa"/>
              <w:right w:w="20" w:type="dxa"/>
            </w:tcMar>
            <w:hideMark/>
          </w:tcPr>
          <w:p w14:paraId="1C633323"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12,4</w:t>
            </w:r>
          </w:p>
        </w:tc>
      </w:tr>
      <w:tr w:rsidR="00506F3D" w:rsidRPr="00506F3D" w14:paraId="31B8A811"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2F4E301E"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Redes sociales y vínculos</w:t>
            </w:r>
          </w:p>
        </w:tc>
        <w:tc>
          <w:tcPr>
            <w:tcW w:w="2533" w:type="dxa"/>
            <w:tcBorders>
              <w:top w:val="nil"/>
              <w:left w:val="nil"/>
              <w:bottom w:val="nil"/>
              <w:right w:val="nil"/>
            </w:tcBorders>
            <w:tcMar>
              <w:top w:w="0" w:type="dxa"/>
              <w:left w:w="20" w:type="dxa"/>
              <w:bottom w:w="0" w:type="dxa"/>
              <w:right w:w="20" w:type="dxa"/>
            </w:tcMar>
            <w:hideMark/>
          </w:tcPr>
          <w:p w14:paraId="6598CB35"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6,8</w:t>
            </w:r>
          </w:p>
        </w:tc>
      </w:tr>
      <w:tr w:rsidR="00506F3D" w:rsidRPr="00506F3D" w14:paraId="13AFFF2E" w14:textId="77777777" w:rsidTr="00506F3D">
        <w:trPr>
          <w:trHeight w:val="270"/>
        </w:trPr>
        <w:tc>
          <w:tcPr>
            <w:tcW w:w="6491" w:type="dxa"/>
            <w:tcBorders>
              <w:top w:val="nil"/>
              <w:left w:val="nil"/>
              <w:bottom w:val="nil"/>
              <w:right w:val="nil"/>
            </w:tcBorders>
            <w:tcMar>
              <w:top w:w="0" w:type="dxa"/>
              <w:left w:w="20" w:type="dxa"/>
              <w:bottom w:w="0" w:type="dxa"/>
              <w:right w:w="20" w:type="dxa"/>
            </w:tcMar>
            <w:hideMark/>
          </w:tcPr>
          <w:p w14:paraId="141458AA" w14:textId="77777777" w:rsidR="00506F3D" w:rsidRPr="00506F3D" w:rsidRDefault="00506F3D" w:rsidP="00506F3D">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Otras / No responde</w:t>
            </w:r>
          </w:p>
        </w:tc>
        <w:tc>
          <w:tcPr>
            <w:tcW w:w="2533" w:type="dxa"/>
            <w:tcBorders>
              <w:top w:val="nil"/>
              <w:left w:val="nil"/>
              <w:bottom w:val="nil"/>
              <w:right w:val="nil"/>
            </w:tcBorders>
            <w:tcMar>
              <w:top w:w="0" w:type="dxa"/>
              <w:left w:w="20" w:type="dxa"/>
              <w:bottom w:w="0" w:type="dxa"/>
              <w:right w:w="20" w:type="dxa"/>
            </w:tcMar>
            <w:hideMark/>
          </w:tcPr>
          <w:p w14:paraId="6B9A25FB"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506F3D">
              <w:rPr>
                <w:rFonts w:ascii="Times New Roman" w:eastAsia="Times New Roman" w:hAnsi="Times New Roman" w:cs="Times New Roman"/>
                <w:color w:val="303030"/>
                <w:kern w:val="0"/>
                <w:sz w:val="20"/>
                <w:szCs w:val="20"/>
                <w:highlight w:val="white"/>
                <w:lang w:val="es-ES" w:eastAsia="es-ES"/>
                <w14:ligatures w14:val="none"/>
              </w:rPr>
              <w:t>3,2</w:t>
            </w:r>
          </w:p>
        </w:tc>
      </w:tr>
      <w:tr w:rsidR="00506F3D" w:rsidRPr="00506F3D" w14:paraId="25F04260" w14:textId="77777777" w:rsidTr="00506F3D">
        <w:trPr>
          <w:trHeight w:val="345"/>
        </w:trPr>
        <w:tc>
          <w:tcPr>
            <w:tcW w:w="6491" w:type="dxa"/>
            <w:tcBorders>
              <w:top w:val="nil"/>
              <w:left w:val="nil"/>
              <w:bottom w:val="single" w:sz="18" w:space="0" w:color="000000"/>
              <w:right w:val="nil"/>
            </w:tcBorders>
            <w:tcMar>
              <w:top w:w="0" w:type="dxa"/>
              <w:left w:w="20" w:type="dxa"/>
              <w:bottom w:w="0" w:type="dxa"/>
              <w:right w:w="20" w:type="dxa"/>
            </w:tcMar>
            <w:hideMark/>
          </w:tcPr>
          <w:p w14:paraId="61DD37E3" w14:textId="77777777" w:rsidR="00506F3D" w:rsidRPr="00506F3D" w:rsidRDefault="00506F3D" w:rsidP="00506F3D">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highlight w:val="white"/>
                <w:lang w:val="es-ES" w:eastAsia="es-ES"/>
                <w14:ligatures w14:val="none"/>
              </w:rPr>
              <w:t xml:space="preserve"> </w:t>
            </w:r>
          </w:p>
        </w:tc>
        <w:tc>
          <w:tcPr>
            <w:tcW w:w="2533" w:type="dxa"/>
            <w:tcBorders>
              <w:top w:val="nil"/>
              <w:left w:val="nil"/>
              <w:bottom w:val="single" w:sz="18" w:space="0" w:color="000000"/>
              <w:right w:val="nil"/>
            </w:tcBorders>
            <w:tcMar>
              <w:top w:w="0" w:type="dxa"/>
              <w:left w:w="20" w:type="dxa"/>
              <w:bottom w:w="0" w:type="dxa"/>
              <w:right w:w="20" w:type="dxa"/>
            </w:tcMar>
            <w:hideMark/>
          </w:tcPr>
          <w:p w14:paraId="7EB5F7CC" w14:textId="77777777" w:rsidR="00506F3D" w:rsidRPr="00506F3D" w:rsidRDefault="00506F3D" w:rsidP="00506F3D">
            <w:pPr>
              <w:spacing w:before="240" w:after="40" w:line="276" w:lineRule="auto"/>
              <w:jc w:val="right"/>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highlight w:val="white"/>
                <w:lang w:val="es-ES" w:eastAsia="es-ES"/>
                <w14:ligatures w14:val="none"/>
              </w:rPr>
              <w:t xml:space="preserve"> </w:t>
            </w:r>
          </w:p>
        </w:tc>
      </w:tr>
    </w:tbl>
    <w:p w14:paraId="1B68B4FC" w14:textId="30042574" w:rsidR="00EB6234" w:rsidRPr="00EB6234" w:rsidRDefault="00EB6234" w:rsidP="00EB6234">
      <w:pPr>
        <w:spacing w:after="0" w:line="341" w:lineRule="auto"/>
        <w:rPr>
          <w:rFonts w:ascii="Times New Roman" w:eastAsia="Times New Roman" w:hAnsi="Times New Roman" w:cs="Times New Roman"/>
          <w:color w:val="303030"/>
          <w:kern w:val="0"/>
          <w:sz w:val="22"/>
          <w:szCs w:val="22"/>
          <w:highlight w:val="white"/>
          <w:lang w:val="es-ES" w:eastAsia="es-ES"/>
          <w14:ligatures w14:val="none"/>
        </w:rPr>
      </w:pPr>
      <w:r w:rsidRPr="00EB6234">
        <w:rPr>
          <w:rFonts w:ascii="Times New Roman" w:eastAsia="Times New Roman" w:hAnsi="Times New Roman" w:cs="Times New Roman"/>
          <w:iCs/>
          <w:color w:val="303030"/>
          <w:kern w:val="0"/>
          <w:sz w:val="22"/>
          <w:szCs w:val="22"/>
          <w:highlight w:val="white"/>
          <w:lang w:val="es-ES" w:eastAsia="es-ES"/>
          <w14:ligatures w14:val="none"/>
        </w:rPr>
        <w:t xml:space="preserve">Fuente: </w:t>
      </w:r>
      <w:r w:rsidR="00506F3D" w:rsidRPr="00506F3D">
        <w:rPr>
          <w:rFonts w:ascii="Times New Roman" w:eastAsia="Times New Roman" w:hAnsi="Times New Roman" w:cs="Times New Roman"/>
          <w:color w:val="303030"/>
          <w:kern w:val="0"/>
          <w:sz w:val="22"/>
          <w:szCs w:val="22"/>
          <w:highlight w:val="white"/>
          <w:lang w:val="es-ES" w:eastAsia="es-ES"/>
          <w14:ligatures w14:val="none"/>
        </w:rPr>
        <w:t xml:space="preserve">Encuesta IMPULSA CBC, diciembre 2025 (n = 210). </w:t>
      </w:r>
    </w:p>
    <w:p w14:paraId="0D2F1AB2" w14:textId="7502BDAF" w:rsidR="00506F3D" w:rsidRPr="00506F3D" w:rsidRDefault="00EB6234" w:rsidP="00EB6234">
      <w:pPr>
        <w:spacing w:after="0" w:line="341" w:lineRule="auto"/>
        <w:rPr>
          <w:rFonts w:ascii="Times New Roman" w:eastAsia="Times New Roman" w:hAnsi="Times New Roman" w:cs="Times New Roman"/>
          <w:i/>
          <w:color w:val="303030"/>
          <w:kern w:val="0"/>
          <w:highlight w:val="white"/>
          <w:lang w:val="es-ES" w:eastAsia="es-ES"/>
          <w14:ligatures w14:val="none"/>
        </w:rPr>
      </w:pPr>
      <w:r w:rsidRPr="00EB6234">
        <w:rPr>
          <w:rFonts w:ascii="Times New Roman" w:eastAsia="Times New Roman" w:hAnsi="Times New Roman" w:cs="Times New Roman"/>
          <w:i/>
          <w:color w:val="303030"/>
          <w:kern w:val="0"/>
          <w:highlight w:val="white"/>
          <w:lang w:val="es-ES" w:eastAsia="es-ES"/>
          <w14:ligatures w14:val="none"/>
        </w:rPr>
        <w:t xml:space="preserve">Nota: </w:t>
      </w:r>
      <w:r w:rsidR="00506F3D" w:rsidRPr="00506F3D">
        <w:rPr>
          <w:rFonts w:ascii="Times New Roman" w:eastAsia="Times New Roman" w:hAnsi="Times New Roman" w:cs="Times New Roman"/>
          <w:i/>
          <w:color w:val="303030"/>
          <w:kern w:val="0"/>
          <w:highlight w:val="white"/>
          <w:lang w:val="es-ES" w:eastAsia="es-ES"/>
          <w14:ligatures w14:val="none"/>
        </w:rPr>
        <w:t>Pregunta de respuesta única.</w:t>
      </w:r>
    </w:p>
    <w:p w14:paraId="50A98552" w14:textId="77777777" w:rsidR="00AE122A" w:rsidRDefault="00AE122A" w:rsidP="00AE122A">
      <w:pPr>
        <w:spacing w:after="0" w:line="240" w:lineRule="auto"/>
        <w:jc w:val="both"/>
        <w:rPr>
          <w:rFonts w:ascii="Times New Roman" w:eastAsia="Times New Roman" w:hAnsi="Times New Roman" w:cs="Times New Roman"/>
          <w:color w:val="303030"/>
          <w:kern w:val="0"/>
          <w:highlight w:val="white"/>
          <w:lang w:val="es-ES" w:eastAsia="es-ES"/>
          <w14:ligatures w14:val="none"/>
        </w:rPr>
      </w:pPr>
    </w:p>
    <w:p w14:paraId="631FCC85" w14:textId="77777777" w:rsidR="00506F3D" w:rsidRDefault="00506F3D" w:rsidP="00AE122A">
      <w:pPr>
        <w:spacing w:after="0" w:line="240" w:lineRule="auto"/>
        <w:jc w:val="both"/>
        <w:rPr>
          <w:rFonts w:ascii="Times New Roman" w:eastAsia="Times New Roman" w:hAnsi="Times New Roman" w:cs="Times New Roman"/>
          <w:color w:val="303030"/>
          <w:kern w:val="0"/>
          <w:highlight w:val="white"/>
          <w:lang w:val="es-ES" w:eastAsia="es-ES"/>
          <w14:ligatures w14:val="none"/>
        </w:rPr>
      </w:pPr>
      <w:r w:rsidRPr="00506F3D">
        <w:rPr>
          <w:rFonts w:ascii="Times New Roman" w:eastAsia="Times New Roman" w:hAnsi="Times New Roman" w:cs="Times New Roman"/>
          <w:color w:val="303030"/>
          <w:kern w:val="0"/>
          <w:highlight w:val="white"/>
          <w:lang w:val="es-ES" w:eastAsia="es-ES"/>
          <w14:ligatures w14:val="none"/>
        </w:rPr>
        <w:t>Los datos cuantitativos y cualitativos revelan una brecha significativa entre la formación secundaria y las competencias requeridas en el CBC. Las entrevistas lo evidencian: "La secundaria no me preparó. De prepararme, prepararme, yo creo que no, cero" (Entrevistada C).</w:t>
      </w:r>
    </w:p>
    <w:p w14:paraId="126C693E" w14:textId="77777777" w:rsidR="00AE122A" w:rsidRPr="00506F3D" w:rsidRDefault="00AE122A" w:rsidP="00AE122A">
      <w:pPr>
        <w:spacing w:after="0" w:line="240" w:lineRule="auto"/>
        <w:jc w:val="both"/>
        <w:rPr>
          <w:rFonts w:ascii="Times New Roman" w:eastAsia="Times New Roman" w:hAnsi="Times New Roman" w:cs="Times New Roman"/>
          <w:color w:val="303030"/>
          <w:kern w:val="0"/>
          <w:highlight w:val="white"/>
          <w:lang w:val="es-ES" w:eastAsia="es-ES"/>
          <w14:ligatures w14:val="none"/>
        </w:rPr>
      </w:pPr>
    </w:p>
    <w:p w14:paraId="2C00D14F" w14:textId="77777777" w:rsidR="00EB6234" w:rsidRPr="00EB6234" w:rsidRDefault="00EB6234" w:rsidP="00EB6234">
      <w:pPr>
        <w:spacing w:before="60" w:after="200" w:line="276" w:lineRule="auto"/>
        <w:jc w:val="both"/>
        <w:rPr>
          <w:rFonts w:ascii="Times New Roman" w:eastAsia="Times New Roman" w:hAnsi="Times New Roman" w:cs="Times New Roman"/>
          <w:color w:val="303030"/>
          <w:kern w:val="0"/>
          <w:highlight w:val="white"/>
          <w:lang w:val="es-ES" w:eastAsia="es-ES"/>
          <w14:ligatures w14:val="none"/>
        </w:rPr>
      </w:pPr>
      <w:r w:rsidRPr="00EB6234">
        <w:rPr>
          <w:rFonts w:ascii="Times New Roman" w:eastAsia="Times New Roman" w:hAnsi="Times New Roman" w:cs="Times New Roman"/>
          <w:color w:val="303030"/>
          <w:kern w:val="0"/>
          <w:highlight w:val="white"/>
          <w:lang w:val="es-ES" w:eastAsia="es-ES"/>
          <w14:ligatures w14:val="none"/>
        </w:rPr>
        <w:t xml:space="preserve">En cuanto a las competencias digitales, los estudiantes reportan un uso extendido de diversas tecnologías durante su formación secundaria, principalmente la computadora/netbook (25,1%), el smartphone (23,3%) y las plataformas de aula virtual (21,6%) (Fuente 1, Gráfico "Plataformas y dispositivos tecnológicos"). Sin embargo, esta familiaridad con herramientas digitales contrasta con una experiencia más limitada en el ámbito de las ciencias prácticas. Si bien un </w:t>
      </w:r>
      <w:r w:rsidRPr="00EB6234">
        <w:rPr>
          <w:rFonts w:ascii="Times New Roman" w:eastAsia="Times New Roman" w:hAnsi="Times New Roman" w:cs="Times New Roman"/>
          <w:bCs/>
          <w:color w:val="303030"/>
          <w:kern w:val="0"/>
          <w:highlight w:val="white"/>
          <w:lang w:val="es-ES" w:eastAsia="es-ES"/>
          <w14:ligatures w14:val="none"/>
        </w:rPr>
        <w:t>34,3%</w:t>
      </w:r>
      <w:r w:rsidRPr="00EB6234">
        <w:rPr>
          <w:rFonts w:ascii="Times New Roman" w:eastAsia="Times New Roman" w:hAnsi="Times New Roman" w:cs="Times New Roman"/>
          <w:color w:val="303030"/>
          <w:kern w:val="0"/>
          <w:highlight w:val="white"/>
          <w:lang w:val="es-ES" w:eastAsia="es-ES"/>
          <w14:ligatures w14:val="none"/>
        </w:rPr>
        <w:t xml:space="preserve"> tuvo experiencia en salas de informática, un considerable </w:t>
      </w:r>
      <w:r w:rsidRPr="00EB6234">
        <w:rPr>
          <w:rFonts w:ascii="Times New Roman" w:eastAsia="Times New Roman" w:hAnsi="Times New Roman" w:cs="Times New Roman"/>
          <w:bCs/>
          <w:color w:val="303030"/>
          <w:kern w:val="0"/>
          <w:highlight w:val="white"/>
          <w:lang w:val="es-ES" w:eastAsia="es-ES"/>
          <w14:ligatures w14:val="none"/>
        </w:rPr>
        <w:t>15,4%</w:t>
      </w:r>
      <w:r w:rsidRPr="00EB6234">
        <w:rPr>
          <w:rFonts w:ascii="Times New Roman" w:eastAsia="Times New Roman" w:hAnsi="Times New Roman" w:cs="Times New Roman"/>
          <w:color w:val="303030"/>
          <w:kern w:val="0"/>
          <w:highlight w:val="white"/>
          <w:lang w:val="es-ES" w:eastAsia="es-ES"/>
          <w14:ligatures w14:val="none"/>
        </w:rPr>
        <w:t xml:space="preserve"> de los encuestados declara no haber tenido "ninguna </w:t>
      </w:r>
      <w:r w:rsidRPr="00EB6234">
        <w:rPr>
          <w:rFonts w:ascii="Times New Roman" w:eastAsia="Times New Roman" w:hAnsi="Times New Roman" w:cs="Times New Roman"/>
          <w:color w:val="303030"/>
          <w:kern w:val="0"/>
          <w:highlight w:val="white"/>
          <w:lang w:val="es-ES" w:eastAsia="es-ES"/>
          <w14:ligatures w14:val="none"/>
        </w:rPr>
        <w:lastRenderedPageBreak/>
        <w:t>experiencia en laboratorios" o espacios prácticos durante su paso por la secundaria (Fuente 1, Resumen Ejecutivo y Gráfico "Tipos de laboratorios o espacios prácticos").</w:t>
      </w:r>
    </w:p>
    <w:p w14:paraId="255CA74E" w14:textId="77777777" w:rsidR="00EB6234" w:rsidRPr="00EB6234" w:rsidRDefault="00EB6234" w:rsidP="00EB6234">
      <w:pPr>
        <w:spacing w:before="240" w:line="276" w:lineRule="auto"/>
        <w:jc w:val="both"/>
        <w:rPr>
          <w:rFonts w:ascii="Times New Roman" w:eastAsia="Times New Roman" w:hAnsi="Times New Roman" w:cs="Times New Roman"/>
          <w:color w:val="303030"/>
          <w:kern w:val="0"/>
          <w:lang w:val="es-ES" w:eastAsia="es-ES"/>
          <w14:ligatures w14:val="none"/>
        </w:rPr>
      </w:pPr>
      <w:r w:rsidRPr="00EB6234">
        <w:rPr>
          <w:rFonts w:ascii="Times New Roman" w:eastAsia="Times New Roman" w:hAnsi="Times New Roman" w:cs="Times New Roman"/>
          <w:color w:val="303030"/>
          <w:kern w:val="0"/>
          <w:lang w:val="es-ES" w:eastAsia="es-ES"/>
          <w14:ligatures w14:val="none"/>
        </w:rPr>
        <w:t>Uno de los hallazgos más destacados es la adopción masiva de herramientas de IA en las prácticas de estudio: el 72,4% de los encuestados declara utilizarlas. (Fuente 1, Resumen Ejecutivo y Gráfico "¿</w:t>
      </w:r>
      <w:proofErr w:type="spellStart"/>
      <w:r w:rsidRPr="00EB6234">
        <w:rPr>
          <w:rFonts w:ascii="Times New Roman" w:eastAsia="Times New Roman" w:hAnsi="Times New Roman" w:cs="Times New Roman"/>
          <w:color w:val="303030"/>
          <w:kern w:val="0"/>
          <w:lang w:val="es-ES" w:eastAsia="es-ES"/>
          <w14:ligatures w14:val="none"/>
        </w:rPr>
        <w:t>Utilizás</w:t>
      </w:r>
      <w:proofErr w:type="spellEnd"/>
      <w:r w:rsidRPr="00EB6234">
        <w:rPr>
          <w:rFonts w:ascii="Times New Roman" w:eastAsia="Times New Roman" w:hAnsi="Times New Roman" w:cs="Times New Roman"/>
          <w:color w:val="303030"/>
          <w:kern w:val="0"/>
          <w:lang w:val="es-ES" w:eastAsia="es-ES"/>
          <w14:ligatures w14:val="none"/>
        </w:rPr>
        <w:t xml:space="preserve"> herramientas de IA?").</w:t>
      </w:r>
    </w:p>
    <w:p w14:paraId="127D8EC7" w14:textId="4236019C" w:rsidR="00EB6234" w:rsidRPr="00EB6234" w:rsidRDefault="00EB6234" w:rsidP="00EB6234">
      <w:pPr>
        <w:spacing w:before="240" w:after="40" w:line="276" w:lineRule="auto"/>
        <w:rPr>
          <w:rFonts w:ascii="Times New Roman" w:eastAsia="Times New Roman" w:hAnsi="Times New Roman" w:cs="Times New Roman"/>
          <w:i/>
          <w:iCs/>
          <w:color w:val="303030"/>
          <w:kern w:val="0"/>
          <w:highlight w:val="white"/>
          <w:lang w:val="es-ES" w:eastAsia="es-ES"/>
          <w14:ligatures w14:val="none"/>
        </w:rPr>
      </w:pPr>
      <w:r w:rsidRPr="00EB6234">
        <w:rPr>
          <w:rFonts w:ascii="Times New Roman" w:eastAsia="Times New Roman" w:hAnsi="Times New Roman" w:cs="Times New Roman"/>
          <w:i/>
          <w:iCs/>
          <w:color w:val="303030"/>
          <w:kern w:val="0"/>
          <w:lang w:val="es-ES" w:eastAsia="es-ES"/>
          <w14:ligatures w14:val="none"/>
        </w:rPr>
        <w:t xml:space="preserve">Tabla 5: </w:t>
      </w:r>
      <w:r w:rsidRPr="00EB6234">
        <w:rPr>
          <w:rFonts w:ascii="Times New Roman" w:eastAsia="Times New Roman" w:hAnsi="Times New Roman" w:cs="Times New Roman"/>
          <w:i/>
          <w:iCs/>
          <w:color w:val="303030"/>
          <w:kern w:val="0"/>
          <w:highlight w:val="white"/>
          <w:lang w:val="es-ES" w:eastAsia="es-ES"/>
          <w14:ligatures w14:val="none"/>
        </w:rPr>
        <w:t xml:space="preserve">Herramientas de inteligencia artificial utilizadas </w:t>
      </w:r>
    </w:p>
    <w:tbl>
      <w:tblPr>
        <w:tblW w:w="9030" w:type="dxa"/>
        <w:tblInd w:w="-100" w:type="dxa"/>
        <w:tblBorders>
          <w:insideH w:val="nil"/>
          <w:insideV w:val="nil"/>
        </w:tblBorders>
        <w:tblLayout w:type="fixed"/>
        <w:tblLook w:val="0600" w:firstRow="0" w:lastRow="0" w:firstColumn="0" w:lastColumn="0" w:noHBand="1" w:noVBand="1"/>
      </w:tblPr>
      <w:tblGrid>
        <w:gridCol w:w="6495"/>
        <w:gridCol w:w="2535"/>
      </w:tblGrid>
      <w:tr w:rsidR="00EB6234" w:rsidRPr="00EB6234" w14:paraId="54782DDE" w14:textId="77777777" w:rsidTr="00EB6234">
        <w:trPr>
          <w:trHeight w:val="300"/>
        </w:trPr>
        <w:tc>
          <w:tcPr>
            <w:tcW w:w="6491" w:type="dxa"/>
            <w:tcBorders>
              <w:top w:val="single" w:sz="18" w:space="0" w:color="000000"/>
              <w:left w:val="nil"/>
              <w:bottom w:val="single" w:sz="6" w:space="0" w:color="000000"/>
              <w:right w:val="nil"/>
            </w:tcBorders>
            <w:tcMar>
              <w:top w:w="0" w:type="dxa"/>
              <w:left w:w="20" w:type="dxa"/>
              <w:bottom w:w="0" w:type="dxa"/>
              <w:right w:w="20" w:type="dxa"/>
            </w:tcMar>
            <w:hideMark/>
          </w:tcPr>
          <w:p w14:paraId="75DB29F7" w14:textId="77777777" w:rsidR="00EB6234" w:rsidRPr="00EB6234" w:rsidRDefault="00EB6234" w:rsidP="00EB6234">
            <w:pPr>
              <w:spacing w:before="240" w:after="40" w:line="276" w:lineRule="auto"/>
              <w:rPr>
                <w:rFonts w:ascii="Times New Roman" w:eastAsia="Times New Roman" w:hAnsi="Times New Roman" w:cs="Times New Roman"/>
                <w:b/>
                <w:bCs/>
                <w:color w:val="303030"/>
                <w:kern w:val="0"/>
                <w:sz w:val="20"/>
                <w:szCs w:val="20"/>
                <w:highlight w:val="white"/>
                <w:lang w:val="es-ES" w:eastAsia="es-ES"/>
                <w14:ligatures w14:val="none"/>
              </w:rPr>
            </w:pPr>
            <w:r w:rsidRPr="00EB6234">
              <w:rPr>
                <w:rFonts w:ascii="Times New Roman" w:eastAsia="Times New Roman" w:hAnsi="Times New Roman" w:cs="Times New Roman"/>
                <w:b/>
                <w:bCs/>
                <w:color w:val="303030"/>
                <w:kern w:val="0"/>
                <w:sz w:val="20"/>
                <w:szCs w:val="20"/>
                <w:highlight w:val="white"/>
                <w:lang w:val="es-ES" w:eastAsia="es-ES"/>
                <w14:ligatures w14:val="none"/>
              </w:rPr>
              <w:t>Herramienta</w:t>
            </w:r>
          </w:p>
        </w:tc>
        <w:tc>
          <w:tcPr>
            <w:tcW w:w="2533" w:type="dxa"/>
            <w:tcBorders>
              <w:top w:val="single" w:sz="18" w:space="0" w:color="000000"/>
              <w:left w:val="nil"/>
              <w:bottom w:val="single" w:sz="6" w:space="0" w:color="000000"/>
              <w:right w:val="nil"/>
            </w:tcBorders>
            <w:tcMar>
              <w:top w:w="0" w:type="dxa"/>
              <w:left w:w="20" w:type="dxa"/>
              <w:bottom w:w="0" w:type="dxa"/>
              <w:right w:w="20" w:type="dxa"/>
            </w:tcMar>
            <w:hideMark/>
          </w:tcPr>
          <w:p w14:paraId="73E5DDBA" w14:textId="77777777" w:rsidR="00EB6234" w:rsidRPr="00EB6234" w:rsidRDefault="00EB6234" w:rsidP="00EB6234">
            <w:pPr>
              <w:spacing w:before="240" w:after="40" w:line="276" w:lineRule="auto"/>
              <w:jc w:val="right"/>
              <w:rPr>
                <w:rFonts w:ascii="Times New Roman" w:eastAsia="Times New Roman" w:hAnsi="Times New Roman" w:cs="Times New Roman"/>
                <w:b/>
                <w:bCs/>
                <w:color w:val="303030"/>
                <w:kern w:val="0"/>
                <w:sz w:val="20"/>
                <w:szCs w:val="20"/>
                <w:highlight w:val="white"/>
                <w:lang w:val="es-ES" w:eastAsia="es-ES"/>
                <w14:ligatures w14:val="none"/>
              </w:rPr>
            </w:pPr>
            <w:r w:rsidRPr="00EB6234">
              <w:rPr>
                <w:rFonts w:ascii="Times New Roman" w:eastAsia="Times New Roman" w:hAnsi="Times New Roman" w:cs="Times New Roman"/>
                <w:b/>
                <w:bCs/>
                <w:color w:val="303030"/>
                <w:kern w:val="0"/>
                <w:sz w:val="20"/>
                <w:szCs w:val="20"/>
                <w:highlight w:val="white"/>
                <w:lang w:val="es-ES" w:eastAsia="es-ES"/>
                <w14:ligatures w14:val="none"/>
              </w:rPr>
              <w:t>%</w:t>
            </w:r>
          </w:p>
        </w:tc>
      </w:tr>
      <w:tr w:rsidR="00EB6234" w:rsidRPr="00EB6234" w14:paraId="0E1E6F26" w14:textId="77777777" w:rsidTr="00EB6234">
        <w:trPr>
          <w:trHeight w:val="270"/>
        </w:trPr>
        <w:tc>
          <w:tcPr>
            <w:tcW w:w="6491" w:type="dxa"/>
            <w:tcBorders>
              <w:top w:val="single" w:sz="6" w:space="0" w:color="000000"/>
              <w:left w:val="nil"/>
              <w:bottom w:val="nil"/>
              <w:right w:val="nil"/>
            </w:tcBorders>
            <w:tcMar>
              <w:top w:w="0" w:type="dxa"/>
              <w:left w:w="20" w:type="dxa"/>
              <w:bottom w:w="0" w:type="dxa"/>
              <w:right w:w="20" w:type="dxa"/>
            </w:tcMar>
            <w:hideMark/>
          </w:tcPr>
          <w:p w14:paraId="21847CE2" w14:textId="77777777" w:rsidR="00EB6234" w:rsidRPr="00EB6234" w:rsidRDefault="00EB6234" w:rsidP="00EB6234">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proofErr w:type="spellStart"/>
            <w:r w:rsidRPr="00EB6234">
              <w:rPr>
                <w:rFonts w:ascii="Times New Roman" w:eastAsia="Times New Roman" w:hAnsi="Times New Roman" w:cs="Times New Roman"/>
                <w:color w:val="303030"/>
                <w:kern w:val="0"/>
                <w:sz w:val="20"/>
                <w:szCs w:val="20"/>
                <w:highlight w:val="white"/>
                <w:lang w:val="es-ES" w:eastAsia="es-ES"/>
                <w14:ligatures w14:val="none"/>
              </w:rPr>
              <w:t>ChatGPT</w:t>
            </w:r>
            <w:proofErr w:type="spellEnd"/>
            <w:r w:rsidRPr="00EB6234">
              <w:rPr>
                <w:rFonts w:ascii="Times New Roman" w:eastAsia="Times New Roman" w:hAnsi="Times New Roman" w:cs="Times New Roman"/>
                <w:color w:val="303030"/>
                <w:kern w:val="0"/>
                <w:sz w:val="20"/>
                <w:szCs w:val="20"/>
                <w:highlight w:val="white"/>
                <w:lang w:val="es-ES" w:eastAsia="es-ES"/>
                <w14:ligatures w14:val="none"/>
              </w:rPr>
              <w:t xml:space="preserve"> (</w:t>
            </w:r>
            <w:proofErr w:type="spellStart"/>
            <w:r w:rsidRPr="00EB6234">
              <w:rPr>
                <w:rFonts w:ascii="Times New Roman" w:eastAsia="Times New Roman" w:hAnsi="Times New Roman" w:cs="Times New Roman"/>
                <w:color w:val="303030"/>
                <w:kern w:val="0"/>
                <w:sz w:val="20"/>
                <w:szCs w:val="20"/>
                <w:highlight w:val="white"/>
                <w:lang w:val="es-ES" w:eastAsia="es-ES"/>
                <w14:ligatures w14:val="none"/>
              </w:rPr>
              <w:t>OpenAI</w:t>
            </w:r>
            <w:proofErr w:type="spellEnd"/>
            <w:r w:rsidRPr="00EB6234">
              <w:rPr>
                <w:rFonts w:ascii="Times New Roman" w:eastAsia="Times New Roman" w:hAnsi="Times New Roman" w:cs="Times New Roman"/>
                <w:color w:val="303030"/>
                <w:kern w:val="0"/>
                <w:sz w:val="20"/>
                <w:szCs w:val="20"/>
                <w:highlight w:val="white"/>
                <w:lang w:val="es-ES" w:eastAsia="es-ES"/>
                <w14:ligatures w14:val="none"/>
              </w:rPr>
              <w:t>)</w:t>
            </w:r>
          </w:p>
        </w:tc>
        <w:tc>
          <w:tcPr>
            <w:tcW w:w="2533" w:type="dxa"/>
            <w:tcBorders>
              <w:top w:val="single" w:sz="6" w:space="0" w:color="000000"/>
              <w:left w:val="nil"/>
              <w:bottom w:val="nil"/>
              <w:right w:val="nil"/>
            </w:tcBorders>
            <w:tcMar>
              <w:top w:w="0" w:type="dxa"/>
              <w:left w:w="20" w:type="dxa"/>
              <w:bottom w:w="0" w:type="dxa"/>
              <w:right w:w="20" w:type="dxa"/>
            </w:tcMar>
            <w:hideMark/>
          </w:tcPr>
          <w:p w14:paraId="72B7BEC5" w14:textId="77777777" w:rsidR="00EB6234" w:rsidRPr="00EB6234" w:rsidRDefault="00EB6234" w:rsidP="00EB6234">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53,4</w:t>
            </w:r>
          </w:p>
        </w:tc>
      </w:tr>
      <w:tr w:rsidR="00EB6234" w:rsidRPr="00EB6234" w14:paraId="6BBD9AE1" w14:textId="77777777" w:rsidTr="00EB6234">
        <w:trPr>
          <w:trHeight w:val="270"/>
        </w:trPr>
        <w:tc>
          <w:tcPr>
            <w:tcW w:w="6491" w:type="dxa"/>
            <w:tcBorders>
              <w:top w:val="nil"/>
              <w:left w:val="nil"/>
              <w:bottom w:val="nil"/>
              <w:right w:val="nil"/>
            </w:tcBorders>
            <w:tcMar>
              <w:top w:w="0" w:type="dxa"/>
              <w:left w:w="20" w:type="dxa"/>
              <w:bottom w:w="0" w:type="dxa"/>
              <w:right w:w="20" w:type="dxa"/>
            </w:tcMar>
            <w:hideMark/>
          </w:tcPr>
          <w:p w14:paraId="409AC7B7" w14:textId="77777777" w:rsidR="00EB6234" w:rsidRPr="00EB6234" w:rsidRDefault="00EB6234" w:rsidP="00EB6234">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Gemini (Google)</w:t>
            </w:r>
          </w:p>
        </w:tc>
        <w:tc>
          <w:tcPr>
            <w:tcW w:w="2533" w:type="dxa"/>
            <w:tcBorders>
              <w:top w:val="nil"/>
              <w:left w:val="nil"/>
              <w:bottom w:val="nil"/>
              <w:right w:val="nil"/>
            </w:tcBorders>
            <w:tcMar>
              <w:top w:w="0" w:type="dxa"/>
              <w:left w:w="20" w:type="dxa"/>
              <w:bottom w:w="0" w:type="dxa"/>
              <w:right w:w="20" w:type="dxa"/>
            </w:tcMar>
            <w:hideMark/>
          </w:tcPr>
          <w:p w14:paraId="0CEC9931" w14:textId="77777777" w:rsidR="00EB6234" w:rsidRPr="00EB6234" w:rsidRDefault="00EB6234" w:rsidP="00EB6234">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26,9</w:t>
            </w:r>
          </w:p>
        </w:tc>
      </w:tr>
      <w:tr w:rsidR="00EB6234" w:rsidRPr="00EB6234" w14:paraId="172D0622" w14:textId="77777777" w:rsidTr="00EB6234">
        <w:trPr>
          <w:trHeight w:val="270"/>
        </w:trPr>
        <w:tc>
          <w:tcPr>
            <w:tcW w:w="6491" w:type="dxa"/>
            <w:tcBorders>
              <w:top w:val="nil"/>
              <w:left w:val="nil"/>
              <w:bottom w:val="nil"/>
              <w:right w:val="nil"/>
            </w:tcBorders>
            <w:tcMar>
              <w:top w:w="0" w:type="dxa"/>
              <w:left w:w="20" w:type="dxa"/>
              <w:bottom w:w="0" w:type="dxa"/>
              <w:right w:w="20" w:type="dxa"/>
            </w:tcMar>
            <w:hideMark/>
          </w:tcPr>
          <w:p w14:paraId="63EB9EC6" w14:textId="77777777" w:rsidR="00EB6234" w:rsidRPr="00EB6234" w:rsidRDefault="00EB6234" w:rsidP="00EB6234">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 xml:space="preserve">Google Notebook / </w:t>
            </w:r>
            <w:proofErr w:type="spellStart"/>
            <w:r w:rsidRPr="00EB6234">
              <w:rPr>
                <w:rFonts w:ascii="Times New Roman" w:eastAsia="Times New Roman" w:hAnsi="Times New Roman" w:cs="Times New Roman"/>
                <w:color w:val="303030"/>
                <w:kern w:val="0"/>
                <w:sz w:val="20"/>
                <w:szCs w:val="20"/>
                <w:highlight w:val="white"/>
                <w:lang w:val="es-ES" w:eastAsia="es-ES"/>
                <w14:ligatures w14:val="none"/>
              </w:rPr>
              <w:t>Bard</w:t>
            </w:r>
            <w:proofErr w:type="spellEnd"/>
          </w:p>
        </w:tc>
        <w:tc>
          <w:tcPr>
            <w:tcW w:w="2533" w:type="dxa"/>
            <w:tcBorders>
              <w:top w:val="nil"/>
              <w:left w:val="nil"/>
              <w:bottom w:val="nil"/>
              <w:right w:val="nil"/>
            </w:tcBorders>
            <w:tcMar>
              <w:top w:w="0" w:type="dxa"/>
              <w:left w:w="20" w:type="dxa"/>
              <w:bottom w:w="0" w:type="dxa"/>
              <w:right w:w="20" w:type="dxa"/>
            </w:tcMar>
            <w:hideMark/>
          </w:tcPr>
          <w:p w14:paraId="613707A4" w14:textId="77777777" w:rsidR="00EB6234" w:rsidRPr="00EB6234" w:rsidRDefault="00EB6234" w:rsidP="00EB6234">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12,2</w:t>
            </w:r>
          </w:p>
        </w:tc>
      </w:tr>
      <w:tr w:rsidR="00EB6234" w:rsidRPr="00EB6234" w14:paraId="0BE002CD" w14:textId="77777777" w:rsidTr="00EB6234">
        <w:trPr>
          <w:trHeight w:val="270"/>
        </w:trPr>
        <w:tc>
          <w:tcPr>
            <w:tcW w:w="6491" w:type="dxa"/>
            <w:tcBorders>
              <w:top w:val="nil"/>
              <w:left w:val="nil"/>
              <w:bottom w:val="nil"/>
              <w:right w:val="nil"/>
            </w:tcBorders>
            <w:tcMar>
              <w:top w:w="0" w:type="dxa"/>
              <w:left w:w="20" w:type="dxa"/>
              <w:bottom w:w="0" w:type="dxa"/>
              <w:right w:w="20" w:type="dxa"/>
            </w:tcMar>
            <w:hideMark/>
          </w:tcPr>
          <w:p w14:paraId="3550FAE1" w14:textId="77777777" w:rsidR="00EB6234" w:rsidRPr="00EB6234" w:rsidRDefault="00EB6234" w:rsidP="00EB6234">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Otras herramientas</w:t>
            </w:r>
          </w:p>
        </w:tc>
        <w:tc>
          <w:tcPr>
            <w:tcW w:w="2533" w:type="dxa"/>
            <w:tcBorders>
              <w:top w:val="nil"/>
              <w:left w:val="nil"/>
              <w:bottom w:val="nil"/>
              <w:right w:val="nil"/>
            </w:tcBorders>
            <w:tcMar>
              <w:top w:w="0" w:type="dxa"/>
              <w:left w:w="20" w:type="dxa"/>
              <w:bottom w:w="0" w:type="dxa"/>
              <w:right w:w="20" w:type="dxa"/>
            </w:tcMar>
            <w:hideMark/>
          </w:tcPr>
          <w:p w14:paraId="7EB549E0" w14:textId="77777777" w:rsidR="00EB6234" w:rsidRPr="00EB6234" w:rsidRDefault="00EB6234" w:rsidP="00EB6234">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EB6234">
              <w:rPr>
                <w:rFonts w:ascii="Times New Roman" w:eastAsia="Times New Roman" w:hAnsi="Times New Roman" w:cs="Times New Roman"/>
                <w:color w:val="303030"/>
                <w:kern w:val="0"/>
                <w:sz w:val="20"/>
                <w:szCs w:val="20"/>
                <w:highlight w:val="white"/>
                <w:lang w:val="es-ES" w:eastAsia="es-ES"/>
                <w14:ligatures w14:val="none"/>
              </w:rPr>
              <w:t>7,5</w:t>
            </w:r>
          </w:p>
        </w:tc>
      </w:tr>
      <w:tr w:rsidR="00EB6234" w:rsidRPr="00EB6234" w14:paraId="36C100DA" w14:textId="77777777" w:rsidTr="00EB6234">
        <w:trPr>
          <w:trHeight w:val="345"/>
        </w:trPr>
        <w:tc>
          <w:tcPr>
            <w:tcW w:w="6491" w:type="dxa"/>
            <w:tcBorders>
              <w:top w:val="nil"/>
              <w:left w:val="nil"/>
              <w:bottom w:val="single" w:sz="18" w:space="0" w:color="000000"/>
              <w:right w:val="nil"/>
            </w:tcBorders>
            <w:tcMar>
              <w:top w:w="0" w:type="dxa"/>
              <w:left w:w="20" w:type="dxa"/>
              <w:bottom w:w="0" w:type="dxa"/>
              <w:right w:w="20" w:type="dxa"/>
            </w:tcMar>
            <w:hideMark/>
          </w:tcPr>
          <w:p w14:paraId="2BD81FA8" w14:textId="77777777" w:rsidR="00EB6234" w:rsidRPr="00EB6234" w:rsidRDefault="00EB6234" w:rsidP="00EB6234">
            <w:pPr>
              <w:spacing w:before="240" w:after="40" w:line="276" w:lineRule="auto"/>
              <w:rPr>
                <w:rFonts w:ascii="Times New Roman" w:eastAsia="Times New Roman" w:hAnsi="Times New Roman" w:cs="Times New Roman"/>
                <w:color w:val="303030"/>
                <w:kern w:val="0"/>
                <w:highlight w:val="white"/>
                <w:lang w:val="es-ES" w:eastAsia="es-ES"/>
                <w14:ligatures w14:val="none"/>
              </w:rPr>
            </w:pPr>
            <w:r w:rsidRPr="00EB6234">
              <w:rPr>
                <w:rFonts w:ascii="Times New Roman" w:eastAsia="Times New Roman" w:hAnsi="Times New Roman" w:cs="Times New Roman"/>
                <w:color w:val="303030"/>
                <w:kern w:val="0"/>
                <w:highlight w:val="white"/>
                <w:lang w:val="es-ES" w:eastAsia="es-ES"/>
                <w14:ligatures w14:val="none"/>
              </w:rPr>
              <w:t xml:space="preserve"> </w:t>
            </w:r>
          </w:p>
        </w:tc>
        <w:tc>
          <w:tcPr>
            <w:tcW w:w="2533" w:type="dxa"/>
            <w:tcBorders>
              <w:top w:val="nil"/>
              <w:left w:val="nil"/>
              <w:bottom w:val="single" w:sz="18" w:space="0" w:color="000000"/>
              <w:right w:val="nil"/>
            </w:tcBorders>
            <w:tcMar>
              <w:top w:w="0" w:type="dxa"/>
              <w:left w:w="20" w:type="dxa"/>
              <w:bottom w:w="0" w:type="dxa"/>
              <w:right w:w="20" w:type="dxa"/>
            </w:tcMar>
            <w:hideMark/>
          </w:tcPr>
          <w:p w14:paraId="1D4337D1" w14:textId="77777777" w:rsidR="00EB6234" w:rsidRPr="00EB6234" w:rsidRDefault="00EB6234" w:rsidP="00EB6234">
            <w:pPr>
              <w:spacing w:before="240" w:after="40" w:line="276" w:lineRule="auto"/>
              <w:jc w:val="right"/>
              <w:rPr>
                <w:rFonts w:ascii="Times New Roman" w:eastAsia="Times New Roman" w:hAnsi="Times New Roman" w:cs="Times New Roman"/>
                <w:color w:val="303030"/>
                <w:kern w:val="0"/>
                <w:highlight w:val="white"/>
                <w:lang w:val="es-ES" w:eastAsia="es-ES"/>
                <w14:ligatures w14:val="none"/>
              </w:rPr>
            </w:pPr>
            <w:r w:rsidRPr="00EB6234">
              <w:rPr>
                <w:rFonts w:ascii="Times New Roman" w:eastAsia="Times New Roman" w:hAnsi="Times New Roman" w:cs="Times New Roman"/>
                <w:color w:val="303030"/>
                <w:kern w:val="0"/>
                <w:highlight w:val="white"/>
                <w:lang w:val="es-ES" w:eastAsia="es-ES"/>
                <w14:ligatures w14:val="none"/>
              </w:rPr>
              <w:t xml:space="preserve"> </w:t>
            </w:r>
          </w:p>
        </w:tc>
      </w:tr>
    </w:tbl>
    <w:p w14:paraId="60EB4DE5" w14:textId="77777777" w:rsidR="00EB6234" w:rsidRPr="00EB6234" w:rsidRDefault="00EB6234" w:rsidP="00EB6234">
      <w:pPr>
        <w:spacing w:after="0" w:line="240" w:lineRule="auto"/>
        <w:rPr>
          <w:rFonts w:ascii="Arial" w:eastAsia="Arial" w:hAnsi="Arial" w:cs="Arial"/>
          <w:kern w:val="0"/>
          <w:sz w:val="22"/>
          <w:szCs w:val="22"/>
          <w:lang w:val="es-ES" w:eastAsia="es-ES"/>
          <w14:ligatures w14:val="none"/>
        </w:rPr>
      </w:pPr>
      <w:r w:rsidRPr="00EB6234">
        <w:rPr>
          <w:rFonts w:ascii="Times New Roman" w:eastAsia="Times New Roman" w:hAnsi="Times New Roman" w:cs="Times New Roman"/>
          <w:iCs/>
          <w:kern w:val="0"/>
          <w:highlight w:val="white"/>
          <w:lang w:val="es-ES" w:eastAsia="es-ES"/>
          <w14:ligatures w14:val="none"/>
        </w:rPr>
        <w:t>Fuente: Encuesta IMPULSA CBC, dic. 2025, n=210</w:t>
      </w:r>
      <w:r w:rsidRPr="00EB6234">
        <w:rPr>
          <w:rFonts w:ascii="Arial" w:eastAsia="Arial" w:hAnsi="Arial" w:cs="Arial"/>
          <w:kern w:val="0"/>
          <w:sz w:val="22"/>
          <w:szCs w:val="22"/>
          <w:lang w:val="es-ES" w:eastAsia="es-ES"/>
          <w14:ligatures w14:val="none"/>
        </w:rPr>
        <w:t xml:space="preserve"> </w:t>
      </w:r>
    </w:p>
    <w:p w14:paraId="254A8051" w14:textId="2419DE08" w:rsidR="00EB6234" w:rsidRPr="00EB6234" w:rsidRDefault="00EB6234" w:rsidP="00EB6234">
      <w:pPr>
        <w:spacing w:after="0" w:line="240" w:lineRule="auto"/>
        <w:rPr>
          <w:rFonts w:ascii="Times New Roman" w:eastAsia="Times New Roman" w:hAnsi="Times New Roman" w:cs="Times New Roman"/>
          <w:i/>
          <w:iCs/>
          <w:kern w:val="0"/>
          <w:highlight w:val="white"/>
          <w:lang w:val="es-ES" w:eastAsia="es-ES"/>
          <w14:ligatures w14:val="none"/>
        </w:rPr>
      </w:pPr>
      <w:r w:rsidRPr="00EB6234">
        <w:rPr>
          <w:rFonts w:ascii="Times New Roman" w:eastAsia="Arial" w:hAnsi="Times New Roman" w:cs="Times New Roman"/>
          <w:i/>
          <w:kern w:val="0"/>
          <w:lang w:val="es-ES" w:eastAsia="es-ES"/>
          <w14:ligatures w14:val="none"/>
        </w:rPr>
        <w:t xml:space="preserve">Nota: </w:t>
      </w:r>
      <w:r w:rsidRPr="00EB6234">
        <w:rPr>
          <w:rFonts w:ascii="Times New Roman" w:eastAsia="Times New Roman" w:hAnsi="Times New Roman" w:cs="Times New Roman"/>
          <w:i/>
          <w:iCs/>
          <w:kern w:val="0"/>
          <w:lang w:val="es-ES" w:eastAsia="es-ES"/>
          <w14:ligatures w14:val="none"/>
        </w:rPr>
        <w:t>Cálculo realizado sobre el 72,4% que declara usarlas.</w:t>
      </w:r>
    </w:p>
    <w:p w14:paraId="4F65762F" w14:textId="77777777" w:rsidR="00EB6234" w:rsidRPr="00EB6234" w:rsidRDefault="00EB6234" w:rsidP="00EB6234">
      <w:pPr>
        <w:spacing w:before="240" w:line="276" w:lineRule="auto"/>
        <w:jc w:val="both"/>
        <w:rPr>
          <w:rFonts w:ascii="Times New Roman" w:eastAsia="Times New Roman" w:hAnsi="Times New Roman" w:cs="Times New Roman"/>
          <w:kern w:val="0"/>
          <w:highlight w:val="white"/>
          <w:lang w:val="es-ES" w:eastAsia="es-ES"/>
          <w14:ligatures w14:val="none"/>
        </w:rPr>
      </w:pPr>
      <w:r w:rsidRPr="00EB6234">
        <w:rPr>
          <w:rFonts w:ascii="Times New Roman" w:eastAsia="Times New Roman" w:hAnsi="Times New Roman" w:cs="Times New Roman"/>
          <w:color w:val="303030"/>
          <w:kern w:val="0"/>
          <w:highlight w:val="white"/>
          <w:lang w:val="es-ES" w:eastAsia="es-ES"/>
          <w14:ligatures w14:val="none"/>
        </w:rPr>
        <w:t xml:space="preserve">La evidencia cualitativa muestra cómo los estudiantes integran la IA en sus rutinas: para “alguna </w:t>
      </w:r>
      <w:r w:rsidRPr="00EB6234">
        <w:rPr>
          <w:rFonts w:ascii="Times New Roman" w:eastAsia="Times New Roman" w:hAnsi="Times New Roman" w:cs="Times New Roman"/>
          <w:kern w:val="0"/>
          <w:highlight w:val="white"/>
          <w:lang w:val="es-ES" w:eastAsia="es-ES"/>
          <w14:ligatures w14:val="none"/>
        </w:rPr>
        <w:t xml:space="preserve">consulta rápida” o para visualizar “cómo se resuelven los problemas” (Entrevistado A). Desde la perspectiva de </w:t>
      </w:r>
      <w:proofErr w:type="spellStart"/>
      <w:r w:rsidRPr="00EB6234">
        <w:rPr>
          <w:rFonts w:ascii="Times New Roman" w:eastAsia="Times New Roman" w:hAnsi="Times New Roman" w:cs="Times New Roman"/>
          <w:kern w:val="0"/>
          <w:highlight w:val="white"/>
          <w:lang w:val="es-ES" w:eastAsia="es-ES"/>
          <w14:ligatures w14:val="none"/>
        </w:rPr>
        <w:t>Litwin</w:t>
      </w:r>
      <w:proofErr w:type="spellEnd"/>
      <w:r w:rsidRPr="00EB6234">
        <w:rPr>
          <w:rFonts w:ascii="Times New Roman" w:eastAsia="Times New Roman" w:hAnsi="Times New Roman" w:cs="Times New Roman"/>
          <w:kern w:val="0"/>
          <w:highlight w:val="white"/>
          <w:lang w:val="es-ES" w:eastAsia="es-ES"/>
          <w14:ligatures w14:val="none"/>
        </w:rPr>
        <w:t xml:space="preserve"> (2008), cuando los estudiantes recurren a </w:t>
      </w:r>
      <w:proofErr w:type="spellStart"/>
      <w:r w:rsidRPr="00EB6234">
        <w:rPr>
          <w:rFonts w:ascii="Times New Roman" w:eastAsia="Times New Roman" w:hAnsi="Times New Roman" w:cs="Times New Roman"/>
          <w:kern w:val="0"/>
          <w:highlight w:val="white"/>
          <w:lang w:val="es-ES" w:eastAsia="es-ES"/>
          <w14:ligatures w14:val="none"/>
        </w:rPr>
        <w:t>ChatGPT</w:t>
      </w:r>
      <w:proofErr w:type="spellEnd"/>
      <w:r w:rsidRPr="00EB6234">
        <w:rPr>
          <w:rFonts w:ascii="Times New Roman" w:eastAsia="Times New Roman" w:hAnsi="Times New Roman" w:cs="Times New Roman"/>
          <w:kern w:val="0"/>
          <w:highlight w:val="white"/>
          <w:lang w:val="es-ES" w:eastAsia="es-ES"/>
          <w14:ligatures w14:val="none"/>
        </w:rPr>
        <w:t xml:space="preserve"> para obtener una explicación inmediata, están supliendo con tecnología la ausencia del tipo de acompañamiento pedagógico que la buena docencia universitaria debería proveer. La IA no reemplaza al docente: lo sustituye precariamente cuando éste no está disponible o no ofrece los andamiajes necesarios.</w:t>
      </w:r>
    </w:p>
    <w:p w14:paraId="4D4EC3DB" w14:textId="77777777" w:rsidR="00EB6234" w:rsidRPr="00AE122A" w:rsidRDefault="00EB6234" w:rsidP="0035142F">
      <w:pPr>
        <w:spacing w:after="0" w:line="276" w:lineRule="auto"/>
        <w:jc w:val="both"/>
        <w:rPr>
          <w:rFonts w:ascii="Times New Roman" w:eastAsia="Times New Roman" w:hAnsi="Times New Roman" w:cs="Times New Roman"/>
          <w:kern w:val="0"/>
          <w:highlight w:val="white"/>
          <w:lang w:val="es-ES" w:eastAsia="es-ES"/>
          <w14:ligatures w14:val="none"/>
        </w:rPr>
      </w:pPr>
      <w:r w:rsidRPr="00AE122A">
        <w:rPr>
          <w:rFonts w:ascii="Times New Roman" w:eastAsia="Times New Roman" w:hAnsi="Times New Roman" w:cs="Times New Roman"/>
          <w:kern w:val="0"/>
          <w:highlight w:val="white"/>
          <w:lang w:val="es-ES" w:eastAsia="es-ES"/>
          <w14:ligatures w14:val="none"/>
        </w:rPr>
        <w:t xml:space="preserve">La experiencia en las sedes físicas del CBC es mayoritariamente evaluada como positiva, y los estudiantes valoran de forma significativa la asistencia a clases presenciales como un medio para aprender y comprender mejor los contenidos (Fuente 1, Resumen Ejecutivo). </w:t>
      </w:r>
    </w:p>
    <w:p w14:paraId="61BC9953" w14:textId="77777777" w:rsidR="00EB6234" w:rsidRPr="00AE122A" w:rsidRDefault="00EB6234" w:rsidP="0035142F">
      <w:pPr>
        <w:spacing w:after="0" w:line="276" w:lineRule="auto"/>
        <w:jc w:val="both"/>
        <w:rPr>
          <w:rFonts w:ascii="Times New Roman" w:eastAsia="Times New Roman" w:hAnsi="Times New Roman" w:cs="Times New Roman"/>
          <w:i/>
          <w:iCs/>
          <w:kern w:val="0"/>
          <w:highlight w:val="white"/>
          <w:lang w:val="es-ES" w:eastAsia="es-ES"/>
          <w14:ligatures w14:val="none"/>
        </w:rPr>
      </w:pPr>
      <w:r w:rsidRPr="00AE122A">
        <w:rPr>
          <w:rFonts w:ascii="Times New Roman" w:eastAsia="Times New Roman" w:hAnsi="Times New Roman" w:cs="Times New Roman"/>
          <w:kern w:val="0"/>
          <w:highlight w:val="white"/>
          <w:lang w:val="es-ES" w:eastAsia="es-ES"/>
          <w14:ligatures w14:val="none"/>
        </w:rPr>
        <w:t xml:space="preserve">En contraste, la percepción sobre la modalidad a distancia (UBA XXI) muestra áreas claras de mejora. El principal aspecto a optimizar, según el </w:t>
      </w:r>
      <w:r w:rsidRPr="00AE122A">
        <w:rPr>
          <w:rFonts w:ascii="Times New Roman" w:eastAsia="Times New Roman" w:hAnsi="Times New Roman" w:cs="Times New Roman"/>
          <w:b/>
          <w:bCs/>
          <w:kern w:val="0"/>
          <w:highlight w:val="white"/>
          <w:lang w:val="es-ES" w:eastAsia="es-ES"/>
          <w14:ligatures w14:val="none"/>
        </w:rPr>
        <w:t>50,0%</w:t>
      </w:r>
      <w:r w:rsidRPr="00AE122A">
        <w:rPr>
          <w:rFonts w:ascii="Times New Roman" w:eastAsia="Times New Roman" w:hAnsi="Times New Roman" w:cs="Times New Roman"/>
          <w:kern w:val="0"/>
          <w:highlight w:val="white"/>
          <w:lang w:val="es-ES" w:eastAsia="es-ES"/>
          <w14:ligatures w14:val="none"/>
        </w:rPr>
        <w:t xml:space="preserve"> de los usuarios de esta modalidad, es la falta de explicación en las tutorías. En segundo lugar, un </w:t>
      </w:r>
      <w:r w:rsidRPr="00AE122A">
        <w:rPr>
          <w:rFonts w:ascii="Times New Roman" w:eastAsia="Times New Roman" w:hAnsi="Times New Roman" w:cs="Times New Roman"/>
          <w:b/>
          <w:bCs/>
          <w:kern w:val="0"/>
          <w:highlight w:val="white"/>
          <w:lang w:val="es-ES" w:eastAsia="es-ES"/>
          <w14:ligatures w14:val="none"/>
        </w:rPr>
        <w:t>14,3%</w:t>
      </w:r>
      <w:r w:rsidRPr="00AE122A">
        <w:rPr>
          <w:rFonts w:ascii="Times New Roman" w:eastAsia="Times New Roman" w:hAnsi="Times New Roman" w:cs="Times New Roman"/>
          <w:kern w:val="0"/>
          <w:highlight w:val="white"/>
          <w:lang w:val="es-ES" w:eastAsia="es-ES"/>
          <w14:ligatures w14:val="none"/>
        </w:rPr>
        <w:t xml:space="preserve"> señala la necesidad de más clases de consulta virtuales sincrónicas (Fuente 1, Gráfico "¿Qué aspectos del entorno virtual podrían mejorarse?").</w:t>
      </w:r>
    </w:p>
    <w:p w14:paraId="08E94966" w14:textId="77777777" w:rsidR="00AE122A" w:rsidRDefault="00AE122A" w:rsidP="0035142F">
      <w:pPr>
        <w:spacing w:before="240" w:after="40" w:line="276" w:lineRule="auto"/>
        <w:rPr>
          <w:rFonts w:ascii="Times New Roman" w:hAnsi="Times New Roman" w:cs="Times New Roman"/>
          <w:b/>
          <w:bCs/>
        </w:rPr>
      </w:pPr>
    </w:p>
    <w:p w14:paraId="0EBAAE32" w14:textId="5C085E07" w:rsidR="0035142F" w:rsidRPr="0035142F" w:rsidRDefault="0035142F" w:rsidP="0035142F">
      <w:pPr>
        <w:spacing w:before="240" w:after="40" w:line="276" w:lineRule="auto"/>
        <w:rPr>
          <w:rFonts w:ascii="Times New Roman" w:eastAsia="Times New Roman" w:hAnsi="Times New Roman" w:cs="Times New Roman"/>
          <w:i/>
          <w:iCs/>
          <w:color w:val="303030"/>
          <w:kern w:val="0"/>
          <w:highlight w:val="white"/>
          <w:lang w:val="es-ES" w:eastAsia="es-ES"/>
          <w14:ligatures w14:val="none"/>
        </w:rPr>
      </w:pPr>
      <w:r w:rsidRPr="0035142F">
        <w:rPr>
          <w:rFonts w:ascii="Times New Roman" w:eastAsia="Times New Roman" w:hAnsi="Times New Roman" w:cs="Times New Roman"/>
          <w:i/>
          <w:iCs/>
          <w:color w:val="303030"/>
          <w:kern w:val="0"/>
          <w:lang w:val="es-ES" w:eastAsia="es-ES"/>
          <w14:ligatures w14:val="none"/>
        </w:rPr>
        <w:lastRenderedPageBreak/>
        <w:t xml:space="preserve">Tabla 6. </w:t>
      </w:r>
      <w:r w:rsidRPr="0035142F">
        <w:rPr>
          <w:rFonts w:ascii="Times New Roman" w:eastAsia="Times New Roman" w:hAnsi="Times New Roman" w:cs="Times New Roman"/>
          <w:i/>
          <w:iCs/>
          <w:color w:val="303030"/>
          <w:kern w:val="0"/>
          <w:highlight w:val="white"/>
          <w:lang w:val="es-ES" w:eastAsia="es-ES"/>
          <w14:ligatures w14:val="none"/>
        </w:rPr>
        <w:t>Aspectos de UBA XXI que deberían mejorar según los estudiantes</w:t>
      </w:r>
    </w:p>
    <w:tbl>
      <w:tblPr>
        <w:tblW w:w="9030" w:type="dxa"/>
        <w:tblInd w:w="-100" w:type="dxa"/>
        <w:tblBorders>
          <w:insideH w:val="nil"/>
          <w:insideV w:val="nil"/>
        </w:tblBorders>
        <w:tblLayout w:type="fixed"/>
        <w:tblLook w:val="0600" w:firstRow="0" w:lastRow="0" w:firstColumn="0" w:lastColumn="0" w:noHBand="1" w:noVBand="1"/>
      </w:tblPr>
      <w:tblGrid>
        <w:gridCol w:w="6495"/>
        <w:gridCol w:w="2535"/>
      </w:tblGrid>
      <w:tr w:rsidR="0035142F" w:rsidRPr="0035142F" w14:paraId="41D1A4A3" w14:textId="77777777" w:rsidTr="0035142F">
        <w:trPr>
          <w:trHeight w:val="300"/>
        </w:trPr>
        <w:tc>
          <w:tcPr>
            <w:tcW w:w="6491" w:type="dxa"/>
            <w:tcBorders>
              <w:top w:val="single" w:sz="18" w:space="0" w:color="000000"/>
              <w:left w:val="nil"/>
              <w:bottom w:val="single" w:sz="6" w:space="0" w:color="000000"/>
              <w:right w:val="nil"/>
            </w:tcBorders>
            <w:tcMar>
              <w:top w:w="0" w:type="dxa"/>
              <w:left w:w="20" w:type="dxa"/>
              <w:bottom w:w="0" w:type="dxa"/>
              <w:right w:w="20" w:type="dxa"/>
            </w:tcMar>
            <w:hideMark/>
          </w:tcPr>
          <w:p w14:paraId="2AB97EF2" w14:textId="77777777" w:rsidR="0035142F" w:rsidRPr="0035142F" w:rsidRDefault="0035142F" w:rsidP="0035142F">
            <w:pPr>
              <w:spacing w:before="240" w:after="40" w:line="276" w:lineRule="auto"/>
              <w:rPr>
                <w:rFonts w:ascii="Times New Roman" w:eastAsia="Times New Roman" w:hAnsi="Times New Roman" w:cs="Times New Roman"/>
                <w:b/>
                <w:bCs/>
                <w:color w:val="303030"/>
                <w:kern w:val="0"/>
                <w:sz w:val="20"/>
                <w:szCs w:val="20"/>
                <w:highlight w:val="white"/>
                <w:lang w:val="es-ES" w:eastAsia="es-ES"/>
                <w14:ligatures w14:val="none"/>
              </w:rPr>
            </w:pPr>
            <w:r w:rsidRPr="0035142F">
              <w:rPr>
                <w:rFonts w:ascii="Times New Roman" w:eastAsia="Times New Roman" w:hAnsi="Times New Roman" w:cs="Times New Roman"/>
                <w:b/>
                <w:bCs/>
                <w:color w:val="303030"/>
                <w:kern w:val="0"/>
                <w:sz w:val="20"/>
                <w:szCs w:val="20"/>
                <w:highlight w:val="white"/>
                <w:lang w:val="es-ES" w:eastAsia="es-ES"/>
                <w14:ligatures w14:val="none"/>
              </w:rPr>
              <w:t>Aspecto a mejorar</w:t>
            </w:r>
          </w:p>
        </w:tc>
        <w:tc>
          <w:tcPr>
            <w:tcW w:w="2533" w:type="dxa"/>
            <w:tcBorders>
              <w:top w:val="single" w:sz="18" w:space="0" w:color="000000"/>
              <w:left w:val="nil"/>
              <w:bottom w:val="single" w:sz="6" w:space="0" w:color="000000"/>
              <w:right w:val="nil"/>
            </w:tcBorders>
            <w:tcMar>
              <w:top w:w="0" w:type="dxa"/>
              <w:left w:w="20" w:type="dxa"/>
              <w:bottom w:w="0" w:type="dxa"/>
              <w:right w:w="20" w:type="dxa"/>
            </w:tcMar>
            <w:hideMark/>
          </w:tcPr>
          <w:p w14:paraId="2947C808" w14:textId="77777777" w:rsidR="0035142F" w:rsidRPr="0035142F" w:rsidRDefault="0035142F" w:rsidP="0035142F">
            <w:pPr>
              <w:spacing w:before="240" w:after="40" w:line="276" w:lineRule="auto"/>
              <w:jc w:val="right"/>
              <w:rPr>
                <w:rFonts w:ascii="Times New Roman" w:eastAsia="Times New Roman" w:hAnsi="Times New Roman" w:cs="Times New Roman"/>
                <w:b/>
                <w:bCs/>
                <w:color w:val="303030"/>
                <w:kern w:val="0"/>
                <w:sz w:val="20"/>
                <w:szCs w:val="20"/>
                <w:highlight w:val="white"/>
                <w:lang w:val="es-ES" w:eastAsia="es-ES"/>
                <w14:ligatures w14:val="none"/>
              </w:rPr>
            </w:pPr>
            <w:r w:rsidRPr="0035142F">
              <w:rPr>
                <w:rFonts w:ascii="Times New Roman" w:eastAsia="Times New Roman" w:hAnsi="Times New Roman" w:cs="Times New Roman"/>
                <w:b/>
                <w:bCs/>
                <w:color w:val="303030"/>
                <w:kern w:val="0"/>
                <w:sz w:val="20"/>
                <w:szCs w:val="20"/>
                <w:highlight w:val="white"/>
                <w:lang w:val="es-ES" w:eastAsia="es-ES"/>
                <w14:ligatures w14:val="none"/>
              </w:rPr>
              <w:t>%</w:t>
            </w:r>
          </w:p>
        </w:tc>
      </w:tr>
      <w:tr w:rsidR="0035142F" w:rsidRPr="0035142F" w14:paraId="1CD09FBD" w14:textId="77777777" w:rsidTr="0035142F">
        <w:trPr>
          <w:trHeight w:val="270"/>
        </w:trPr>
        <w:tc>
          <w:tcPr>
            <w:tcW w:w="6491" w:type="dxa"/>
            <w:tcBorders>
              <w:top w:val="single" w:sz="6" w:space="0" w:color="000000"/>
              <w:left w:val="nil"/>
              <w:bottom w:val="nil"/>
              <w:right w:val="nil"/>
            </w:tcBorders>
            <w:tcMar>
              <w:top w:w="0" w:type="dxa"/>
              <w:left w:w="20" w:type="dxa"/>
              <w:bottom w:w="0" w:type="dxa"/>
              <w:right w:w="20" w:type="dxa"/>
            </w:tcMar>
            <w:hideMark/>
          </w:tcPr>
          <w:p w14:paraId="22A5D0DE" w14:textId="77777777" w:rsidR="0035142F" w:rsidRPr="0035142F" w:rsidRDefault="0035142F" w:rsidP="0035142F">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Calidad de explicación en tutorías</w:t>
            </w:r>
          </w:p>
        </w:tc>
        <w:tc>
          <w:tcPr>
            <w:tcW w:w="2533" w:type="dxa"/>
            <w:tcBorders>
              <w:top w:val="single" w:sz="6" w:space="0" w:color="000000"/>
              <w:left w:val="nil"/>
              <w:bottom w:val="nil"/>
              <w:right w:val="nil"/>
            </w:tcBorders>
            <w:tcMar>
              <w:top w:w="0" w:type="dxa"/>
              <w:left w:w="20" w:type="dxa"/>
              <w:bottom w:w="0" w:type="dxa"/>
              <w:right w:w="20" w:type="dxa"/>
            </w:tcMar>
            <w:hideMark/>
          </w:tcPr>
          <w:p w14:paraId="4E4A8B58" w14:textId="77777777" w:rsidR="0035142F" w:rsidRPr="0035142F" w:rsidRDefault="0035142F" w:rsidP="0035142F">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50,0</w:t>
            </w:r>
          </w:p>
        </w:tc>
      </w:tr>
      <w:tr w:rsidR="0035142F" w:rsidRPr="0035142F" w14:paraId="38F67DB1"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0A8CD74D" w14:textId="77777777" w:rsidR="0035142F" w:rsidRPr="0035142F" w:rsidRDefault="0035142F" w:rsidP="0035142F">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Mejor organización del campus virtual</w:t>
            </w:r>
          </w:p>
        </w:tc>
        <w:tc>
          <w:tcPr>
            <w:tcW w:w="2533" w:type="dxa"/>
            <w:tcBorders>
              <w:top w:val="nil"/>
              <w:left w:val="nil"/>
              <w:bottom w:val="nil"/>
              <w:right w:val="nil"/>
            </w:tcBorders>
            <w:tcMar>
              <w:top w:w="0" w:type="dxa"/>
              <w:left w:w="20" w:type="dxa"/>
              <w:bottom w:w="0" w:type="dxa"/>
              <w:right w:w="20" w:type="dxa"/>
            </w:tcMar>
            <w:hideMark/>
          </w:tcPr>
          <w:p w14:paraId="582C5CF1" w14:textId="77777777" w:rsidR="0035142F" w:rsidRPr="0035142F" w:rsidRDefault="0035142F" w:rsidP="0035142F">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16,2</w:t>
            </w:r>
          </w:p>
        </w:tc>
      </w:tr>
      <w:tr w:rsidR="0035142F" w:rsidRPr="0035142F" w14:paraId="11B143BA"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6340B79B" w14:textId="77777777" w:rsidR="0035142F" w:rsidRPr="0035142F" w:rsidRDefault="0035142F" w:rsidP="0035142F">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Más clases sincrónicas de consulta</w:t>
            </w:r>
          </w:p>
        </w:tc>
        <w:tc>
          <w:tcPr>
            <w:tcW w:w="2533" w:type="dxa"/>
            <w:tcBorders>
              <w:top w:val="nil"/>
              <w:left w:val="nil"/>
              <w:bottom w:val="nil"/>
              <w:right w:val="nil"/>
            </w:tcBorders>
            <w:tcMar>
              <w:top w:w="0" w:type="dxa"/>
              <w:left w:w="20" w:type="dxa"/>
              <w:bottom w:w="0" w:type="dxa"/>
              <w:right w:w="20" w:type="dxa"/>
            </w:tcMar>
            <w:hideMark/>
          </w:tcPr>
          <w:p w14:paraId="44D09A03" w14:textId="77777777" w:rsidR="0035142F" w:rsidRPr="0035142F" w:rsidRDefault="0035142F" w:rsidP="0035142F">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14,3</w:t>
            </w:r>
          </w:p>
        </w:tc>
      </w:tr>
      <w:tr w:rsidR="0035142F" w:rsidRPr="0035142F" w14:paraId="010B733B"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587FF9DB" w14:textId="77777777" w:rsidR="0035142F" w:rsidRPr="0035142F" w:rsidRDefault="0035142F" w:rsidP="0035142F">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Más materiales audiovisuales</w:t>
            </w:r>
          </w:p>
        </w:tc>
        <w:tc>
          <w:tcPr>
            <w:tcW w:w="2533" w:type="dxa"/>
            <w:tcBorders>
              <w:top w:val="nil"/>
              <w:left w:val="nil"/>
              <w:bottom w:val="nil"/>
              <w:right w:val="nil"/>
            </w:tcBorders>
            <w:tcMar>
              <w:top w:w="0" w:type="dxa"/>
              <w:left w:w="20" w:type="dxa"/>
              <w:bottom w:w="0" w:type="dxa"/>
              <w:right w:w="20" w:type="dxa"/>
            </w:tcMar>
            <w:hideMark/>
          </w:tcPr>
          <w:p w14:paraId="40A124BE" w14:textId="77777777" w:rsidR="0035142F" w:rsidRPr="0035142F" w:rsidRDefault="0035142F" w:rsidP="0035142F">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11,4</w:t>
            </w:r>
          </w:p>
        </w:tc>
      </w:tr>
      <w:tr w:rsidR="0035142F" w:rsidRPr="0035142F" w14:paraId="0819A2E1"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2F50489F" w14:textId="77777777" w:rsidR="0035142F" w:rsidRPr="0035142F" w:rsidRDefault="0035142F" w:rsidP="0035142F">
            <w:pPr>
              <w:spacing w:before="240" w:after="40" w:line="276" w:lineRule="auto"/>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Otras mejoras</w:t>
            </w:r>
          </w:p>
        </w:tc>
        <w:tc>
          <w:tcPr>
            <w:tcW w:w="2533" w:type="dxa"/>
            <w:tcBorders>
              <w:top w:val="nil"/>
              <w:left w:val="nil"/>
              <w:bottom w:val="nil"/>
              <w:right w:val="nil"/>
            </w:tcBorders>
            <w:tcMar>
              <w:top w:w="0" w:type="dxa"/>
              <w:left w:w="20" w:type="dxa"/>
              <w:bottom w:w="0" w:type="dxa"/>
              <w:right w:w="20" w:type="dxa"/>
            </w:tcMar>
            <w:hideMark/>
          </w:tcPr>
          <w:p w14:paraId="35FEB95B" w14:textId="77777777" w:rsidR="0035142F" w:rsidRPr="0035142F" w:rsidRDefault="0035142F" w:rsidP="0035142F">
            <w:pPr>
              <w:spacing w:before="240" w:after="40" w:line="276" w:lineRule="auto"/>
              <w:jc w:val="right"/>
              <w:rPr>
                <w:rFonts w:ascii="Times New Roman" w:eastAsia="Times New Roman" w:hAnsi="Times New Roman" w:cs="Times New Roman"/>
                <w:color w:val="303030"/>
                <w:kern w:val="0"/>
                <w:sz w:val="20"/>
                <w:szCs w:val="20"/>
                <w:highlight w:val="white"/>
                <w:lang w:val="es-ES" w:eastAsia="es-ES"/>
                <w14:ligatures w14:val="none"/>
              </w:rPr>
            </w:pPr>
            <w:r w:rsidRPr="0035142F">
              <w:rPr>
                <w:rFonts w:ascii="Times New Roman" w:eastAsia="Times New Roman" w:hAnsi="Times New Roman" w:cs="Times New Roman"/>
                <w:color w:val="303030"/>
                <w:kern w:val="0"/>
                <w:sz w:val="20"/>
                <w:szCs w:val="20"/>
                <w:highlight w:val="white"/>
                <w:lang w:val="es-ES" w:eastAsia="es-ES"/>
                <w14:ligatures w14:val="none"/>
              </w:rPr>
              <w:t>8,1</w:t>
            </w:r>
          </w:p>
        </w:tc>
      </w:tr>
      <w:tr w:rsidR="0035142F" w:rsidRPr="0035142F" w14:paraId="5C19C962" w14:textId="77777777" w:rsidTr="0035142F">
        <w:trPr>
          <w:trHeight w:val="345"/>
        </w:trPr>
        <w:tc>
          <w:tcPr>
            <w:tcW w:w="6491" w:type="dxa"/>
            <w:tcBorders>
              <w:top w:val="nil"/>
              <w:left w:val="nil"/>
              <w:bottom w:val="single" w:sz="18" w:space="0" w:color="000000"/>
              <w:right w:val="nil"/>
            </w:tcBorders>
            <w:tcMar>
              <w:top w:w="0" w:type="dxa"/>
              <w:left w:w="20" w:type="dxa"/>
              <w:bottom w:w="0" w:type="dxa"/>
              <w:right w:w="20" w:type="dxa"/>
            </w:tcMar>
            <w:hideMark/>
          </w:tcPr>
          <w:p w14:paraId="5A8A4031" w14:textId="78B18A38" w:rsidR="0035142F" w:rsidRPr="0035142F" w:rsidRDefault="0035142F" w:rsidP="0035142F">
            <w:pPr>
              <w:spacing w:before="240" w:after="40" w:line="276" w:lineRule="auto"/>
              <w:rPr>
                <w:rFonts w:ascii="Times New Roman" w:eastAsia="Times New Roman" w:hAnsi="Times New Roman" w:cs="Times New Roman"/>
                <w:color w:val="303030"/>
                <w:kern w:val="0"/>
                <w:highlight w:val="white"/>
                <w:lang w:val="es-ES" w:eastAsia="es-ES"/>
                <w14:ligatures w14:val="none"/>
              </w:rPr>
            </w:pPr>
          </w:p>
        </w:tc>
        <w:tc>
          <w:tcPr>
            <w:tcW w:w="2533" w:type="dxa"/>
            <w:tcBorders>
              <w:top w:val="nil"/>
              <w:left w:val="nil"/>
              <w:bottom w:val="single" w:sz="18" w:space="0" w:color="000000"/>
              <w:right w:val="nil"/>
            </w:tcBorders>
            <w:tcMar>
              <w:top w:w="0" w:type="dxa"/>
              <w:left w:w="20" w:type="dxa"/>
              <w:bottom w:w="0" w:type="dxa"/>
              <w:right w:w="20" w:type="dxa"/>
            </w:tcMar>
            <w:hideMark/>
          </w:tcPr>
          <w:p w14:paraId="04CD8952" w14:textId="77777777" w:rsidR="0035142F" w:rsidRPr="0035142F" w:rsidRDefault="0035142F" w:rsidP="0035142F">
            <w:pPr>
              <w:spacing w:before="240" w:after="40" w:line="276" w:lineRule="auto"/>
              <w:jc w:val="right"/>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 </w:t>
            </w:r>
          </w:p>
        </w:tc>
      </w:tr>
    </w:tbl>
    <w:p w14:paraId="644F9016" w14:textId="77777777" w:rsidR="0035142F" w:rsidRPr="0035142F" w:rsidRDefault="0035142F" w:rsidP="0035142F">
      <w:pPr>
        <w:spacing w:after="0" w:line="276" w:lineRule="auto"/>
        <w:rPr>
          <w:rFonts w:ascii="Times New Roman" w:eastAsia="Times New Roman" w:hAnsi="Times New Roman" w:cs="Times New Roman"/>
          <w:iCs/>
          <w:kern w:val="0"/>
          <w:sz w:val="22"/>
          <w:szCs w:val="22"/>
          <w:highlight w:val="white"/>
          <w:lang w:val="es-ES" w:eastAsia="es-ES"/>
          <w14:ligatures w14:val="none"/>
        </w:rPr>
      </w:pPr>
      <w:r w:rsidRPr="0035142F">
        <w:rPr>
          <w:rFonts w:ascii="Times New Roman" w:eastAsia="Times New Roman" w:hAnsi="Times New Roman" w:cs="Times New Roman"/>
          <w:iCs/>
          <w:kern w:val="0"/>
          <w:sz w:val="22"/>
          <w:szCs w:val="22"/>
          <w:highlight w:val="white"/>
          <w:lang w:val="es-ES" w:eastAsia="es-ES"/>
          <w14:ligatures w14:val="none"/>
        </w:rPr>
        <w:t xml:space="preserve"> Fuente: Encuesta IMPULSA CBC, dic. 2025, n=210.</w:t>
      </w:r>
    </w:p>
    <w:p w14:paraId="24CCABED" w14:textId="77777777" w:rsidR="00AE122A" w:rsidRDefault="00AE122A" w:rsidP="0035142F">
      <w:pPr>
        <w:spacing w:after="0" w:line="276" w:lineRule="auto"/>
        <w:jc w:val="both"/>
        <w:rPr>
          <w:rFonts w:ascii="Times New Roman" w:hAnsi="Times New Roman" w:cs="Times New Roman"/>
          <w:b/>
          <w:bCs/>
        </w:rPr>
      </w:pPr>
    </w:p>
    <w:p w14:paraId="426F7069" w14:textId="25D43F6D" w:rsid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El estudio cualitativo profundiza en el uso de los apoyos institucionales formales, concluyendo que su utilización es "limitado y desigual". Mientras que el campus virtual es un recurso consolidado y de uso generalizado, otros dispositivos como las tutorías están "subutilizadas o directamente desconocidas" por una parte del estudiantado (Fuente 2, Análisis general).</w:t>
      </w:r>
      <w:r w:rsidR="00AE122A">
        <w:rPr>
          <w:rFonts w:ascii="Times New Roman" w:eastAsia="Times New Roman" w:hAnsi="Times New Roman" w:cs="Times New Roman"/>
          <w:color w:val="303030"/>
          <w:kern w:val="0"/>
          <w:highlight w:val="white"/>
          <w:lang w:val="es-ES" w:eastAsia="es-ES"/>
          <w14:ligatures w14:val="none"/>
        </w:rPr>
        <w:t xml:space="preserve"> </w:t>
      </w:r>
      <w:r w:rsidRPr="0035142F">
        <w:rPr>
          <w:rFonts w:ascii="Times New Roman" w:eastAsia="Times New Roman" w:hAnsi="Times New Roman" w:cs="Times New Roman"/>
          <w:color w:val="303030"/>
          <w:kern w:val="0"/>
          <w:highlight w:val="white"/>
          <w:lang w:val="es-ES" w:eastAsia="es-ES"/>
          <w14:ligatures w14:val="none"/>
        </w:rPr>
        <w:t>Frente a esta subutilización de los canales formales, las entrevistas revelan el rol central que cumplen las redes informales. Tanto los grupos de pares como el centro de estudiantes emergen como actores clave, funcionando no solo como soporte académico sino también como un fundamental "sostén emocional" y mediadores institucionales ante las dificultades de la cursada (Fuente 2, Análisis general).</w:t>
      </w:r>
    </w:p>
    <w:p w14:paraId="19BCC8DA" w14:textId="00FDB662" w:rsidR="0035142F" w:rsidRPr="0035142F" w:rsidRDefault="0035142F" w:rsidP="0035142F">
      <w:pPr>
        <w:spacing w:before="240" w:after="40" w:line="276" w:lineRule="auto"/>
        <w:rPr>
          <w:rFonts w:ascii="Times New Roman" w:eastAsia="Times New Roman" w:hAnsi="Times New Roman" w:cs="Times New Roman"/>
          <w:i/>
          <w:iCs/>
          <w:kern w:val="0"/>
          <w:highlight w:val="white"/>
          <w:lang w:val="es-ES" w:eastAsia="es-ES"/>
          <w14:ligatures w14:val="none"/>
        </w:rPr>
      </w:pPr>
      <w:r w:rsidRPr="0035142F">
        <w:rPr>
          <w:rFonts w:ascii="Times New Roman" w:eastAsia="Times New Roman" w:hAnsi="Times New Roman" w:cs="Times New Roman"/>
          <w:i/>
          <w:iCs/>
          <w:kern w:val="0"/>
          <w:lang w:val="es-ES" w:eastAsia="es-ES"/>
          <w14:ligatures w14:val="none"/>
        </w:rPr>
        <w:t xml:space="preserve">Tabla 7: </w:t>
      </w:r>
      <w:r w:rsidRPr="0035142F">
        <w:rPr>
          <w:rFonts w:ascii="Times New Roman" w:eastAsia="Times New Roman" w:hAnsi="Times New Roman" w:cs="Times New Roman"/>
          <w:i/>
          <w:iCs/>
          <w:kern w:val="0"/>
          <w:highlight w:val="white"/>
          <w:lang w:val="es-ES" w:eastAsia="es-ES"/>
          <w14:ligatures w14:val="none"/>
        </w:rPr>
        <w:t>Impacto percibido del estudio sobre la salud mental o bienestar emocional</w:t>
      </w:r>
    </w:p>
    <w:tbl>
      <w:tblPr>
        <w:tblW w:w="9030" w:type="dxa"/>
        <w:tblInd w:w="-100" w:type="dxa"/>
        <w:tblBorders>
          <w:insideH w:val="nil"/>
          <w:insideV w:val="nil"/>
        </w:tblBorders>
        <w:tblLayout w:type="fixed"/>
        <w:tblLook w:val="0600" w:firstRow="0" w:lastRow="0" w:firstColumn="0" w:lastColumn="0" w:noHBand="1" w:noVBand="1"/>
      </w:tblPr>
      <w:tblGrid>
        <w:gridCol w:w="6495"/>
        <w:gridCol w:w="2535"/>
      </w:tblGrid>
      <w:tr w:rsidR="0035142F" w:rsidRPr="0035142F" w14:paraId="294E2B27" w14:textId="77777777" w:rsidTr="0035142F">
        <w:trPr>
          <w:trHeight w:val="300"/>
        </w:trPr>
        <w:tc>
          <w:tcPr>
            <w:tcW w:w="6491" w:type="dxa"/>
            <w:tcBorders>
              <w:top w:val="single" w:sz="18" w:space="0" w:color="000000"/>
              <w:left w:val="nil"/>
              <w:bottom w:val="single" w:sz="6" w:space="0" w:color="000000"/>
              <w:right w:val="nil"/>
            </w:tcBorders>
            <w:tcMar>
              <w:top w:w="0" w:type="dxa"/>
              <w:left w:w="20" w:type="dxa"/>
              <w:bottom w:w="0" w:type="dxa"/>
              <w:right w:w="20" w:type="dxa"/>
            </w:tcMar>
            <w:hideMark/>
          </w:tcPr>
          <w:p w14:paraId="7A721FEB" w14:textId="77777777" w:rsidR="0035142F" w:rsidRPr="0035142F" w:rsidRDefault="0035142F" w:rsidP="0035142F">
            <w:pPr>
              <w:spacing w:before="240" w:after="40" w:line="276" w:lineRule="auto"/>
              <w:rPr>
                <w:rFonts w:ascii="Times New Roman" w:eastAsia="Times New Roman" w:hAnsi="Times New Roman" w:cs="Times New Roman"/>
                <w:b/>
                <w:bCs/>
                <w:i/>
                <w:iCs/>
                <w:kern w:val="0"/>
                <w:sz w:val="20"/>
                <w:szCs w:val="20"/>
                <w:highlight w:val="white"/>
                <w:lang w:val="es-ES" w:eastAsia="es-ES"/>
                <w14:ligatures w14:val="none"/>
              </w:rPr>
            </w:pPr>
            <w:r w:rsidRPr="0035142F">
              <w:rPr>
                <w:rFonts w:ascii="Times New Roman" w:eastAsia="Times New Roman" w:hAnsi="Times New Roman" w:cs="Times New Roman"/>
                <w:b/>
                <w:bCs/>
                <w:i/>
                <w:iCs/>
                <w:kern w:val="0"/>
                <w:sz w:val="20"/>
                <w:szCs w:val="20"/>
                <w:highlight w:val="white"/>
                <w:lang w:val="es-ES" w:eastAsia="es-ES"/>
                <w14:ligatures w14:val="none"/>
              </w:rPr>
              <w:t>Respuesta</w:t>
            </w:r>
          </w:p>
        </w:tc>
        <w:tc>
          <w:tcPr>
            <w:tcW w:w="2533" w:type="dxa"/>
            <w:tcBorders>
              <w:top w:val="single" w:sz="18" w:space="0" w:color="000000"/>
              <w:left w:val="nil"/>
              <w:bottom w:val="single" w:sz="6" w:space="0" w:color="000000"/>
              <w:right w:val="nil"/>
            </w:tcBorders>
            <w:tcMar>
              <w:top w:w="0" w:type="dxa"/>
              <w:left w:w="20" w:type="dxa"/>
              <w:bottom w:w="0" w:type="dxa"/>
              <w:right w:w="20" w:type="dxa"/>
            </w:tcMar>
            <w:hideMark/>
          </w:tcPr>
          <w:p w14:paraId="073F7A94" w14:textId="77777777" w:rsidR="0035142F" w:rsidRPr="0035142F" w:rsidRDefault="0035142F" w:rsidP="0035142F">
            <w:pPr>
              <w:spacing w:before="240" w:after="40" w:line="276" w:lineRule="auto"/>
              <w:jc w:val="right"/>
              <w:rPr>
                <w:rFonts w:ascii="Times New Roman" w:eastAsia="Times New Roman" w:hAnsi="Times New Roman" w:cs="Times New Roman"/>
                <w:b/>
                <w:bCs/>
                <w:i/>
                <w:iCs/>
                <w:kern w:val="0"/>
                <w:sz w:val="20"/>
                <w:szCs w:val="20"/>
                <w:highlight w:val="white"/>
                <w:lang w:val="es-ES" w:eastAsia="es-ES"/>
                <w14:ligatures w14:val="none"/>
              </w:rPr>
            </w:pPr>
            <w:r w:rsidRPr="0035142F">
              <w:rPr>
                <w:rFonts w:ascii="Times New Roman" w:eastAsia="Times New Roman" w:hAnsi="Times New Roman" w:cs="Times New Roman"/>
                <w:b/>
                <w:bCs/>
                <w:i/>
                <w:iCs/>
                <w:kern w:val="0"/>
                <w:sz w:val="20"/>
                <w:szCs w:val="20"/>
                <w:highlight w:val="white"/>
                <w:lang w:val="es-ES" w:eastAsia="es-ES"/>
                <w14:ligatures w14:val="none"/>
              </w:rPr>
              <w:t>%</w:t>
            </w:r>
          </w:p>
        </w:tc>
      </w:tr>
      <w:tr w:rsidR="0035142F" w:rsidRPr="0035142F" w14:paraId="7CA4D5E9" w14:textId="77777777" w:rsidTr="0035142F">
        <w:trPr>
          <w:trHeight w:val="270"/>
        </w:trPr>
        <w:tc>
          <w:tcPr>
            <w:tcW w:w="6491" w:type="dxa"/>
            <w:tcBorders>
              <w:top w:val="single" w:sz="6" w:space="0" w:color="000000"/>
              <w:left w:val="nil"/>
              <w:bottom w:val="nil"/>
              <w:right w:val="nil"/>
            </w:tcBorders>
            <w:tcMar>
              <w:top w:w="0" w:type="dxa"/>
              <w:left w:w="20" w:type="dxa"/>
              <w:bottom w:w="0" w:type="dxa"/>
              <w:right w:w="20" w:type="dxa"/>
            </w:tcMar>
            <w:hideMark/>
          </w:tcPr>
          <w:p w14:paraId="36DA312A" w14:textId="77777777" w:rsidR="0035142F" w:rsidRPr="0035142F" w:rsidRDefault="0035142F" w:rsidP="0035142F">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Sí, con frecuencia</w:t>
            </w:r>
          </w:p>
        </w:tc>
        <w:tc>
          <w:tcPr>
            <w:tcW w:w="2533" w:type="dxa"/>
            <w:tcBorders>
              <w:top w:val="single" w:sz="6" w:space="0" w:color="000000"/>
              <w:left w:val="nil"/>
              <w:bottom w:val="nil"/>
              <w:right w:val="nil"/>
            </w:tcBorders>
            <w:tcMar>
              <w:top w:w="0" w:type="dxa"/>
              <w:left w:w="20" w:type="dxa"/>
              <w:bottom w:w="0" w:type="dxa"/>
              <w:right w:w="20" w:type="dxa"/>
            </w:tcMar>
            <w:hideMark/>
          </w:tcPr>
          <w:p w14:paraId="6B9CE25C" w14:textId="77777777" w:rsidR="0035142F" w:rsidRPr="0035142F" w:rsidRDefault="0035142F" w:rsidP="0035142F">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38,5</w:t>
            </w:r>
          </w:p>
        </w:tc>
      </w:tr>
      <w:tr w:rsidR="0035142F" w:rsidRPr="0035142F" w14:paraId="5890387D"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5AAF3A76" w14:textId="77777777" w:rsidR="0035142F" w:rsidRPr="0035142F" w:rsidRDefault="0035142F" w:rsidP="0035142F">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A veces</w:t>
            </w:r>
          </w:p>
        </w:tc>
        <w:tc>
          <w:tcPr>
            <w:tcW w:w="2533" w:type="dxa"/>
            <w:tcBorders>
              <w:top w:val="nil"/>
              <w:left w:val="nil"/>
              <w:bottom w:val="nil"/>
              <w:right w:val="nil"/>
            </w:tcBorders>
            <w:tcMar>
              <w:top w:w="0" w:type="dxa"/>
              <w:left w:w="20" w:type="dxa"/>
              <w:bottom w:w="0" w:type="dxa"/>
              <w:right w:w="20" w:type="dxa"/>
            </w:tcMar>
            <w:hideMark/>
          </w:tcPr>
          <w:p w14:paraId="0F62B396" w14:textId="77777777" w:rsidR="0035142F" w:rsidRPr="0035142F" w:rsidRDefault="0035142F" w:rsidP="0035142F">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46,5</w:t>
            </w:r>
          </w:p>
        </w:tc>
      </w:tr>
      <w:tr w:rsidR="0035142F" w:rsidRPr="0035142F" w14:paraId="1DCABDFA"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2FD3F9B0" w14:textId="77777777" w:rsidR="0035142F" w:rsidRPr="0035142F" w:rsidRDefault="0035142F" w:rsidP="0035142F">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Rara vez</w:t>
            </w:r>
          </w:p>
        </w:tc>
        <w:tc>
          <w:tcPr>
            <w:tcW w:w="2533" w:type="dxa"/>
            <w:tcBorders>
              <w:top w:val="nil"/>
              <w:left w:val="nil"/>
              <w:bottom w:val="nil"/>
              <w:right w:val="nil"/>
            </w:tcBorders>
            <w:tcMar>
              <w:top w:w="0" w:type="dxa"/>
              <w:left w:w="20" w:type="dxa"/>
              <w:bottom w:w="0" w:type="dxa"/>
              <w:right w:w="20" w:type="dxa"/>
            </w:tcMar>
            <w:hideMark/>
          </w:tcPr>
          <w:p w14:paraId="721EAC73" w14:textId="77777777" w:rsidR="0035142F" w:rsidRPr="0035142F" w:rsidRDefault="0035142F" w:rsidP="0035142F">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10,0</w:t>
            </w:r>
          </w:p>
        </w:tc>
      </w:tr>
      <w:tr w:rsidR="0035142F" w:rsidRPr="0035142F" w14:paraId="28DF659E" w14:textId="77777777" w:rsidTr="0035142F">
        <w:trPr>
          <w:trHeight w:val="270"/>
        </w:trPr>
        <w:tc>
          <w:tcPr>
            <w:tcW w:w="6491" w:type="dxa"/>
            <w:tcBorders>
              <w:top w:val="nil"/>
              <w:left w:val="nil"/>
              <w:bottom w:val="nil"/>
              <w:right w:val="nil"/>
            </w:tcBorders>
            <w:tcMar>
              <w:top w:w="0" w:type="dxa"/>
              <w:left w:w="20" w:type="dxa"/>
              <w:bottom w:w="0" w:type="dxa"/>
              <w:right w:w="20" w:type="dxa"/>
            </w:tcMar>
            <w:hideMark/>
          </w:tcPr>
          <w:p w14:paraId="05E6DF97" w14:textId="77777777" w:rsidR="0035142F" w:rsidRPr="0035142F" w:rsidRDefault="0035142F" w:rsidP="0035142F">
            <w:pPr>
              <w:spacing w:before="240" w:after="40" w:line="276" w:lineRule="auto"/>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No, nunca</w:t>
            </w:r>
          </w:p>
        </w:tc>
        <w:tc>
          <w:tcPr>
            <w:tcW w:w="2533" w:type="dxa"/>
            <w:tcBorders>
              <w:top w:val="nil"/>
              <w:left w:val="nil"/>
              <w:bottom w:val="nil"/>
              <w:right w:val="nil"/>
            </w:tcBorders>
            <w:tcMar>
              <w:top w:w="0" w:type="dxa"/>
              <w:left w:w="20" w:type="dxa"/>
              <w:bottom w:w="0" w:type="dxa"/>
              <w:right w:w="20" w:type="dxa"/>
            </w:tcMar>
            <w:hideMark/>
          </w:tcPr>
          <w:p w14:paraId="051C4713" w14:textId="77777777" w:rsidR="0035142F" w:rsidRPr="0035142F" w:rsidRDefault="0035142F" w:rsidP="0035142F">
            <w:pPr>
              <w:spacing w:before="240" w:after="40" w:line="276" w:lineRule="auto"/>
              <w:jc w:val="right"/>
              <w:rPr>
                <w:rFonts w:ascii="Times New Roman" w:eastAsia="Times New Roman" w:hAnsi="Times New Roman" w:cs="Times New Roman"/>
                <w:i/>
                <w:iCs/>
                <w:kern w:val="0"/>
                <w:sz w:val="20"/>
                <w:szCs w:val="20"/>
                <w:highlight w:val="white"/>
                <w:lang w:val="es-ES" w:eastAsia="es-ES"/>
                <w14:ligatures w14:val="none"/>
              </w:rPr>
            </w:pPr>
            <w:r w:rsidRPr="0035142F">
              <w:rPr>
                <w:rFonts w:ascii="Times New Roman" w:eastAsia="Times New Roman" w:hAnsi="Times New Roman" w:cs="Times New Roman"/>
                <w:i/>
                <w:iCs/>
                <w:kern w:val="0"/>
                <w:sz w:val="20"/>
                <w:szCs w:val="20"/>
                <w:highlight w:val="white"/>
                <w:lang w:val="es-ES" w:eastAsia="es-ES"/>
                <w14:ligatures w14:val="none"/>
              </w:rPr>
              <w:t>5,0</w:t>
            </w:r>
          </w:p>
        </w:tc>
      </w:tr>
    </w:tbl>
    <w:p w14:paraId="1D4A1D57" w14:textId="77777777" w:rsidR="0035142F" w:rsidRPr="0035142F" w:rsidRDefault="0035142F" w:rsidP="0035142F">
      <w:pPr>
        <w:spacing w:after="0" w:line="276" w:lineRule="auto"/>
        <w:rPr>
          <w:rFonts w:ascii="Arial" w:eastAsia="Arial" w:hAnsi="Arial" w:cs="Arial"/>
          <w:kern w:val="0"/>
          <w:sz w:val="22"/>
          <w:szCs w:val="22"/>
          <w:lang w:val="es-ES" w:eastAsia="es-ES"/>
          <w14:ligatures w14:val="none"/>
        </w:rPr>
      </w:pPr>
    </w:p>
    <w:tbl>
      <w:tblPr>
        <w:tblW w:w="9075" w:type="dxa"/>
        <w:tblInd w:w="-100" w:type="dxa"/>
        <w:tblBorders>
          <w:insideH w:val="nil"/>
          <w:insideV w:val="nil"/>
        </w:tblBorders>
        <w:tblLayout w:type="fixed"/>
        <w:tblLook w:val="0600" w:firstRow="0" w:lastRow="0" w:firstColumn="0" w:lastColumn="0" w:noHBand="1" w:noVBand="1"/>
      </w:tblPr>
      <w:tblGrid>
        <w:gridCol w:w="3797"/>
        <w:gridCol w:w="3797"/>
        <w:gridCol w:w="1481"/>
      </w:tblGrid>
      <w:tr w:rsidR="0035142F" w:rsidRPr="0035142F" w14:paraId="791EBE07" w14:textId="77777777" w:rsidTr="00AE122A">
        <w:trPr>
          <w:trHeight w:val="275"/>
        </w:trPr>
        <w:tc>
          <w:tcPr>
            <w:tcW w:w="3794" w:type="dxa"/>
            <w:tcBorders>
              <w:top w:val="nil"/>
              <w:left w:val="nil"/>
              <w:bottom w:val="single" w:sz="18" w:space="0" w:color="000000"/>
              <w:right w:val="nil"/>
            </w:tcBorders>
            <w:tcMar>
              <w:top w:w="0" w:type="dxa"/>
              <w:left w:w="20" w:type="dxa"/>
              <w:bottom w:w="0" w:type="dxa"/>
              <w:right w:w="20" w:type="dxa"/>
            </w:tcMar>
          </w:tcPr>
          <w:p w14:paraId="3F545C43" w14:textId="77777777" w:rsidR="0035142F" w:rsidRPr="0035142F" w:rsidRDefault="0035142F" w:rsidP="0035142F">
            <w:pPr>
              <w:spacing w:before="240" w:after="40" w:line="276" w:lineRule="auto"/>
              <w:rPr>
                <w:rFonts w:ascii="Times New Roman" w:eastAsia="Times New Roman" w:hAnsi="Times New Roman" w:cs="Times New Roman"/>
                <w:i/>
                <w:iCs/>
                <w:kern w:val="0"/>
                <w:highlight w:val="white"/>
                <w:lang w:val="es-ES" w:eastAsia="es-ES"/>
                <w14:ligatures w14:val="none"/>
              </w:rPr>
            </w:pPr>
          </w:p>
        </w:tc>
        <w:tc>
          <w:tcPr>
            <w:tcW w:w="3794" w:type="dxa"/>
            <w:tcBorders>
              <w:top w:val="nil"/>
              <w:left w:val="nil"/>
              <w:bottom w:val="single" w:sz="18" w:space="0" w:color="000000"/>
              <w:right w:val="nil"/>
            </w:tcBorders>
            <w:tcMar>
              <w:top w:w="0" w:type="dxa"/>
              <w:left w:w="20" w:type="dxa"/>
              <w:bottom w:w="0" w:type="dxa"/>
              <w:right w:w="20" w:type="dxa"/>
            </w:tcMar>
          </w:tcPr>
          <w:p w14:paraId="22643F06" w14:textId="77777777" w:rsidR="0035142F" w:rsidRPr="0035142F" w:rsidRDefault="0035142F" w:rsidP="0035142F">
            <w:pPr>
              <w:spacing w:before="240" w:after="40" w:line="276" w:lineRule="auto"/>
              <w:rPr>
                <w:rFonts w:ascii="Times New Roman" w:eastAsia="Times New Roman" w:hAnsi="Times New Roman" w:cs="Times New Roman"/>
                <w:i/>
                <w:iCs/>
                <w:kern w:val="0"/>
                <w:highlight w:val="white"/>
                <w:lang w:val="es-ES" w:eastAsia="es-ES"/>
                <w14:ligatures w14:val="none"/>
              </w:rPr>
            </w:pPr>
          </w:p>
        </w:tc>
        <w:tc>
          <w:tcPr>
            <w:tcW w:w="1480" w:type="dxa"/>
            <w:tcBorders>
              <w:top w:val="nil"/>
              <w:left w:val="nil"/>
              <w:bottom w:val="single" w:sz="18" w:space="0" w:color="000000"/>
              <w:right w:val="nil"/>
            </w:tcBorders>
            <w:tcMar>
              <w:top w:w="0" w:type="dxa"/>
              <w:left w:w="20" w:type="dxa"/>
              <w:bottom w:w="0" w:type="dxa"/>
              <w:right w:w="20" w:type="dxa"/>
            </w:tcMar>
            <w:hideMark/>
          </w:tcPr>
          <w:p w14:paraId="7AD283FF" w14:textId="77777777" w:rsidR="0035142F" w:rsidRPr="0035142F" w:rsidRDefault="0035142F" w:rsidP="0035142F">
            <w:pPr>
              <w:spacing w:before="240" w:after="40" w:line="276" w:lineRule="auto"/>
              <w:jc w:val="right"/>
              <w:rPr>
                <w:rFonts w:ascii="Times New Roman" w:eastAsia="Times New Roman" w:hAnsi="Times New Roman" w:cs="Times New Roman"/>
                <w:i/>
                <w:iCs/>
                <w:kern w:val="0"/>
                <w:highlight w:val="white"/>
                <w:lang w:val="es-ES" w:eastAsia="es-ES"/>
                <w14:ligatures w14:val="none"/>
              </w:rPr>
            </w:pPr>
            <w:r w:rsidRPr="0035142F">
              <w:rPr>
                <w:rFonts w:ascii="Times New Roman" w:eastAsia="Times New Roman" w:hAnsi="Times New Roman" w:cs="Times New Roman"/>
                <w:i/>
                <w:iCs/>
                <w:kern w:val="0"/>
                <w:highlight w:val="white"/>
                <w:lang w:val="es-ES" w:eastAsia="es-ES"/>
                <w14:ligatures w14:val="none"/>
              </w:rPr>
              <w:t xml:space="preserve"> </w:t>
            </w:r>
          </w:p>
        </w:tc>
      </w:tr>
    </w:tbl>
    <w:p w14:paraId="2B6CFE11" w14:textId="77777777" w:rsidR="0035142F" w:rsidRPr="0035142F" w:rsidRDefault="0035142F" w:rsidP="0035142F">
      <w:pPr>
        <w:spacing w:before="60" w:after="200" w:line="276" w:lineRule="auto"/>
        <w:rPr>
          <w:rFonts w:ascii="Times New Roman" w:eastAsia="Times New Roman" w:hAnsi="Times New Roman" w:cs="Times New Roman"/>
          <w:iCs/>
          <w:kern w:val="0"/>
          <w:sz w:val="22"/>
          <w:szCs w:val="22"/>
          <w:highlight w:val="white"/>
          <w:lang w:val="es-ES" w:eastAsia="es-ES"/>
          <w14:ligatures w14:val="none"/>
        </w:rPr>
      </w:pPr>
      <w:r w:rsidRPr="0035142F">
        <w:rPr>
          <w:rFonts w:ascii="Times New Roman" w:eastAsia="Times New Roman" w:hAnsi="Times New Roman" w:cs="Times New Roman"/>
          <w:iCs/>
          <w:kern w:val="0"/>
          <w:sz w:val="22"/>
          <w:szCs w:val="22"/>
          <w:highlight w:val="white"/>
          <w:lang w:val="es-ES" w:eastAsia="es-ES"/>
          <w14:ligatures w14:val="none"/>
        </w:rPr>
        <w:t>Fuente: Encuesta IMPULSA CBC, dic. 2025, n=210.</w:t>
      </w:r>
    </w:p>
    <w:p w14:paraId="3E0BDD6D" w14:textId="77777777" w:rsid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p>
    <w:p w14:paraId="2D0EDA98" w14:textId="66A7BC31"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lang w:val="es-ES" w:eastAsia="es-ES"/>
          <w14:ligatures w14:val="none"/>
        </w:rPr>
        <w:t xml:space="preserve">Según </w:t>
      </w:r>
      <w:r w:rsidR="00AE122A">
        <w:rPr>
          <w:rFonts w:ascii="Times New Roman" w:eastAsia="Times New Roman" w:hAnsi="Times New Roman" w:cs="Times New Roman"/>
          <w:color w:val="303030"/>
          <w:kern w:val="0"/>
          <w:lang w:val="es-ES" w:eastAsia="es-ES"/>
          <w14:ligatures w14:val="none"/>
        </w:rPr>
        <w:t>la e</w:t>
      </w:r>
      <w:r w:rsidR="00AE122A" w:rsidRPr="0035142F">
        <w:rPr>
          <w:rFonts w:ascii="Times New Roman" w:eastAsia="Times New Roman" w:hAnsi="Times New Roman" w:cs="Times New Roman"/>
          <w:color w:val="303030"/>
          <w:kern w:val="0"/>
          <w:lang w:val="es-ES" w:eastAsia="es-ES"/>
          <w14:ligatures w14:val="none"/>
        </w:rPr>
        <w:t>ncuesta</w:t>
      </w:r>
      <w:r w:rsidRPr="0035142F">
        <w:rPr>
          <w:rFonts w:ascii="Times New Roman" w:eastAsia="Times New Roman" w:hAnsi="Times New Roman" w:cs="Times New Roman"/>
          <w:color w:val="303030"/>
          <w:kern w:val="0"/>
          <w:lang w:val="es-ES" w:eastAsia="es-ES"/>
          <w14:ligatures w14:val="none"/>
        </w:rPr>
        <w:t xml:space="preserve"> IMPULSA CBC, dic. 2025, el 85% de los estudiantes reportó algún nivel de impacto negativo en su bienestar emocional. Las tutorías institucionales son 'subutilizadas o directamente desconocidas', mientras que las redes informales de pares y el centro de estudiantes emergen como el principal 'sostén emocional' y mediador institucional. </w:t>
      </w:r>
      <w:proofErr w:type="spellStart"/>
      <w:r w:rsidRPr="0035142F">
        <w:rPr>
          <w:rFonts w:ascii="Times New Roman" w:eastAsia="Times New Roman" w:hAnsi="Times New Roman" w:cs="Times New Roman"/>
          <w:color w:val="303030"/>
          <w:kern w:val="0"/>
          <w:lang w:val="es-ES" w:eastAsia="es-ES"/>
          <w14:ligatures w14:val="none"/>
        </w:rPr>
        <w:t>Chiroleu</w:t>
      </w:r>
      <w:proofErr w:type="spellEnd"/>
      <w:r w:rsidRPr="0035142F">
        <w:rPr>
          <w:rFonts w:ascii="Times New Roman" w:eastAsia="Times New Roman" w:hAnsi="Times New Roman" w:cs="Times New Roman"/>
          <w:color w:val="303030"/>
          <w:kern w:val="0"/>
          <w:lang w:val="es-ES" w:eastAsia="es-ES"/>
          <w14:ligatures w14:val="none"/>
        </w:rPr>
        <w:t xml:space="preserve"> (2009) explica este fenómeno: un dispositivo de apoyo solo es efectivo cuando combina visibilidad, accesibilidad y pertinencia. Las tutorías del CBC fallan en al menos dos de estas tres condiciones, mientras que las redes de pares las cumplen las tres de manera natural.</w:t>
      </w:r>
    </w:p>
    <w:p w14:paraId="2DE4CFFD" w14:textId="3EE920B2" w:rsid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Los </w:t>
      </w:r>
      <w:r>
        <w:rPr>
          <w:rFonts w:ascii="Times New Roman" w:eastAsia="Times New Roman" w:hAnsi="Times New Roman" w:cs="Times New Roman"/>
          <w:color w:val="303030"/>
          <w:kern w:val="0"/>
          <w:highlight w:val="white"/>
          <w:lang w:val="es-ES" w:eastAsia="es-ES"/>
          <w14:ligatures w14:val="none"/>
        </w:rPr>
        <w:t xml:space="preserve">desafíos identificados en las </w:t>
      </w:r>
      <w:r w:rsidRPr="0035142F">
        <w:rPr>
          <w:rFonts w:ascii="Times New Roman" w:eastAsia="Times New Roman" w:hAnsi="Times New Roman" w:cs="Times New Roman"/>
          <w:color w:val="303030"/>
          <w:kern w:val="0"/>
          <w:highlight w:val="white"/>
          <w:lang w:val="es-ES" w:eastAsia="es-ES"/>
          <w14:ligatures w14:val="none"/>
        </w:rPr>
        <w:t>cuatro áreas</w:t>
      </w:r>
      <w:r>
        <w:rPr>
          <w:rFonts w:ascii="Times New Roman" w:eastAsia="Times New Roman" w:hAnsi="Times New Roman" w:cs="Times New Roman"/>
          <w:color w:val="303030"/>
          <w:kern w:val="0"/>
          <w:highlight w:val="white"/>
          <w:lang w:val="es-ES" w:eastAsia="es-ES"/>
          <w14:ligatures w14:val="none"/>
        </w:rPr>
        <w:t xml:space="preserve"> de análisis</w:t>
      </w:r>
      <w:r w:rsidRPr="0035142F">
        <w:rPr>
          <w:rFonts w:ascii="Times New Roman" w:eastAsia="Times New Roman" w:hAnsi="Times New Roman" w:cs="Times New Roman"/>
          <w:color w:val="303030"/>
          <w:kern w:val="0"/>
          <w:highlight w:val="white"/>
          <w:lang w:val="es-ES" w:eastAsia="es-ES"/>
          <w14:ligatures w14:val="none"/>
        </w:rPr>
        <w:t>, entonces, son: la gestión emocional, la brecha de competencias, la irrupción de la IA y la articulación del apoyo institucional. Ellas configuran un panorama complejo que será interpretado en la siguiente sección.</w:t>
      </w:r>
    </w:p>
    <w:p w14:paraId="21B1218C" w14:textId="77777777" w:rsid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p>
    <w:p w14:paraId="2360C530" w14:textId="77F1E657" w:rsidR="0035142F" w:rsidRPr="00AE122A" w:rsidRDefault="0035142F" w:rsidP="0035142F">
      <w:pPr>
        <w:spacing w:after="0" w:line="276" w:lineRule="auto"/>
        <w:jc w:val="both"/>
        <w:rPr>
          <w:rFonts w:ascii="Times New Roman" w:eastAsia="Times New Roman" w:hAnsi="Times New Roman" w:cs="Times New Roman"/>
          <w:b/>
          <w:color w:val="303030"/>
          <w:kern w:val="0"/>
          <w:highlight w:val="white"/>
          <w:lang w:val="es-ES" w:eastAsia="es-ES"/>
          <w14:ligatures w14:val="none"/>
        </w:rPr>
      </w:pPr>
      <w:r w:rsidRPr="00AE122A">
        <w:rPr>
          <w:rFonts w:ascii="Times New Roman" w:eastAsia="Times New Roman" w:hAnsi="Times New Roman" w:cs="Times New Roman"/>
          <w:b/>
          <w:color w:val="303030"/>
          <w:kern w:val="0"/>
          <w:highlight w:val="white"/>
          <w:lang w:val="es-ES" w:eastAsia="es-ES"/>
          <w14:ligatures w14:val="none"/>
        </w:rPr>
        <w:t>Discusión</w:t>
      </w:r>
    </w:p>
    <w:p w14:paraId="7DB976AE"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Los resultados se inscriben en una línea de investigación que identifica el primer tramo universitario como un momento crítico, en el que desigualdades previas pueden reproducirse o ampliarse según las condiciones institucionales disponibles (Tinto, 1987, 2019; Ezcurra, 2011). En términos de </w:t>
      </w:r>
      <w:proofErr w:type="spellStart"/>
      <w:r w:rsidRPr="0035142F">
        <w:rPr>
          <w:rFonts w:ascii="Times New Roman" w:eastAsia="Times New Roman" w:hAnsi="Times New Roman" w:cs="Times New Roman"/>
          <w:color w:val="303030"/>
          <w:kern w:val="0"/>
          <w:highlight w:val="white"/>
          <w:lang w:val="es-ES" w:eastAsia="es-ES"/>
          <w14:ligatures w14:val="none"/>
        </w:rPr>
        <w:t>Coulon</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(1997), aprender el “oficio de estudiante” supone incorporar disposiciones y códigos que no se distribuyen de modo homogéneo. En este estudio, la transición en el CBC no se organiza en torno a una dificultad aislada, sino a una constelación de tensiones interrelacionadas que afectan simultáneamente la dimensión académica, emocional e institucional.</w:t>
      </w:r>
    </w:p>
    <w:p w14:paraId="4F0ADAEF"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La brecha entre secundaria y CBC constituye el hallazgo más consistente y, al mismo tiempo, el más anticipado por la literatura. La “inclusión excluyente” de Ezcurra (2011) describe un patrón estructural: el acceso ampliado no garantiza permanencia cuando las reglas académicas y las condiciones pedagógicas no se rediseñan para atender heterogeneidad. </w:t>
      </w:r>
      <w:proofErr w:type="spellStart"/>
      <w:r w:rsidRPr="0035142F">
        <w:rPr>
          <w:rFonts w:ascii="Times New Roman" w:eastAsia="Times New Roman" w:hAnsi="Times New Roman" w:cs="Times New Roman"/>
          <w:color w:val="303030"/>
          <w:kern w:val="0"/>
          <w:highlight w:val="white"/>
          <w:lang w:val="es-ES" w:eastAsia="es-ES"/>
          <w14:ligatures w14:val="none"/>
        </w:rPr>
        <w:t>Buchbinder</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y Marquina (2008) documentaron que la expansión de matrícula no fue acompañada por transformaciones equivalentes en prácticas de enseñanza, lo que deja a sectores sin capital cultural universitario en desventaja sistemática. </w:t>
      </w:r>
      <w:proofErr w:type="spellStart"/>
      <w:r w:rsidRPr="0035142F">
        <w:rPr>
          <w:rFonts w:ascii="Times New Roman" w:eastAsia="Times New Roman" w:hAnsi="Times New Roman" w:cs="Times New Roman"/>
          <w:color w:val="303030"/>
          <w:kern w:val="0"/>
          <w:highlight w:val="white"/>
          <w:lang w:val="es-ES" w:eastAsia="es-ES"/>
          <w14:ligatures w14:val="none"/>
        </w:rPr>
        <w:t>Carlino</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(2005) permite precisar el mecanismo: la universidad presupone competencias de lectura y escritura académicas y de razonamiento formal que no son universales. Que las dificultades predominantes sean planificar el estudio, comprender materiales, manejar lenguaje matemático o redactar en registro académico refuerza empíricamente ese diagnóstico.</w:t>
      </w:r>
    </w:p>
    <w:p w14:paraId="6E7DE80D"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La dimensión emocional requiere, asimismo, evitar lecturas individualizantes. Dubet (2005) entiende la ambivalencia como rasgo constitutivo de la experiencia estudiantil contemporánea, en la que se articulan proyecto vocacional, integración institucional y subjetivación identitaria. En el caso de la UBA, </w:t>
      </w:r>
      <w:proofErr w:type="spellStart"/>
      <w:r w:rsidRPr="0035142F">
        <w:rPr>
          <w:rFonts w:ascii="Times New Roman" w:eastAsia="Times New Roman" w:hAnsi="Times New Roman" w:cs="Times New Roman"/>
          <w:color w:val="303030"/>
          <w:kern w:val="0"/>
          <w:highlight w:val="white"/>
          <w:lang w:val="es-ES" w:eastAsia="es-ES"/>
          <w14:ligatures w14:val="none"/>
        </w:rPr>
        <w:t>Carli</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(2012) sostiene que el prestigio </w:t>
      </w:r>
      <w:r w:rsidRPr="0035142F">
        <w:rPr>
          <w:rFonts w:ascii="Times New Roman" w:eastAsia="Times New Roman" w:hAnsi="Times New Roman" w:cs="Times New Roman"/>
          <w:color w:val="303030"/>
          <w:kern w:val="0"/>
          <w:highlight w:val="white"/>
          <w:lang w:val="es-ES" w:eastAsia="es-ES"/>
          <w14:ligatures w14:val="none"/>
        </w:rPr>
        <w:lastRenderedPageBreak/>
        <w:t>institucional opera como amplificador de expectativas, elevando el costo subjetivo del fracaso. La ansiedad ante la evaluación, predominante en los datos, puede interpretarse como respuesta previsible a sistemas evaluativos que acreditan resultados con escasa retroalimentación formativa, particularmente en contextos de masividad (Zabalza, 2003; Tinto, 2019).</w:t>
      </w:r>
    </w:p>
    <w:p w14:paraId="6F3C23C5"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El uso extendido de IA es el hallazgo más novedoso y exige una lectura doble. Por un lado, </w:t>
      </w:r>
      <w:proofErr w:type="spellStart"/>
      <w:r w:rsidRPr="0035142F">
        <w:rPr>
          <w:rFonts w:ascii="Times New Roman" w:eastAsia="Times New Roman" w:hAnsi="Times New Roman" w:cs="Times New Roman"/>
          <w:color w:val="303030"/>
          <w:kern w:val="0"/>
          <w:highlight w:val="white"/>
          <w:lang w:val="es-ES" w:eastAsia="es-ES"/>
          <w14:ligatures w14:val="none"/>
        </w:rPr>
        <w:t>Farrokhnia</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et al. (2024) advierten sobre el riesgo de automatización cognitiva. Por otro, una lectura pedagógica (Bain, 2007; </w:t>
      </w:r>
      <w:proofErr w:type="spellStart"/>
      <w:r w:rsidRPr="0035142F">
        <w:rPr>
          <w:rFonts w:ascii="Times New Roman" w:eastAsia="Times New Roman" w:hAnsi="Times New Roman" w:cs="Times New Roman"/>
          <w:color w:val="303030"/>
          <w:kern w:val="0"/>
          <w:highlight w:val="white"/>
          <w:lang w:val="es-ES" w:eastAsia="es-ES"/>
          <w14:ligatures w14:val="none"/>
        </w:rPr>
        <w:t>Litwin</w:t>
      </w:r>
      <w:proofErr w:type="spellEnd"/>
      <w:r w:rsidRPr="0035142F">
        <w:rPr>
          <w:rFonts w:ascii="Times New Roman" w:eastAsia="Times New Roman" w:hAnsi="Times New Roman" w:cs="Times New Roman"/>
          <w:color w:val="303030"/>
          <w:kern w:val="0"/>
          <w:highlight w:val="white"/>
          <w:lang w:val="es-ES" w:eastAsia="es-ES"/>
          <w14:ligatures w14:val="none"/>
        </w:rPr>
        <w:t>, 2008) permite considerar que su adopción masiva también expresa una demanda por explicaciones inmediatas y personalizadas, que puede emerger allí donde la enseñanza no logra ofrecer andamiajes suficientes. En este sentido, antes que reducir la cuestión a un debate moral sobre plagio, el fenómeno invita a revisar condiciones de enseñanza, formatos de evaluación y recursos de acompañamiento.</w:t>
      </w:r>
    </w:p>
    <w:p w14:paraId="71352FE1"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La baja utilización de dispositivos institucionales formales frente a la centralidad de redes informales de pares es coherente con la literatura sobre primer año. La clave, siguiendo a </w:t>
      </w:r>
      <w:proofErr w:type="spellStart"/>
      <w:r w:rsidRPr="0035142F">
        <w:rPr>
          <w:rFonts w:ascii="Times New Roman" w:eastAsia="Times New Roman" w:hAnsi="Times New Roman" w:cs="Times New Roman"/>
          <w:color w:val="303030"/>
          <w:kern w:val="0"/>
          <w:highlight w:val="white"/>
          <w:lang w:val="es-ES" w:eastAsia="es-ES"/>
          <w14:ligatures w14:val="none"/>
        </w:rPr>
        <w:t>Chiroleu</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(2009), no radica en multiplicar dispositivos, sino en diseñarlos de modo que sean visibles, accesibles y pertinentes para un estudiantado heterogéneo. Mientras esas condiciones no se cumplan, los apoyos tenderán a desplazarse hacia redes que sí operan como recursos efectivos.</w:t>
      </w:r>
    </w:p>
    <w:p w14:paraId="207AB98F"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De forma transversal, los resultados reafirman que el CBC no constituye un colectivo homogéneo: estudiantes que trabajan, estudiantes de primera generación universitaria, cursadas virtuales y trayectorias previas muy diferentes conviven en un mismo dispositivo. Atender esa diversidad implica revisar apoyos, pero también prácticas de enseñanza y formación docente, tal como señalan Ricci y Liberman (2013).</w:t>
      </w:r>
    </w:p>
    <w:p w14:paraId="161E9902" w14:textId="77777777" w:rsidR="0035142F" w:rsidRDefault="0035142F" w:rsidP="0035142F">
      <w:pPr>
        <w:spacing w:after="0" w:line="276" w:lineRule="auto"/>
        <w:jc w:val="both"/>
        <w:rPr>
          <w:rFonts w:ascii="Times New Roman" w:eastAsia="Times New Roman" w:hAnsi="Times New Roman" w:cs="Times New Roman"/>
          <w:b/>
          <w:bCs/>
          <w:color w:val="303030"/>
          <w:kern w:val="0"/>
          <w:highlight w:val="white"/>
          <w:lang w:val="es-ES" w:eastAsia="es-ES"/>
          <w14:ligatures w14:val="none"/>
        </w:rPr>
      </w:pPr>
    </w:p>
    <w:p w14:paraId="1F2D6F4E" w14:textId="0589EBC8" w:rsidR="0035142F" w:rsidRPr="00AE122A" w:rsidRDefault="00944860" w:rsidP="0035142F">
      <w:pPr>
        <w:spacing w:after="0" w:line="276" w:lineRule="auto"/>
        <w:jc w:val="both"/>
        <w:rPr>
          <w:rFonts w:ascii="Times New Roman" w:eastAsia="Times New Roman" w:hAnsi="Times New Roman" w:cs="Times New Roman"/>
          <w:b/>
          <w:bCs/>
          <w:color w:val="303030"/>
          <w:kern w:val="0"/>
          <w:highlight w:val="white"/>
          <w:lang w:val="es-ES" w:eastAsia="es-ES"/>
          <w14:ligatures w14:val="none"/>
        </w:rPr>
      </w:pPr>
      <w:r>
        <w:rPr>
          <w:rFonts w:ascii="Times New Roman" w:eastAsia="Times New Roman" w:hAnsi="Times New Roman" w:cs="Times New Roman"/>
          <w:b/>
          <w:bCs/>
          <w:color w:val="303030"/>
          <w:kern w:val="0"/>
          <w:highlight w:val="white"/>
          <w:lang w:val="es-ES" w:eastAsia="es-ES"/>
          <w14:ligatures w14:val="none"/>
        </w:rPr>
        <w:t>Limitaciones del e</w:t>
      </w:r>
      <w:r w:rsidR="0035142F" w:rsidRPr="00AE122A">
        <w:rPr>
          <w:rFonts w:ascii="Times New Roman" w:eastAsia="Times New Roman" w:hAnsi="Times New Roman" w:cs="Times New Roman"/>
          <w:b/>
          <w:bCs/>
          <w:color w:val="303030"/>
          <w:kern w:val="0"/>
          <w:highlight w:val="white"/>
          <w:lang w:val="es-ES" w:eastAsia="es-ES"/>
          <w14:ligatures w14:val="none"/>
        </w:rPr>
        <w:t>studio</w:t>
      </w:r>
    </w:p>
    <w:p w14:paraId="7CC80F85" w14:textId="77777777" w:rsid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p>
    <w:p w14:paraId="2D13BA56"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Si bien los hallazgos de esta investigación ofrecen una visión compleja y matizada de la experiencia estudiantil en el CBC, es fundamental reconocer sus limitaciones metodológicas para una correcta interpretación de sus alcances.</w:t>
      </w:r>
    </w:p>
    <w:p w14:paraId="68E03527"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Para el estudio cualitativo, la principal limitación reside en el carácter exploratorio y no representativo de su muestra. Con un total de cinco participantes seleccionados por criterios de conveniencia y accesibilidad, sus conclusiones no pueden ser generalizadas al conjunto del universo estudiantil del CBC. Su valor radica en la profundidad y la capacidad de generar hipótesis interpretativas, no en la extrapolación estadística (Fuente 2, Metodología).</w:t>
      </w:r>
    </w:p>
    <w:p w14:paraId="7C64170B"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En cuanto al estudio cuantitativo, la documentación proporcionada no reporta información sobre el diseño muestral, la tasa de respuesta ni el margen de error asociado a la muestra de 210 casos. La ausencia de estos datos técnicos clave limita la posibilidad </w:t>
      </w:r>
      <w:r w:rsidRPr="0035142F">
        <w:rPr>
          <w:rFonts w:ascii="Times New Roman" w:eastAsia="Times New Roman" w:hAnsi="Times New Roman" w:cs="Times New Roman"/>
          <w:color w:val="303030"/>
          <w:kern w:val="0"/>
          <w:highlight w:val="white"/>
          <w:lang w:val="es-ES" w:eastAsia="es-ES"/>
          <w14:ligatures w14:val="none"/>
        </w:rPr>
        <w:lastRenderedPageBreak/>
        <w:t>de evaluar la representatividad de la muestra y, por lo tanto, la capacidad de generalizar sus hallazgos a la totalidad de la población de estudiantes del CBC con un grado de confianza estadística conocido.</w:t>
      </w:r>
    </w:p>
    <w:p w14:paraId="26D50732"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A pesar de estas limitaciones, la fortaleza del informe reside en la triangulación de ambos enfoques. La convergencia de hallazgos entre la encuesta y las entrevistas otorga una mayor validez y robustez a las conclusiones presentadas.</w:t>
      </w:r>
    </w:p>
    <w:p w14:paraId="5581C8ED"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p>
    <w:p w14:paraId="12CE0BCB" w14:textId="6A82741F"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764350A9"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El presente estudio aporta evidencia empírica situada sobre una problemática de alta relevancia para la educación superior argentina: las condiciones en que los estudiantes viven, significan y gestionan el ingreso al Ciclo Básico Común de la UBA. Sus resultados permiten afirmar que la experiencia de transición universitaria en el CBC es un proceso multidimensional en el que las brechas de competencias académicas, el impacto emocional del ingreso, la adopción de herramientas tecnológicas emergentes y la insuficiencia de los dispositivos institucionales de acompañamiento se articulan como expresiones distintas de una misma tensión estructural. Esa tensión —descrita por Ezcurra (2011) como “inclusión excluyente”— no es una anomalía ni un fracaso puntual: es la consecuencia predecible de un sistema que amplió el acceso sin transformar con la misma intensidad las condiciones internas de permanencia.</w:t>
      </w:r>
    </w:p>
    <w:p w14:paraId="0F7A5237"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La contribución específica de esta investigación reside en la articulación de metodologías cuantitativas y cualitativas para mapear esa tensión desde la perspectiva de los propios estudiantes. Este enfoque permite no solo dimensionar la magnitud de los desafíos que enfrentan los ingresantes, sino comprender su significado subjetivo: cómo los estudiantes los experimentan, qué estrategias despliegan ante ellos y qué recursos —formales e informales— les resultan efectivamente disponibles. La triangulación metodológica (</w:t>
      </w:r>
      <w:proofErr w:type="spellStart"/>
      <w:r w:rsidRPr="0035142F">
        <w:rPr>
          <w:rFonts w:ascii="Times New Roman" w:eastAsia="Times New Roman" w:hAnsi="Times New Roman" w:cs="Times New Roman"/>
          <w:color w:val="303030"/>
          <w:kern w:val="0"/>
          <w:highlight w:val="white"/>
          <w:lang w:val="es-ES" w:eastAsia="es-ES"/>
          <w14:ligatures w14:val="none"/>
        </w:rPr>
        <w:t>Donolo</w:t>
      </w:r>
      <w:proofErr w:type="spellEnd"/>
      <w:r w:rsidRPr="0035142F">
        <w:rPr>
          <w:rFonts w:ascii="Times New Roman" w:eastAsia="Times New Roman" w:hAnsi="Times New Roman" w:cs="Times New Roman"/>
          <w:color w:val="303030"/>
          <w:kern w:val="0"/>
          <w:highlight w:val="white"/>
          <w:lang w:val="es-ES" w:eastAsia="es-ES"/>
          <w14:ligatures w14:val="none"/>
        </w:rPr>
        <w:t>, 2009) demostró su valor heurístico: hay dimensiones de la experiencia estudiantil que solo emergen cuando los datos cuantitativos y cualitativos se leen en diálogo, y ese diálogo produjo interpretaciones que ningún método aislado hubiera podido generar.</w:t>
      </w:r>
    </w:p>
    <w:p w14:paraId="62B0D455"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t xml:space="preserve">El hallazgo sobre el uso extendido de inteligencia artificial introduce una agenda de investigación nueva que excede los marcos teóricos disponibles. La adopción masiva de estas herramientas en el primer año universitario —y las formas específicas en que los estudiantes las integran a sus prácticas de estudio— sugiere que las preguntas sobre aprendizaje, autonomía cognitiva y relación con el conocimiento que la investigación educativa ha desarrollado durante décadas deben ser revisadas en este nuevo escenario. Esto no significa que los marcos clásicos sean obsoletos: significa que las categorías de Bain (2007), </w:t>
      </w:r>
      <w:proofErr w:type="spellStart"/>
      <w:r w:rsidRPr="0035142F">
        <w:rPr>
          <w:rFonts w:ascii="Times New Roman" w:eastAsia="Times New Roman" w:hAnsi="Times New Roman" w:cs="Times New Roman"/>
          <w:color w:val="303030"/>
          <w:kern w:val="0"/>
          <w:highlight w:val="white"/>
          <w:lang w:val="es-ES" w:eastAsia="es-ES"/>
          <w14:ligatures w14:val="none"/>
        </w:rPr>
        <w:t>Litwin</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(2008) y </w:t>
      </w:r>
      <w:proofErr w:type="spellStart"/>
      <w:r w:rsidRPr="0035142F">
        <w:rPr>
          <w:rFonts w:ascii="Times New Roman" w:eastAsia="Times New Roman" w:hAnsi="Times New Roman" w:cs="Times New Roman"/>
          <w:color w:val="303030"/>
          <w:kern w:val="0"/>
          <w:highlight w:val="white"/>
          <w:lang w:val="es-ES" w:eastAsia="es-ES"/>
          <w14:ligatures w14:val="none"/>
        </w:rPr>
        <w:t>Carlino</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(2005) sobre buena enseñanza y alfabetización académica son hoy más urgentes que antes, precisamente porque la IA puede sustituir el proceso o potenciarlo dependiendo de las condiciones pedagógicas en que se usa.</w:t>
      </w:r>
    </w:p>
    <w:p w14:paraId="34CE9E3E" w14:textId="77777777" w:rsidR="0035142F" w:rsidRPr="0035142F" w:rsidRDefault="0035142F" w:rsidP="0035142F">
      <w:pPr>
        <w:spacing w:after="0" w:line="276" w:lineRule="auto"/>
        <w:jc w:val="both"/>
        <w:rPr>
          <w:rFonts w:ascii="Times New Roman" w:eastAsia="Times New Roman" w:hAnsi="Times New Roman" w:cs="Times New Roman"/>
          <w:color w:val="303030"/>
          <w:kern w:val="0"/>
          <w:highlight w:val="white"/>
          <w:lang w:val="es-ES" w:eastAsia="es-ES"/>
          <w14:ligatures w14:val="none"/>
        </w:rPr>
      </w:pPr>
      <w:r w:rsidRPr="0035142F">
        <w:rPr>
          <w:rFonts w:ascii="Times New Roman" w:eastAsia="Times New Roman" w:hAnsi="Times New Roman" w:cs="Times New Roman"/>
          <w:color w:val="303030"/>
          <w:kern w:val="0"/>
          <w:highlight w:val="white"/>
          <w:lang w:val="es-ES" w:eastAsia="es-ES"/>
          <w14:ligatures w14:val="none"/>
        </w:rPr>
        <w:lastRenderedPageBreak/>
        <w:t xml:space="preserve">Las limitaciones del estudio —la muestra no probabilista del componente cuantitativo y el carácter exploratorio del cualitativo— circunscriben la </w:t>
      </w:r>
      <w:proofErr w:type="spellStart"/>
      <w:r w:rsidRPr="0035142F">
        <w:rPr>
          <w:rFonts w:ascii="Times New Roman" w:eastAsia="Times New Roman" w:hAnsi="Times New Roman" w:cs="Times New Roman"/>
          <w:color w:val="303030"/>
          <w:kern w:val="0"/>
          <w:highlight w:val="white"/>
          <w:lang w:val="es-ES" w:eastAsia="es-ES"/>
          <w14:ligatures w14:val="none"/>
        </w:rPr>
        <w:t>generalizabilidad</w:t>
      </w:r>
      <w:proofErr w:type="spellEnd"/>
      <w:r w:rsidRPr="0035142F">
        <w:rPr>
          <w:rFonts w:ascii="Times New Roman" w:eastAsia="Times New Roman" w:hAnsi="Times New Roman" w:cs="Times New Roman"/>
          <w:color w:val="303030"/>
          <w:kern w:val="0"/>
          <w:highlight w:val="white"/>
          <w:lang w:val="es-ES" w:eastAsia="es-ES"/>
          <w14:ligatures w14:val="none"/>
        </w:rPr>
        <w:t xml:space="preserve"> de los resultados al contexto específico del CBC en el período relevado. Sin embargo, la convergencia entre ambos instrumentos otorga solidez diagnóstica a los hallazgos y habilita líneas de investigación futuras: comparaciones entre distintas unidades académicas y modalidades de cursada, seguimientos longitudinales sobre el impacto de la experiencia de ingreso en las trayectorias posteriores, e indagaciones más profundas sobre el rol de la formación docente en la reducción de la brecha académica. La pregunta que este estudio deja abierta es, en definitiva, la misma que movilizó la investigación sobre equidad educativa desde Tinto (1987) hasta Ezcurra (2011): ¿cómo garantiza la universidad pública no solo el acceso sino las condiciones reales de permanencia para una población estudiantil que llega cada vez más diversa y con recursos cada vez más desiguales? Los datos del CBC sugieren que esa pregunta no ha sido respondida y que responderla sigue siendo una tarea institucional urgente e ineludible.</w:t>
      </w:r>
    </w:p>
    <w:p w14:paraId="3BD64D10" w14:textId="77777777" w:rsidR="0035142F" w:rsidRDefault="0035142F" w:rsidP="007B5B5F">
      <w:pPr>
        <w:spacing w:line="240" w:lineRule="auto"/>
        <w:rPr>
          <w:rFonts w:ascii="Times New Roman" w:hAnsi="Times New Roman" w:cs="Times New Roman"/>
          <w:b/>
          <w:bCs/>
        </w:rPr>
      </w:pPr>
    </w:p>
    <w:p w14:paraId="39B57161" w14:textId="49C63719" w:rsidR="005F3B2E" w:rsidRDefault="00944860" w:rsidP="007B5B5F">
      <w:pPr>
        <w:spacing w:line="240" w:lineRule="auto"/>
        <w:rPr>
          <w:rFonts w:ascii="Times New Roman" w:hAnsi="Times New Roman" w:cs="Times New Roman"/>
          <w:b/>
          <w:bCs/>
        </w:rPr>
      </w:pPr>
      <w:r>
        <w:rPr>
          <w:rFonts w:ascii="Times New Roman" w:hAnsi="Times New Roman" w:cs="Times New Roman"/>
          <w:b/>
          <w:bCs/>
        </w:rPr>
        <w:t xml:space="preserve">Referencias bibliográficas </w:t>
      </w:r>
    </w:p>
    <w:p w14:paraId="1A32364B" w14:textId="1AFAD74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Bain, Ken (2007), </w:t>
      </w:r>
      <w:r w:rsidRPr="00164FE4">
        <w:rPr>
          <w:rFonts w:ascii="Times New Roman" w:eastAsia="Times New Roman" w:hAnsi="Times New Roman" w:cs="Times New Roman"/>
          <w:i/>
          <w:iCs/>
          <w:kern w:val="0"/>
          <w:lang w:val="es-ES" w:eastAsia="es-ES"/>
          <w14:ligatures w14:val="none"/>
        </w:rPr>
        <w:t>Lo que hacen los mejores profesores universitarios</w:t>
      </w:r>
      <w:r w:rsidRPr="00164FE4">
        <w:rPr>
          <w:rFonts w:ascii="Times New Roman" w:eastAsia="Times New Roman" w:hAnsi="Times New Roman" w:cs="Times New Roman"/>
          <w:kern w:val="0"/>
          <w:lang w:val="es-ES" w:eastAsia="es-ES"/>
          <w14:ligatures w14:val="none"/>
        </w:rPr>
        <w:t xml:space="preserve">, trad. Óscar Barberá, Valencia, </w:t>
      </w:r>
      <w:proofErr w:type="spellStart"/>
      <w:r w:rsidRPr="00164FE4">
        <w:rPr>
          <w:rFonts w:ascii="Times New Roman" w:eastAsia="Times New Roman" w:hAnsi="Times New Roman" w:cs="Times New Roman"/>
          <w:kern w:val="0"/>
          <w:lang w:val="es-ES" w:eastAsia="es-ES"/>
          <w14:ligatures w14:val="none"/>
        </w:rPr>
        <w:t>Publicacions</w:t>
      </w:r>
      <w:proofErr w:type="spellEnd"/>
      <w:r w:rsidRPr="00164FE4">
        <w:rPr>
          <w:rFonts w:ascii="Times New Roman" w:eastAsia="Times New Roman" w:hAnsi="Times New Roman" w:cs="Times New Roman"/>
          <w:kern w:val="0"/>
          <w:lang w:val="es-ES" w:eastAsia="es-ES"/>
          <w14:ligatures w14:val="none"/>
        </w:rPr>
        <w:t xml:space="preserve"> de la </w:t>
      </w:r>
      <w:proofErr w:type="spellStart"/>
      <w:r w:rsidRPr="00164FE4">
        <w:rPr>
          <w:rFonts w:ascii="Times New Roman" w:eastAsia="Times New Roman" w:hAnsi="Times New Roman" w:cs="Times New Roman"/>
          <w:kern w:val="0"/>
          <w:lang w:val="es-ES" w:eastAsia="es-ES"/>
          <w14:ligatures w14:val="none"/>
        </w:rPr>
        <w:t>Universitat</w:t>
      </w:r>
      <w:proofErr w:type="spellEnd"/>
      <w:r w:rsidRPr="00164FE4">
        <w:rPr>
          <w:rFonts w:ascii="Times New Roman" w:eastAsia="Times New Roman" w:hAnsi="Times New Roman" w:cs="Times New Roman"/>
          <w:kern w:val="0"/>
          <w:lang w:val="es-ES" w:eastAsia="es-ES"/>
          <w14:ligatures w14:val="none"/>
        </w:rPr>
        <w:t xml:space="preserve"> de València.</w:t>
      </w:r>
    </w:p>
    <w:p w14:paraId="242191F7"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1359AB46"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Bourdieu, Pierre y Jean-Claude Passeron (2003), </w:t>
      </w:r>
      <w:r w:rsidRPr="00164FE4">
        <w:rPr>
          <w:rFonts w:ascii="Times New Roman" w:eastAsia="Times New Roman" w:hAnsi="Times New Roman" w:cs="Times New Roman"/>
          <w:i/>
          <w:iCs/>
          <w:kern w:val="0"/>
          <w:lang w:val="es-ES" w:eastAsia="es-ES"/>
          <w14:ligatures w14:val="none"/>
        </w:rPr>
        <w:t>Los herederos. Los estudiantes y la cultura</w:t>
      </w:r>
      <w:r w:rsidRPr="00164FE4">
        <w:rPr>
          <w:rFonts w:ascii="Times New Roman" w:eastAsia="Times New Roman" w:hAnsi="Times New Roman" w:cs="Times New Roman"/>
          <w:kern w:val="0"/>
          <w:lang w:val="es-ES" w:eastAsia="es-ES"/>
          <w14:ligatures w14:val="none"/>
        </w:rPr>
        <w:t>, Buenos Aires, Siglo XXI.</w:t>
      </w:r>
    </w:p>
    <w:p w14:paraId="36E97C09"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720C4F9A"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Buchbinder</w:t>
      </w:r>
      <w:proofErr w:type="spellEnd"/>
      <w:r w:rsidRPr="00164FE4">
        <w:rPr>
          <w:rFonts w:ascii="Times New Roman" w:eastAsia="Times New Roman" w:hAnsi="Times New Roman" w:cs="Times New Roman"/>
          <w:kern w:val="0"/>
          <w:lang w:val="es-ES" w:eastAsia="es-ES"/>
          <w14:ligatures w14:val="none"/>
        </w:rPr>
        <w:t xml:space="preserve">, Pablo y Mónica Marquina (2008), </w:t>
      </w:r>
      <w:r w:rsidRPr="00164FE4">
        <w:rPr>
          <w:rFonts w:ascii="Times New Roman" w:eastAsia="Times New Roman" w:hAnsi="Times New Roman" w:cs="Times New Roman"/>
          <w:i/>
          <w:iCs/>
          <w:kern w:val="0"/>
          <w:lang w:val="es-ES" w:eastAsia="es-ES"/>
          <w14:ligatures w14:val="none"/>
        </w:rPr>
        <w:t>Masividad, heterogeneidad y fragmentación: el sistema universitario argentino 1983-2007</w:t>
      </w:r>
      <w:r w:rsidRPr="00164FE4">
        <w:rPr>
          <w:rFonts w:ascii="Times New Roman" w:eastAsia="Times New Roman" w:hAnsi="Times New Roman" w:cs="Times New Roman"/>
          <w:kern w:val="0"/>
          <w:lang w:val="es-ES" w:eastAsia="es-ES"/>
          <w14:ligatures w14:val="none"/>
        </w:rPr>
        <w:t>, Los Polvorines, Universidad Nacional de General Sarmiento.</w:t>
      </w:r>
    </w:p>
    <w:p w14:paraId="36482DCD"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5D56C978"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Carli</w:t>
      </w:r>
      <w:proofErr w:type="spellEnd"/>
      <w:r w:rsidRPr="00164FE4">
        <w:rPr>
          <w:rFonts w:ascii="Times New Roman" w:eastAsia="Times New Roman" w:hAnsi="Times New Roman" w:cs="Times New Roman"/>
          <w:kern w:val="0"/>
          <w:lang w:val="es-ES" w:eastAsia="es-ES"/>
          <w14:ligatures w14:val="none"/>
        </w:rPr>
        <w:t xml:space="preserve">, Sandra (2012), </w:t>
      </w:r>
      <w:r w:rsidRPr="00164FE4">
        <w:rPr>
          <w:rFonts w:ascii="Times New Roman" w:eastAsia="Times New Roman" w:hAnsi="Times New Roman" w:cs="Times New Roman"/>
          <w:i/>
          <w:iCs/>
          <w:kern w:val="0"/>
          <w:lang w:val="es-ES" w:eastAsia="es-ES"/>
          <w14:ligatures w14:val="none"/>
        </w:rPr>
        <w:t>El estudiante universitario. Hacia una historia del presente de la educación pública</w:t>
      </w:r>
      <w:r w:rsidRPr="00164FE4">
        <w:rPr>
          <w:rFonts w:ascii="Times New Roman" w:eastAsia="Times New Roman" w:hAnsi="Times New Roman" w:cs="Times New Roman"/>
          <w:kern w:val="0"/>
          <w:lang w:val="es-ES" w:eastAsia="es-ES"/>
          <w14:ligatures w14:val="none"/>
        </w:rPr>
        <w:t>, Buenos Aires, Siglo XXI.</w:t>
      </w:r>
    </w:p>
    <w:p w14:paraId="0A11E4B9"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657BEA9E"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Carlino</w:t>
      </w:r>
      <w:proofErr w:type="spellEnd"/>
      <w:r w:rsidRPr="00164FE4">
        <w:rPr>
          <w:rFonts w:ascii="Times New Roman" w:eastAsia="Times New Roman" w:hAnsi="Times New Roman" w:cs="Times New Roman"/>
          <w:kern w:val="0"/>
          <w:lang w:val="es-ES" w:eastAsia="es-ES"/>
          <w14:ligatures w14:val="none"/>
        </w:rPr>
        <w:t xml:space="preserve">, Paula (2005), </w:t>
      </w:r>
      <w:r w:rsidRPr="00164FE4">
        <w:rPr>
          <w:rFonts w:ascii="Times New Roman" w:eastAsia="Times New Roman" w:hAnsi="Times New Roman" w:cs="Times New Roman"/>
          <w:i/>
          <w:iCs/>
          <w:kern w:val="0"/>
          <w:lang w:val="es-ES" w:eastAsia="es-ES"/>
          <w14:ligatures w14:val="none"/>
        </w:rPr>
        <w:t>Escribir, leer y aprender en la universidad. Una introducción a la alfabetización académica</w:t>
      </w:r>
      <w:r w:rsidRPr="00164FE4">
        <w:rPr>
          <w:rFonts w:ascii="Times New Roman" w:eastAsia="Times New Roman" w:hAnsi="Times New Roman" w:cs="Times New Roman"/>
          <w:kern w:val="0"/>
          <w:lang w:val="es-ES" w:eastAsia="es-ES"/>
          <w14:ligatures w14:val="none"/>
        </w:rPr>
        <w:t>, Buenos Aires, Fondo de Cultura Económica.</w:t>
      </w:r>
    </w:p>
    <w:p w14:paraId="6B80391D"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5DE48A0F"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Chiroleu</w:t>
      </w:r>
      <w:proofErr w:type="spellEnd"/>
      <w:r w:rsidRPr="00164FE4">
        <w:rPr>
          <w:rFonts w:ascii="Times New Roman" w:eastAsia="Times New Roman" w:hAnsi="Times New Roman" w:cs="Times New Roman"/>
          <w:kern w:val="0"/>
          <w:lang w:val="es-ES" w:eastAsia="es-ES"/>
          <w14:ligatures w14:val="none"/>
        </w:rPr>
        <w:t xml:space="preserve">, Adriana (2009), “La inclusión en la educación superior como política pública: tres experiencias en América Latina”, </w:t>
      </w:r>
      <w:r w:rsidRPr="00164FE4">
        <w:rPr>
          <w:rFonts w:ascii="Times New Roman" w:eastAsia="Times New Roman" w:hAnsi="Times New Roman" w:cs="Times New Roman"/>
          <w:i/>
          <w:iCs/>
          <w:kern w:val="0"/>
          <w:lang w:val="es-ES" w:eastAsia="es-ES"/>
          <w14:ligatures w14:val="none"/>
        </w:rPr>
        <w:t>RAES. Revista Argentina de Educación Superior</w:t>
      </w:r>
      <w:r w:rsidRPr="00164FE4">
        <w:rPr>
          <w:rFonts w:ascii="Times New Roman" w:eastAsia="Times New Roman" w:hAnsi="Times New Roman" w:cs="Times New Roman"/>
          <w:kern w:val="0"/>
          <w:lang w:val="es-ES" w:eastAsia="es-ES"/>
          <w14:ligatures w14:val="none"/>
        </w:rPr>
        <w:t>, vol. 1, núm. 1, pp. 36-49.</w:t>
      </w:r>
    </w:p>
    <w:p w14:paraId="311BF84F"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23915969"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Coulon</w:t>
      </w:r>
      <w:proofErr w:type="spellEnd"/>
      <w:r w:rsidRPr="00164FE4">
        <w:rPr>
          <w:rFonts w:ascii="Times New Roman" w:eastAsia="Times New Roman" w:hAnsi="Times New Roman" w:cs="Times New Roman"/>
          <w:kern w:val="0"/>
          <w:lang w:val="es-ES" w:eastAsia="es-ES"/>
          <w14:ligatures w14:val="none"/>
        </w:rPr>
        <w:t xml:space="preserve">, Alain (1997), </w:t>
      </w:r>
      <w:r w:rsidRPr="00164FE4">
        <w:rPr>
          <w:rFonts w:ascii="Times New Roman" w:eastAsia="Times New Roman" w:hAnsi="Times New Roman" w:cs="Times New Roman"/>
          <w:i/>
          <w:iCs/>
          <w:kern w:val="0"/>
          <w:lang w:val="es-ES" w:eastAsia="es-ES"/>
          <w14:ligatures w14:val="none"/>
        </w:rPr>
        <w:t xml:space="preserve">Le </w:t>
      </w:r>
      <w:proofErr w:type="spellStart"/>
      <w:r w:rsidRPr="00164FE4">
        <w:rPr>
          <w:rFonts w:ascii="Times New Roman" w:eastAsia="Times New Roman" w:hAnsi="Times New Roman" w:cs="Times New Roman"/>
          <w:i/>
          <w:iCs/>
          <w:kern w:val="0"/>
          <w:lang w:val="es-ES" w:eastAsia="es-ES"/>
          <w14:ligatures w14:val="none"/>
        </w:rPr>
        <w:t>métier</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d’étudiant</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L’entrée</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dans</w:t>
      </w:r>
      <w:proofErr w:type="spellEnd"/>
      <w:r w:rsidRPr="00164FE4">
        <w:rPr>
          <w:rFonts w:ascii="Times New Roman" w:eastAsia="Times New Roman" w:hAnsi="Times New Roman" w:cs="Times New Roman"/>
          <w:i/>
          <w:iCs/>
          <w:kern w:val="0"/>
          <w:lang w:val="es-ES" w:eastAsia="es-ES"/>
          <w14:ligatures w14:val="none"/>
        </w:rPr>
        <w:t xml:space="preserve"> la vie </w:t>
      </w:r>
      <w:proofErr w:type="spellStart"/>
      <w:r w:rsidRPr="00164FE4">
        <w:rPr>
          <w:rFonts w:ascii="Times New Roman" w:eastAsia="Times New Roman" w:hAnsi="Times New Roman" w:cs="Times New Roman"/>
          <w:i/>
          <w:iCs/>
          <w:kern w:val="0"/>
          <w:lang w:val="es-ES" w:eastAsia="es-ES"/>
          <w14:ligatures w14:val="none"/>
        </w:rPr>
        <w:t>universitaire</w:t>
      </w:r>
      <w:proofErr w:type="spellEnd"/>
      <w:r w:rsidRPr="00164FE4">
        <w:rPr>
          <w:rFonts w:ascii="Times New Roman" w:eastAsia="Times New Roman" w:hAnsi="Times New Roman" w:cs="Times New Roman"/>
          <w:kern w:val="0"/>
          <w:lang w:val="es-ES" w:eastAsia="es-ES"/>
          <w14:ligatures w14:val="none"/>
        </w:rPr>
        <w:t xml:space="preserve">, París, </w:t>
      </w:r>
      <w:proofErr w:type="spellStart"/>
      <w:r w:rsidRPr="00164FE4">
        <w:rPr>
          <w:rFonts w:ascii="Times New Roman" w:eastAsia="Times New Roman" w:hAnsi="Times New Roman" w:cs="Times New Roman"/>
          <w:kern w:val="0"/>
          <w:lang w:val="es-ES" w:eastAsia="es-ES"/>
          <w14:ligatures w14:val="none"/>
        </w:rPr>
        <w:t>Presses</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Universitaires</w:t>
      </w:r>
      <w:proofErr w:type="spellEnd"/>
      <w:r w:rsidRPr="00164FE4">
        <w:rPr>
          <w:rFonts w:ascii="Times New Roman" w:eastAsia="Times New Roman" w:hAnsi="Times New Roman" w:cs="Times New Roman"/>
          <w:kern w:val="0"/>
          <w:lang w:val="es-ES" w:eastAsia="es-ES"/>
          <w14:ligatures w14:val="none"/>
        </w:rPr>
        <w:t xml:space="preserve"> de France.</w:t>
      </w:r>
    </w:p>
    <w:p w14:paraId="1911C266"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543C9951" w14:textId="77777777" w:rsidR="00944860" w:rsidRDefault="00944860" w:rsidP="00164FE4">
      <w:pPr>
        <w:spacing w:after="0" w:line="240" w:lineRule="auto"/>
        <w:jc w:val="both"/>
        <w:rPr>
          <w:rFonts w:ascii="Times New Roman" w:eastAsia="Times New Roman" w:hAnsi="Times New Roman" w:cs="Times New Roman"/>
          <w:kern w:val="0"/>
          <w:lang w:val="es-ES" w:eastAsia="es-ES"/>
          <w14:ligatures w14:val="none"/>
        </w:rPr>
      </w:pPr>
    </w:p>
    <w:p w14:paraId="33D28D19" w14:textId="77777777" w:rsidR="00944860" w:rsidRDefault="00944860" w:rsidP="00164FE4">
      <w:pPr>
        <w:spacing w:after="0" w:line="240" w:lineRule="auto"/>
        <w:jc w:val="both"/>
        <w:rPr>
          <w:rFonts w:ascii="Times New Roman" w:eastAsia="Times New Roman" w:hAnsi="Times New Roman" w:cs="Times New Roman"/>
          <w:kern w:val="0"/>
          <w:lang w:val="es-ES" w:eastAsia="es-ES"/>
          <w14:ligatures w14:val="none"/>
        </w:rPr>
      </w:pPr>
    </w:p>
    <w:p w14:paraId="1A1FE391"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lastRenderedPageBreak/>
        <w:t>Donolo</w:t>
      </w:r>
      <w:proofErr w:type="spellEnd"/>
      <w:r w:rsidRPr="00164FE4">
        <w:rPr>
          <w:rFonts w:ascii="Times New Roman" w:eastAsia="Times New Roman" w:hAnsi="Times New Roman" w:cs="Times New Roman"/>
          <w:kern w:val="0"/>
          <w:lang w:val="es-ES" w:eastAsia="es-ES"/>
          <w14:ligatures w14:val="none"/>
        </w:rPr>
        <w:t xml:space="preserve">, Danilo S. (2009), “Triangulación: Procedimiento incorporado a nuevas metodologías de investigación”, </w:t>
      </w:r>
      <w:r w:rsidRPr="00164FE4">
        <w:rPr>
          <w:rFonts w:ascii="Times New Roman" w:eastAsia="Times New Roman" w:hAnsi="Times New Roman" w:cs="Times New Roman"/>
          <w:i/>
          <w:iCs/>
          <w:kern w:val="0"/>
          <w:lang w:val="es-ES" w:eastAsia="es-ES"/>
          <w14:ligatures w14:val="none"/>
        </w:rPr>
        <w:t>Revista Digital Universitaria</w:t>
      </w:r>
      <w:r w:rsidRPr="00164FE4">
        <w:rPr>
          <w:rFonts w:ascii="Times New Roman" w:eastAsia="Times New Roman" w:hAnsi="Times New Roman" w:cs="Times New Roman"/>
          <w:kern w:val="0"/>
          <w:lang w:val="es-ES" w:eastAsia="es-ES"/>
          <w14:ligatures w14:val="none"/>
        </w:rPr>
        <w:t>, vol. 10, núm. 8, art. 53, pp. 1-10, http://www.revista.unam.mx/vol.10/num8/art53/art53.pdf (Consulta: marzo de 2025).</w:t>
      </w:r>
    </w:p>
    <w:p w14:paraId="595B7268"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546A0405" w14:textId="51ECF09B"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Dubet, François (2005), “Los estudiantes”, </w:t>
      </w:r>
      <w:r w:rsidRPr="00164FE4">
        <w:rPr>
          <w:rFonts w:ascii="Times New Roman" w:eastAsia="Times New Roman" w:hAnsi="Times New Roman" w:cs="Times New Roman"/>
          <w:i/>
          <w:iCs/>
          <w:kern w:val="0"/>
          <w:lang w:val="es-ES" w:eastAsia="es-ES"/>
          <w14:ligatures w14:val="none"/>
        </w:rPr>
        <w:t>CPU-e, Revista de Investigación Educativa</w:t>
      </w:r>
      <w:r w:rsidRPr="00164FE4">
        <w:rPr>
          <w:rFonts w:ascii="Times New Roman" w:eastAsia="Times New Roman" w:hAnsi="Times New Roman" w:cs="Times New Roman"/>
          <w:kern w:val="0"/>
          <w:lang w:val="es-ES" w:eastAsia="es-ES"/>
          <w14:ligatures w14:val="none"/>
        </w:rPr>
        <w:t>, Xalapa</w:t>
      </w:r>
      <w:r>
        <w:rPr>
          <w:rFonts w:ascii="Times New Roman" w:eastAsia="Times New Roman" w:hAnsi="Times New Roman" w:cs="Times New Roman"/>
          <w:kern w:val="0"/>
          <w:lang w:val="es-ES" w:eastAsia="es-ES"/>
          <w14:ligatures w14:val="none"/>
        </w:rPr>
        <w:t>, Universidad Veracruzana, pp. 1-78.</w:t>
      </w:r>
    </w:p>
    <w:p w14:paraId="2440F831"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02292590"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Esquivel, Juan Cruz, Marcos </w:t>
      </w:r>
      <w:proofErr w:type="spellStart"/>
      <w:r w:rsidRPr="00164FE4">
        <w:rPr>
          <w:rFonts w:ascii="Times New Roman" w:eastAsia="Times New Roman" w:hAnsi="Times New Roman" w:cs="Times New Roman"/>
          <w:kern w:val="0"/>
          <w:lang w:val="es-ES" w:eastAsia="es-ES"/>
          <w14:ligatures w14:val="none"/>
        </w:rPr>
        <w:t>Carbonelli</w:t>
      </w:r>
      <w:proofErr w:type="spellEnd"/>
      <w:r w:rsidRPr="00164FE4">
        <w:rPr>
          <w:rFonts w:ascii="Times New Roman" w:eastAsia="Times New Roman" w:hAnsi="Times New Roman" w:cs="Times New Roman"/>
          <w:kern w:val="0"/>
          <w:lang w:val="es-ES" w:eastAsia="es-ES"/>
          <w14:ligatures w14:val="none"/>
        </w:rPr>
        <w:t xml:space="preserve"> y Gabriela Irrazábal (2013), </w:t>
      </w:r>
      <w:r w:rsidRPr="00164FE4">
        <w:rPr>
          <w:rFonts w:ascii="Times New Roman" w:eastAsia="Times New Roman" w:hAnsi="Times New Roman" w:cs="Times New Roman"/>
          <w:i/>
          <w:iCs/>
          <w:kern w:val="0"/>
          <w:lang w:val="es-ES" w:eastAsia="es-ES"/>
          <w14:ligatures w14:val="none"/>
        </w:rPr>
        <w:t>Introducción al conocimiento científico y a la metodología de la investigación social</w:t>
      </w:r>
      <w:r w:rsidRPr="00164FE4">
        <w:rPr>
          <w:rFonts w:ascii="Times New Roman" w:eastAsia="Times New Roman" w:hAnsi="Times New Roman" w:cs="Times New Roman"/>
          <w:kern w:val="0"/>
          <w:lang w:val="es-ES" w:eastAsia="es-ES"/>
          <w14:ligatures w14:val="none"/>
        </w:rPr>
        <w:t>, Florencio Varela, Universidad Nacional Arturo Jauretche (UNAJ).</w:t>
      </w:r>
    </w:p>
    <w:p w14:paraId="6B7E45AB"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7F92AE72"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Ezcurra, Ana María (2011), </w:t>
      </w:r>
      <w:r w:rsidRPr="00164FE4">
        <w:rPr>
          <w:rFonts w:ascii="Times New Roman" w:eastAsia="Times New Roman" w:hAnsi="Times New Roman" w:cs="Times New Roman"/>
          <w:i/>
          <w:iCs/>
          <w:kern w:val="0"/>
          <w:lang w:val="es-ES" w:eastAsia="es-ES"/>
          <w14:ligatures w14:val="none"/>
        </w:rPr>
        <w:t>Igualdad en Educación Superior. Un desafío mundial</w:t>
      </w:r>
      <w:r w:rsidRPr="00164FE4">
        <w:rPr>
          <w:rFonts w:ascii="Times New Roman" w:eastAsia="Times New Roman" w:hAnsi="Times New Roman" w:cs="Times New Roman"/>
          <w:kern w:val="0"/>
          <w:lang w:val="es-ES" w:eastAsia="es-ES"/>
          <w14:ligatures w14:val="none"/>
        </w:rPr>
        <w:t>, Los Polvorines, Universidad Nacional de General Sarmiento.</w:t>
      </w:r>
    </w:p>
    <w:p w14:paraId="6643911A"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393B40E8"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Farrokhnia</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Mohammadreza</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Seyyed</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Kazem</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Banihashem</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Omid</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Noroozi</w:t>
      </w:r>
      <w:proofErr w:type="spellEnd"/>
      <w:r w:rsidRPr="00164FE4">
        <w:rPr>
          <w:rFonts w:ascii="Times New Roman" w:eastAsia="Times New Roman" w:hAnsi="Times New Roman" w:cs="Times New Roman"/>
          <w:kern w:val="0"/>
          <w:lang w:val="es-ES" w:eastAsia="es-ES"/>
          <w14:ligatures w14:val="none"/>
        </w:rPr>
        <w:t xml:space="preserve"> y Arjen </w:t>
      </w:r>
      <w:proofErr w:type="spellStart"/>
      <w:r w:rsidRPr="00164FE4">
        <w:rPr>
          <w:rFonts w:ascii="Times New Roman" w:eastAsia="Times New Roman" w:hAnsi="Times New Roman" w:cs="Times New Roman"/>
          <w:kern w:val="0"/>
          <w:lang w:val="es-ES" w:eastAsia="es-ES"/>
          <w14:ligatures w14:val="none"/>
        </w:rPr>
        <w:t>Wals</w:t>
      </w:r>
      <w:proofErr w:type="spellEnd"/>
      <w:r w:rsidRPr="00164FE4">
        <w:rPr>
          <w:rFonts w:ascii="Times New Roman" w:eastAsia="Times New Roman" w:hAnsi="Times New Roman" w:cs="Times New Roman"/>
          <w:kern w:val="0"/>
          <w:lang w:val="es-ES" w:eastAsia="es-ES"/>
          <w14:ligatures w14:val="none"/>
        </w:rPr>
        <w:t xml:space="preserve"> (2024), “A SWOT </w:t>
      </w:r>
      <w:proofErr w:type="spellStart"/>
      <w:r w:rsidRPr="00164FE4">
        <w:rPr>
          <w:rFonts w:ascii="Times New Roman" w:eastAsia="Times New Roman" w:hAnsi="Times New Roman" w:cs="Times New Roman"/>
          <w:kern w:val="0"/>
          <w:lang w:val="es-ES" w:eastAsia="es-ES"/>
          <w14:ligatures w14:val="none"/>
        </w:rPr>
        <w:t>analysis</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of</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ChatGPT</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Implications</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for</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educational</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practice</w:t>
      </w:r>
      <w:proofErr w:type="spellEnd"/>
      <w:r w:rsidRPr="00164FE4">
        <w:rPr>
          <w:rFonts w:ascii="Times New Roman" w:eastAsia="Times New Roman" w:hAnsi="Times New Roman" w:cs="Times New Roman"/>
          <w:kern w:val="0"/>
          <w:lang w:val="es-ES" w:eastAsia="es-ES"/>
          <w14:ligatures w14:val="none"/>
        </w:rPr>
        <w:t xml:space="preserve"> and </w:t>
      </w:r>
      <w:proofErr w:type="spellStart"/>
      <w:r w:rsidRPr="00164FE4">
        <w:rPr>
          <w:rFonts w:ascii="Times New Roman" w:eastAsia="Times New Roman" w:hAnsi="Times New Roman" w:cs="Times New Roman"/>
          <w:kern w:val="0"/>
          <w:lang w:val="es-ES" w:eastAsia="es-ES"/>
          <w14:ligatures w14:val="none"/>
        </w:rPr>
        <w:t>research</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Innovations</w:t>
      </w:r>
      <w:proofErr w:type="spellEnd"/>
      <w:r w:rsidRPr="00164FE4">
        <w:rPr>
          <w:rFonts w:ascii="Times New Roman" w:eastAsia="Times New Roman" w:hAnsi="Times New Roman" w:cs="Times New Roman"/>
          <w:i/>
          <w:iCs/>
          <w:kern w:val="0"/>
          <w:lang w:val="es-ES" w:eastAsia="es-ES"/>
          <w14:ligatures w14:val="none"/>
        </w:rPr>
        <w:t xml:space="preserve"> in </w:t>
      </w:r>
      <w:proofErr w:type="spellStart"/>
      <w:r w:rsidRPr="00164FE4">
        <w:rPr>
          <w:rFonts w:ascii="Times New Roman" w:eastAsia="Times New Roman" w:hAnsi="Times New Roman" w:cs="Times New Roman"/>
          <w:i/>
          <w:iCs/>
          <w:kern w:val="0"/>
          <w:lang w:val="es-ES" w:eastAsia="es-ES"/>
          <w14:ligatures w14:val="none"/>
        </w:rPr>
        <w:t>Education</w:t>
      </w:r>
      <w:proofErr w:type="spellEnd"/>
      <w:r w:rsidRPr="00164FE4">
        <w:rPr>
          <w:rFonts w:ascii="Times New Roman" w:eastAsia="Times New Roman" w:hAnsi="Times New Roman" w:cs="Times New Roman"/>
          <w:i/>
          <w:iCs/>
          <w:kern w:val="0"/>
          <w:lang w:val="es-ES" w:eastAsia="es-ES"/>
          <w14:ligatures w14:val="none"/>
        </w:rPr>
        <w:t xml:space="preserve"> and </w:t>
      </w:r>
      <w:proofErr w:type="spellStart"/>
      <w:r w:rsidRPr="00164FE4">
        <w:rPr>
          <w:rFonts w:ascii="Times New Roman" w:eastAsia="Times New Roman" w:hAnsi="Times New Roman" w:cs="Times New Roman"/>
          <w:i/>
          <w:iCs/>
          <w:kern w:val="0"/>
          <w:lang w:val="es-ES" w:eastAsia="es-ES"/>
          <w14:ligatures w14:val="none"/>
        </w:rPr>
        <w:t>Teaching</w:t>
      </w:r>
      <w:proofErr w:type="spellEnd"/>
      <w:r w:rsidRPr="00164FE4">
        <w:rPr>
          <w:rFonts w:ascii="Times New Roman" w:eastAsia="Times New Roman" w:hAnsi="Times New Roman" w:cs="Times New Roman"/>
          <w:i/>
          <w:iCs/>
          <w:kern w:val="0"/>
          <w:lang w:val="es-ES" w:eastAsia="es-ES"/>
          <w14:ligatures w14:val="none"/>
        </w:rPr>
        <w:t xml:space="preserve"> International</w:t>
      </w:r>
      <w:r w:rsidRPr="00164FE4">
        <w:rPr>
          <w:rFonts w:ascii="Times New Roman" w:eastAsia="Times New Roman" w:hAnsi="Times New Roman" w:cs="Times New Roman"/>
          <w:kern w:val="0"/>
          <w:lang w:val="es-ES" w:eastAsia="es-ES"/>
          <w14:ligatures w14:val="none"/>
        </w:rPr>
        <w:t xml:space="preserve">, vol. 61, núm. 3, pp. 460-474, </w:t>
      </w:r>
      <w:proofErr w:type="spellStart"/>
      <w:r w:rsidRPr="00164FE4">
        <w:rPr>
          <w:rFonts w:ascii="Times New Roman" w:eastAsia="Times New Roman" w:hAnsi="Times New Roman" w:cs="Times New Roman"/>
          <w:kern w:val="0"/>
          <w:lang w:val="es-ES" w:eastAsia="es-ES"/>
          <w14:ligatures w14:val="none"/>
        </w:rPr>
        <w:t>doi</w:t>
      </w:r>
      <w:proofErr w:type="spellEnd"/>
      <w:r w:rsidRPr="00164FE4">
        <w:rPr>
          <w:rFonts w:ascii="Times New Roman" w:eastAsia="Times New Roman" w:hAnsi="Times New Roman" w:cs="Times New Roman"/>
          <w:kern w:val="0"/>
          <w:lang w:val="es-ES" w:eastAsia="es-ES"/>
          <w14:ligatures w14:val="none"/>
        </w:rPr>
        <w:t>: https://doi.org/10.1080/14703297.2023.2195846.</w:t>
      </w:r>
    </w:p>
    <w:p w14:paraId="49228682"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3135C7A5" w14:textId="78F2128B"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Figuera, Pilar (2012), “La transición a la universidad desde la perspectiva del estudiante”, en Joaquín </w:t>
      </w:r>
      <w:proofErr w:type="spellStart"/>
      <w:r w:rsidRPr="00164FE4">
        <w:rPr>
          <w:rFonts w:ascii="Times New Roman" w:eastAsia="Times New Roman" w:hAnsi="Times New Roman" w:cs="Times New Roman"/>
          <w:kern w:val="0"/>
          <w:lang w:val="es-ES" w:eastAsia="es-ES"/>
          <w14:ligatures w14:val="none"/>
        </w:rPr>
        <w:t>Gairín</w:t>
      </w:r>
      <w:proofErr w:type="spellEnd"/>
      <w:r w:rsidRPr="00164FE4">
        <w:rPr>
          <w:rFonts w:ascii="Times New Roman" w:eastAsia="Times New Roman" w:hAnsi="Times New Roman" w:cs="Times New Roman"/>
          <w:kern w:val="0"/>
          <w:lang w:val="es-ES" w:eastAsia="es-ES"/>
          <w14:ligatures w14:val="none"/>
        </w:rPr>
        <w:t xml:space="preserve"> (ed.), </w:t>
      </w:r>
      <w:r w:rsidRPr="00164FE4">
        <w:rPr>
          <w:rFonts w:ascii="Times New Roman" w:eastAsia="Times New Roman" w:hAnsi="Times New Roman" w:cs="Times New Roman"/>
          <w:i/>
          <w:iCs/>
          <w:kern w:val="0"/>
          <w:lang w:val="es-ES" w:eastAsia="es-ES"/>
          <w14:ligatures w14:val="none"/>
        </w:rPr>
        <w:t>La transición entre etapas educativas</w:t>
      </w:r>
      <w:r w:rsidRPr="00164FE4">
        <w:rPr>
          <w:rFonts w:ascii="Times New Roman" w:eastAsia="Times New Roman" w:hAnsi="Times New Roman" w:cs="Times New Roman"/>
          <w:kern w:val="0"/>
          <w:lang w:val="es-ES" w:eastAsia="es-ES"/>
          <w14:ligatures w14:val="none"/>
        </w:rPr>
        <w:t xml:space="preserve">, Barcelona, </w:t>
      </w:r>
      <w:proofErr w:type="spellStart"/>
      <w:r w:rsidRPr="00164FE4">
        <w:rPr>
          <w:rFonts w:ascii="Times New Roman" w:eastAsia="Times New Roman" w:hAnsi="Times New Roman" w:cs="Times New Roman"/>
          <w:kern w:val="0"/>
          <w:lang w:val="es-ES" w:eastAsia="es-ES"/>
          <w14:ligatures w14:val="none"/>
        </w:rPr>
        <w:t>Universi</w:t>
      </w:r>
      <w:r>
        <w:rPr>
          <w:rFonts w:ascii="Times New Roman" w:eastAsia="Times New Roman" w:hAnsi="Times New Roman" w:cs="Times New Roman"/>
          <w:kern w:val="0"/>
          <w:lang w:val="es-ES" w:eastAsia="es-ES"/>
          <w14:ligatures w14:val="none"/>
        </w:rPr>
        <w:t>tat</w:t>
      </w:r>
      <w:proofErr w:type="spellEnd"/>
      <w:r>
        <w:rPr>
          <w:rFonts w:ascii="Times New Roman" w:eastAsia="Times New Roman" w:hAnsi="Times New Roman" w:cs="Times New Roman"/>
          <w:kern w:val="0"/>
          <w:lang w:val="es-ES" w:eastAsia="es-ES"/>
          <w14:ligatures w14:val="none"/>
        </w:rPr>
        <w:t xml:space="preserve"> </w:t>
      </w:r>
      <w:proofErr w:type="spellStart"/>
      <w:r>
        <w:rPr>
          <w:rFonts w:ascii="Times New Roman" w:eastAsia="Times New Roman" w:hAnsi="Times New Roman" w:cs="Times New Roman"/>
          <w:kern w:val="0"/>
          <w:lang w:val="es-ES" w:eastAsia="es-ES"/>
          <w14:ligatures w14:val="none"/>
        </w:rPr>
        <w:t>Autònoma</w:t>
      </w:r>
      <w:proofErr w:type="spellEnd"/>
      <w:r>
        <w:rPr>
          <w:rFonts w:ascii="Times New Roman" w:eastAsia="Times New Roman" w:hAnsi="Times New Roman" w:cs="Times New Roman"/>
          <w:kern w:val="0"/>
          <w:lang w:val="es-ES" w:eastAsia="es-ES"/>
          <w14:ligatures w14:val="none"/>
        </w:rPr>
        <w:t xml:space="preserve"> de Barcelona.</w:t>
      </w:r>
    </w:p>
    <w:p w14:paraId="4C8F10ED"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7738C3BA"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Filmus, Daniel, Carina Kaplan, Ana Miranda y Mariana Moragues (2001), </w:t>
      </w:r>
      <w:r w:rsidRPr="00164FE4">
        <w:rPr>
          <w:rFonts w:ascii="Times New Roman" w:eastAsia="Times New Roman" w:hAnsi="Times New Roman" w:cs="Times New Roman"/>
          <w:i/>
          <w:iCs/>
          <w:kern w:val="0"/>
          <w:lang w:val="es-ES" w:eastAsia="es-ES"/>
          <w14:ligatures w14:val="none"/>
        </w:rPr>
        <w:t>Cada vez más necesaria, cada vez más insuficiente: Escuela media y mercado de trabajo en épocas de globalización</w:t>
      </w:r>
      <w:r w:rsidRPr="00164FE4">
        <w:rPr>
          <w:rFonts w:ascii="Times New Roman" w:eastAsia="Times New Roman" w:hAnsi="Times New Roman" w:cs="Times New Roman"/>
          <w:kern w:val="0"/>
          <w:lang w:val="es-ES" w:eastAsia="es-ES"/>
          <w14:ligatures w14:val="none"/>
        </w:rPr>
        <w:t>, Buenos Aires, Santillana.</w:t>
      </w:r>
    </w:p>
    <w:p w14:paraId="27893CED"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57B9BF03"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Gallent</w:t>
      </w:r>
      <w:proofErr w:type="spellEnd"/>
      <w:r w:rsidRPr="00164FE4">
        <w:rPr>
          <w:rFonts w:ascii="Times New Roman" w:eastAsia="Times New Roman" w:hAnsi="Times New Roman" w:cs="Times New Roman"/>
          <w:kern w:val="0"/>
          <w:lang w:val="es-ES" w:eastAsia="es-ES"/>
          <w14:ligatures w14:val="none"/>
        </w:rPr>
        <w:t xml:space="preserve">-Torres, Carles, Antonio Zapata-González y José Luis </w:t>
      </w:r>
      <w:proofErr w:type="spellStart"/>
      <w:r w:rsidRPr="00164FE4">
        <w:rPr>
          <w:rFonts w:ascii="Times New Roman" w:eastAsia="Times New Roman" w:hAnsi="Times New Roman" w:cs="Times New Roman"/>
          <w:kern w:val="0"/>
          <w:lang w:val="es-ES" w:eastAsia="es-ES"/>
          <w14:ligatures w14:val="none"/>
        </w:rPr>
        <w:t>Ortego</w:t>
      </w:r>
      <w:proofErr w:type="spellEnd"/>
      <w:r w:rsidRPr="00164FE4">
        <w:rPr>
          <w:rFonts w:ascii="Times New Roman" w:eastAsia="Times New Roman" w:hAnsi="Times New Roman" w:cs="Times New Roman"/>
          <w:kern w:val="0"/>
          <w:lang w:val="es-ES" w:eastAsia="es-ES"/>
          <w14:ligatures w14:val="none"/>
        </w:rPr>
        <w:t xml:space="preserve">-Hernando (2023), “El impacto de la inteligencia artificial generativa en educación superior: una mirada desde la ética y la integridad académica”, </w:t>
      </w:r>
      <w:r w:rsidRPr="00164FE4">
        <w:rPr>
          <w:rFonts w:ascii="Times New Roman" w:eastAsia="Times New Roman" w:hAnsi="Times New Roman" w:cs="Times New Roman"/>
          <w:i/>
          <w:iCs/>
          <w:kern w:val="0"/>
          <w:lang w:val="es-ES" w:eastAsia="es-ES"/>
          <w14:ligatures w14:val="none"/>
        </w:rPr>
        <w:t>RELIEVE. Revista Electrónica de Investigación y Evaluación Educativa</w:t>
      </w:r>
      <w:r w:rsidRPr="00164FE4">
        <w:rPr>
          <w:rFonts w:ascii="Times New Roman" w:eastAsia="Times New Roman" w:hAnsi="Times New Roman" w:cs="Times New Roman"/>
          <w:kern w:val="0"/>
          <w:lang w:val="es-ES" w:eastAsia="es-ES"/>
          <w14:ligatures w14:val="none"/>
        </w:rPr>
        <w:t xml:space="preserve">, vol. 29, núm. 2, art. M5, pp. 1-21, </w:t>
      </w:r>
      <w:proofErr w:type="spellStart"/>
      <w:r w:rsidRPr="00164FE4">
        <w:rPr>
          <w:rFonts w:ascii="Times New Roman" w:eastAsia="Times New Roman" w:hAnsi="Times New Roman" w:cs="Times New Roman"/>
          <w:kern w:val="0"/>
          <w:lang w:val="es-ES" w:eastAsia="es-ES"/>
          <w14:ligatures w14:val="none"/>
        </w:rPr>
        <w:t>doi</w:t>
      </w:r>
      <w:proofErr w:type="spellEnd"/>
      <w:r w:rsidRPr="00164FE4">
        <w:rPr>
          <w:rFonts w:ascii="Times New Roman" w:eastAsia="Times New Roman" w:hAnsi="Times New Roman" w:cs="Times New Roman"/>
          <w:kern w:val="0"/>
          <w:lang w:val="es-ES" w:eastAsia="es-ES"/>
          <w14:ligatures w14:val="none"/>
        </w:rPr>
        <w:t>: https://doi.org/10.30827/relieve.v29i2.29134.</w:t>
      </w:r>
    </w:p>
    <w:p w14:paraId="56F307FE"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0BE1CD74"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García de </w:t>
      </w:r>
      <w:proofErr w:type="spellStart"/>
      <w:r w:rsidRPr="00164FE4">
        <w:rPr>
          <w:rFonts w:ascii="Times New Roman" w:eastAsia="Times New Roman" w:hAnsi="Times New Roman" w:cs="Times New Roman"/>
          <w:kern w:val="0"/>
          <w:lang w:val="es-ES" w:eastAsia="es-ES"/>
          <w14:ligatures w14:val="none"/>
        </w:rPr>
        <w:t>Fanelli</w:t>
      </w:r>
      <w:proofErr w:type="spellEnd"/>
      <w:r w:rsidRPr="00164FE4">
        <w:rPr>
          <w:rFonts w:ascii="Times New Roman" w:eastAsia="Times New Roman" w:hAnsi="Times New Roman" w:cs="Times New Roman"/>
          <w:kern w:val="0"/>
          <w:lang w:val="es-ES" w:eastAsia="es-ES"/>
          <w14:ligatures w14:val="none"/>
        </w:rPr>
        <w:t xml:space="preserve">, Ana María (2014), “Rendimiento académico y abandono universitario: Modelos, resultados y alcances de la producción académica argentina”, </w:t>
      </w:r>
      <w:r w:rsidRPr="00164FE4">
        <w:rPr>
          <w:rFonts w:ascii="Times New Roman" w:eastAsia="Times New Roman" w:hAnsi="Times New Roman" w:cs="Times New Roman"/>
          <w:i/>
          <w:iCs/>
          <w:kern w:val="0"/>
          <w:lang w:val="es-ES" w:eastAsia="es-ES"/>
          <w14:ligatures w14:val="none"/>
        </w:rPr>
        <w:t>RAES. Revista Argentina de Educación Superior</w:t>
      </w:r>
      <w:r w:rsidRPr="00164FE4">
        <w:rPr>
          <w:rFonts w:ascii="Times New Roman" w:eastAsia="Times New Roman" w:hAnsi="Times New Roman" w:cs="Times New Roman"/>
          <w:kern w:val="0"/>
          <w:lang w:val="es-ES" w:eastAsia="es-ES"/>
          <w14:ligatures w14:val="none"/>
        </w:rPr>
        <w:t>, vol. 6, núm. 8, pp. 9-38.</w:t>
      </w:r>
    </w:p>
    <w:p w14:paraId="44868872"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70939C2D" w14:textId="6C40DE45"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Gil, F. (2017), “La articulación entre la educación secundaria y la universidad en Argentina”, </w:t>
      </w:r>
      <w:r w:rsidRPr="00164FE4">
        <w:rPr>
          <w:rFonts w:ascii="Times New Roman" w:eastAsia="Times New Roman" w:hAnsi="Times New Roman" w:cs="Times New Roman"/>
          <w:i/>
          <w:iCs/>
          <w:kern w:val="0"/>
          <w:lang w:val="es-ES" w:eastAsia="es-ES"/>
          <w14:ligatures w14:val="none"/>
        </w:rPr>
        <w:t>Propuesta Educativa</w:t>
      </w:r>
      <w:r w:rsidRPr="00164FE4">
        <w:rPr>
          <w:rFonts w:ascii="Times New Roman" w:eastAsia="Times New Roman" w:hAnsi="Times New Roman" w:cs="Times New Roman"/>
          <w:kern w:val="0"/>
          <w:lang w:val="es-ES" w:eastAsia="es-ES"/>
          <w14:ligatures w14:val="none"/>
        </w:rPr>
        <w:t>, núm. 47</w:t>
      </w:r>
      <w:r>
        <w:rPr>
          <w:rFonts w:ascii="Times New Roman" w:eastAsia="Times New Roman" w:hAnsi="Times New Roman" w:cs="Times New Roman"/>
          <w:kern w:val="0"/>
          <w:lang w:val="es-ES" w:eastAsia="es-ES"/>
          <w14:ligatures w14:val="none"/>
        </w:rPr>
        <w:t xml:space="preserve">, pp. 36-52. </w:t>
      </w:r>
    </w:p>
    <w:p w14:paraId="782D49D6"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69DB5DA9"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Giri</w:t>
      </w:r>
      <w:proofErr w:type="spellEnd"/>
      <w:r w:rsidRPr="00164FE4">
        <w:rPr>
          <w:rFonts w:ascii="Times New Roman" w:eastAsia="Times New Roman" w:hAnsi="Times New Roman" w:cs="Times New Roman"/>
          <w:kern w:val="0"/>
          <w:lang w:val="es-ES" w:eastAsia="es-ES"/>
          <w14:ligatures w14:val="none"/>
        </w:rPr>
        <w:t xml:space="preserve">, Lucas, Pablo </w:t>
      </w:r>
      <w:proofErr w:type="spellStart"/>
      <w:r w:rsidRPr="00164FE4">
        <w:rPr>
          <w:rFonts w:ascii="Times New Roman" w:eastAsia="Times New Roman" w:hAnsi="Times New Roman" w:cs="Times New Roman"/>
          <w:kern w:val="0"/>
          <w:lang w:val="es-ES" w:eastAsia="es-ES"/>
          <w14:ligatures w14:val="none"/>
        </w:rPr>
        <w:t>Melogno</w:t>
      </w:r>
      <w:proofErr w:type="spellEnd"/>
      <w:r w:rsidRPr="00164FE4">
        <w:rPr>
          <w:rFonts w:ascii="Times New Roman" w:eastAsia="Times New Roman" w:hAnsi="Times New Roman" w:cs="Times New Roman"/>
          <w:kern w:val="0"/>
          <w:lang w:val="es-ES" w:eastAsia="es-ES"/>
          <w14:ligatures w14:val="none"/>
        </w:rPr>
        <w:t xml:space="preserve"> y Hernán Miguel (eds.) (2023), </w:t>
      </w:r>
      <w:proofErr w:type="spellStart"/>
      <w:r w:rsidRPr="00164FE4">
        <w:rPr>
          <w:rFonts w:ascii="Times New Roman" w:eastAsia="Times New Roman" w:hAnsi="Times New Roman" w:cs="Times New Roman"/>
          <w:i/>
          <w:iCs/>
          <w:kern w:val="0"/>
          <w:lang w:val="es-ES" w:eastAsia="es-ES"/>
          <w14:ligatures w14:val="none"/>
        </w:rPr>
        <w:t>Perspectives</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on</w:t>
      </w:r>
      <w:proofErr w:type="spellEnd"/>
      <w:r w:rsidRPr="00164FE4">
        <w:rPr>
          <w:rFonts w:ascii="Times New Roman" w:eastAsia="Times New Roman" w:hAnsi="Times New Roman" w:cs="Times New Roman"/>
          <w:i/>
          <w:iCs/>
          <w:kern w:val="0"/>
          <w:lang w:val="es-ES" w:eastAsia="es-ES"/>
          <w14:ligatures w14:val="none"/>
        </w:rPr>
        <w:t xml:space="preserve"> Kuhn: </w:t>
      </w:r>
      <w:proofErr w:type="spellStart"/>
      <w:r w:rsidRPr="00164FE4">
        <w:rPr>
          <w:rFonts w:ascii="Times New Roman" w:eastAsia="Times New Roman" w:hAnsi="Times New Roman" w:cs="Times New Roman"/>
          <w:i/>
          <w:iCs/>
          <w:kern w:val="0"/>
          <w:lang w:val="es-ES" w:eastAsia="es-ES"/>
          <w14:ligatures w14:val="none"/>
        </w:rPr>
        <w:t>Contemporary</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Approaches</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to</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the</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Philosophy</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of</w:t>
      </w:r>
      <w:proofErr w:type="spellEnd"/>
      <w:r w:rsidRPr="00164FE4">
        <w:rPr>
          <w:rFonts w:ascii="Times New Roman" w:eastAsia="Times New Roman" w:hAnsi="Times New Roman" w:cs="Times New Roman"/>
          <w:i/>
          <w:iCs/>
          <w:kern w:val="0"/>
          <w:lang w:val="es-ES" w:eastAsia="es-ES"/>
          <w14:ligatures w14:val="none"/>
        </w:rPr>
        <w:t xml:space="preserve"> Thomas Kuhn</w:t>
      </w:r>
      <w:r w:rsidRPr="00164FE4">
        <w:rPr>
          <w:rFonts w:ascii="Times New Roman" w:eastAsia="Times New Roman" w:hAnsi="Times New Roman" w:cs="Times New Roman"/>
          <w:kern w:val="0"/>
          <w:lang w:val="es-ES" w:eastAsia="es-ES"/>
          <w14:ligatures w14:val="none"/>
        </w:rPr>
        <w:t xml:space="preserve">, Cham, Springer, </w:t>
      </w:r>
      <w:proofErr w:type="spellStart"/>
      <w:r w:rsidRPr="00164FE4">
        <w:rPr>
          <w:rFonts w:ascii="Times New Roman" w:eastAsia="Times New Roman" w:hAnsi="Times New Roman" w:cs="Times New Roman"/>
          <w:kern w:val="0"/>
          <w:lang w:val="es-ES" w:eastAsia="es-ES"/>
          <w14:ligatures w14:val="none"/>
        </w:rPr>
        <w:t>doi</w:t>
      </w:r>
      <w:proofErr w:type="spellEnd"/>
      <w:r w:rsidRPr="00164FE4">
        <w:rPr>
          <w:rFonts w:ascii="Times New Roman" w:eastAsia="Times New Roman" w:hAnsi="Times New Roman" w:cs="Times New Roman"/>
          <w:kern w:val="0"/>
          <w:lang w:val="es-ES" w:eastAsia="es-ES"/>
          <w14:ligatures w14:val="none"/>
        </w:rPr>
        <w:t>: https://doi.org/10.1007/978-3-031-16372-2.</w:t>
      </w:r>
    </w:p>
    <w:p w14:paraId="7C76A16E"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1FA50B37"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lastRenderedPageBreak/>
        <w:t>Litwin</w:t>
      </w:r>
      <w:proofErr w:type="spellEnd"/>
      <w:r w:rsidRPr="00164FE4">
        <w:rPr>
          <w:rFonts w:ascii="Times New Roman" w:eastAsia="Times New Roman" w:hAnsi="Times New Roman" w:cs="Times New Roman"/>
          <w:kern w:val="0"/>
          <w:lang w:val="es-ES" w:eastAsia="es-ES"/>
          <w14:ligatures w14:val="none"/>
        </w:rPr>
        <w:t xml:space="preserve">, Edith (2008), </w:t>
      </w:r>
      <w:r w:rsidRPr="00164FE4">
        <w:rPr>
          <w:rFonts w:ascii="Times New Roman" w:eastAsia="Times New Roman" w:hAnsi="Times New Roman" w:cs="Times New Roman"/>
          <w:i/>
          <w:iCs/>
          <w:kern w:val="0"/>
          <w:lang w:val="es-ES" w:eastAsia="es-ES"/>
          <w14:ligatures w14:val="none"/>
        </w:rPr>
        <w:t>El oficio de enseñar</w:t>
      </w:r>
      <w:r w:rsidRPr="00164FE4">
        <w:rPr>
          <w:rFonts w:ascii="Times New Roman" w:eastAsia="Times New Roman" w:hAnsi="Times New Roman" w:cs="Times New Roman"/>
          <w:kern w:val="0"/>
          <w:lang w:val="es-ES" w:eastAsia="es-ES"/>
          <w14:ligatures w14:val="none"/>
        </w:rPr>
        <w:t>, Buenos Aires, Paidós.</w:t>
      </w:r>
    </w:p>
    <w:p w14:paraId="6E1C018D"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19AC0943"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Niella</w:t>
      </w:r>
      <w:proofErr w:type="spellEnd"/>
      <w:r w:rsidRPr="00164FE4">
        <w:rPr>
          <w:rFonts w:ascii="Times New Roman" w:eastAsia="Times New Roman" w:hAnsi="Times New Roman" w:cs="Times New Roman"/>
          <w:kern w:val="0"/>
          <w:lang w:val="es-ES" w:eastAsia="es-ES"/>
          <w14:ligatures w14:val="none"/>
        </w:rPr>
        <w:t xml:space="preserve">, Montserrat &amp; Dorio Alcaraz, Inma &amp; Figuera, P. &amp; Fonseca, Mercedes. (2021). Percepción de los factores de transición a la universidad: incidencia de la realidad plural de los estudiantes. </w:t>
      </w:r>
      <w:r w:rsidRPr="00164FE4">
        <w:rPr>
          <w:rFonts w:ascii="Times New Roman" w:eastAsia="Times New Roman" w:hAnsi="Times New Roman" w:cs="Times New Roman"/>
          <w:i/>
          <w:kern w:val="0"/>
          <w:lang w:val="es-ES" w:eastAsia="es-ES"/>
          <w14:ligatures w14:val="none"/>
        </w:rPr>
        <w:t xml:space="preserve">REIRE Revista d </w:t>
      </w:r>
      <w:proofErr w:type="spellStart"/>
      <w:r w:rsidRPr="00164FE4">
        <w:rPr>
          <w:rFonts w:ascii="Times New Roman" w:eastAsia="Times New Roman" w:hAnsi="Times New Roman" w:cs="Times New Roman"/>
          <w:i/>
          <w:kern w:val="0"/>
          <w:lang w:val="es-ES" w:eastAsia="es-ES"/>
          <w14:ligatures w14:val="none"/>
        </w:rPr>
        <w:t>Innovació</w:t>
      </w:r>
      <w:proofErr w:type="spellEnd"/>
      <w:r w:rsidRPr="00164FE4">
        <w:rPr>
          <w:rFonts w:ascii="Times New Roman" w:eastAsia="Times New Roman" w:hAnsi="Times New Roman" w:cs="Times New Roman"/>
          <w:i/>
          <w:kern w:val="0"/>
          <w:lang w:val="es-ES" w:eastAsia="es-ES"/>
          <w14:ligatures w14:val="none"/>
        </w:rPr>
        <w:t xml:space="preserve"> i Recerca en </w:t>
      </w:r>
      <w:proofErr w:type="spellStart"/>
      <w:r w:rsidRPr="00164FE4">
        <w:rPr>
          <w:rFonts w:ascii="Times New Roman" w:eastAsia="Times New Roman" w:hAnsi="Times New Roman" w:cs="Times New Roman"/>
          <w:i/>
          <w:kern w:val="0"/>
          <w:lang w:val="es-ES" w:eastAsia="es-ES"/>
          <w14:ligatures w14:val="none"/>
        </w:rPr>
        <w:t>Educació</w:t>
      </w:r>
      <w:proofErr w:type="spellEnd"/>
      <w:r w:rsidRPr="00164FE4">
        <w:rPr>
          <w:rFonts w:ascii="Times New Roman" w:eastAsia="Times New Roman" w:hAnsi="Times New Roman" w:cs="Times New Roman"/>
          <w:i/>
          <w:kern w:val="0"/>
          <w:lang w:val="es-ES" w:eastAsia="es-ES"/>
          <w14:ligatures w14:val="none"/>
        </w:rPr>
        <w:t xml:space="preserve">, </w:t>
      </w:r>
      <w:r w:rsidRPr="00164FE4">
        <w:rPr>
          <w:rFonts w:ascii="Times New Roman" w:eastAsia="Times New Roman" w:hAnsi="Times New Roman" w:cs="Times New Roman"/>
          <w:kern w:val="0"/>
          <w:lang w:val="es-ES" w:eastAsia="es-ES"/>
          <w14:ligatures w14:val="none"/>
        </w:rPr>
        <w:t>núm. 14. 10.1344/reire2021.14.233236.</w:t>
      </w:r>
    </w:p>
    <w:p w14:paraId="43748385"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77EBFF5E"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Navarro, Federico (2021) Más allá de la alfabetización académica: las funciones de la escritura en educación superior. </w:t>
      </w:r>
      <w:r w:rsidRPr="00164FE4">
        <w:rPr>
          <w:rFonts w:ascii="Times New Roman" w:eastAsia="Times New Roman" w:hAnsi="Times New Roman" w:cs="Times New Roman"/>
          <w:i/>
          <w:kern w:val="0"/>
          <w:lang w:val="es-ES" w:eastAsia="es-ES"/>
          <w14:ligatures w14:val="none"/>
        </w:rPr>
        <w:t>Revista Electrónica Leer, Escribir y Descubrir</w:t>
      </w:r>
      <w:r w:rsidRPr="00164FE4">
        <w:rPr>
          <w:rFonts w:ascii="Times New Roman" w:eastAsia="Times New Roman" w:hAnsi="Times New Roman" w:cs="Times New Roman"/>
          <w:kern w:val="0"/>
          <w:lang w:val="es-ES" w:eastAsia="es-ES"/>
          <w14:ligatures w14:val="none"/>
        </w:rPr>
        <w:t>, núm. 9, pp. 38-56.</w:t>
      </w:r>
    </w:p>
    <w:p w14:paraId="67E6648C"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33B0A38C"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Ricci, Mabel y Luis Liberman (2013), “Formación continua en la docencia universitaria: Un análisis de intervención para el fortalecimiento de la gestión”, en </w:t>
      </w:r>
      <w:r w:rsidRPr="00164FE4">
        <w:rPr>
          <w:rFonts w:ascii="Times New Roman" w:eastAsia="Times New Roman" w:hAnsi="Times New Roman" w:cs="Times New Roman"/>
          <w:i/>
          <w:iCs/>
          <w:kern w:val="0"/>
          <w:lang w:val="es-ES" w:eastAsia="es-ES"/>
          <w14:ligatures w14:val="none"/>
        </w:rPr>
        <w:t xml:space="preserve">XIII </w:t>
      </w:r>
      <w:proofErr w:type="spellStart"/>
      <w:r w:rsidRPr="00164FE4">
        <w:rPr>
          <w:rFonts w:ascii="Times New Roman" w:eastAsia="Times New Roman" w:hAnsi="Times New Roman" w:cs="Times New Roman"/>
          <w:i/>
          <w:iCs/>
          <w:kern w:val="0"/>
          <w:lang w:val="es-ES" w:eastAsia="es-ES"/>
          <w14:ligatures w14:val="none"/>
        </w:rPr>
        <w:t>Colóquio</w:t>
      </w:r>
      <w:proofErr w:type="spellEnd"/>
      <w:r w:rsidRPr="00164FE4">
        <w:rPr>
          <w:rFonts w:ascii="Times New Roman" w:eastAsia="Times New Roman" w:hAnsi="Times New Roman" w:cs="Times New Roman"/>
          <w:i/>
          <w:iCs/>
          <w:kern w:val="0"/>
          <w:lang w:val="es-ES" w:eastAsia="es-ES"/>
          <w14:ligatures w14:val="none"/>
        </w:rPr>
        <w:t xml:space="preserve"> Internacional sobre </w:t>
      </w:r>
      <w:proofErr w:type="spellStart"/>
      <w:r w:rsidRPr="00164FE4">
        <w:rPr>
          <w:rFonts w:ascii="Times New Roman" w:eastAsia="Times New Roman" w:hAnsi="Times New Roman" w:cs="Times New Roman"/>
          <w:i/>
          <w:iCs/>
          <w:kern w:val="0"/>
          <w:lang w:val="es-ES" w:eastAsia="es-ES"/>
          <w14:ligatures w14:val="none"/>
        </w:rPr>
        <w:t>Gestão</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Universitária</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nas</w:t>
      </w:r>
      <w:proofErr w:type="spellEnd"/>
      <w:r w:rsidRPr="00164FE4">
        <w:rPr>
          <w:rFonts w:ascii="Times New Roman" w:eastAsia="Times New Roman" w:hAnsi="Times New Roman" w:cs="Times New Roman"/>
          <w:i/>
          <w:iCs/>
          <w:kern w:val="0"/>
          <w:lang w:val="es-ES" w:eastAsia="es-ES"/>
          <w14:ligatures w14:val="none"/>
        </w:rPr>
        <w:t xml:space="preserve"> Américas</w:t>
      </w:r>
      <w:r w:rsidRPr="00164FE4">
        <w:rPr>
          <w:rFonts w:ascii="Times New Roman" w:eastAsia="Times New Roman" w:hAnsi="Times New Roman" w:cs="Times New Roman"/>
          <w:kern w:val="0"/>
          <w:lang w:val="es-ES" w:eastAsia="es-ES"/>
          <w14:ligatures w14:val="none"/>
        </w:rPr>
        <w:t xml:space="preserve">, Florianópolis, </w:t>
      </w:r>
      <w:proofErr w:type="spellStart"/>
      <w:r w:rsidRPr="00164FE4">
        <w:rPr>
          <w:rFonts w:ascii="Times New Roman" w:eastAsia="Times New Roman" w:hAnsi="Times New Roman" w:cs="Times New Roman"/>
          <w:kern w:val="0"/>
          <w:lang w:val="es-ES" w:eastAsia="es-ES"/>
          <w14:ligatures w14:val="none"/>
        </w:rPr>
        <w:t>Universidade</w:t>
      </w:r>
      <w:proofErr w:type="spellEnd"/>
      <w:r w:rsidRPr="00164FE4">
        <w:rPr>
          <w:rFonts w:ascii="Times New Roman" w:eastAsia="Times New Roman" w:hAnsi="Times New Roman" w:cs="Times New Roman"/>
          <w:kern w:val="0"/>
          <w:lang w:val="es-ES" w:eastAsia="es-ES"/>
          <w14:ligatures w14:val="none"/>
        </w:rPr>
        <w:t xml:space="preserve"> Federal de Santa Catarina, https://repositorio.ufsc.br/handle/123456789/116144 (Consulta: marzo de 2025).</w:t>
      </w:r>
    </w:p>
    <w:p w14:paraId="1A7F0901"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Sepúlveda, Leandro (2013), “Juventud como transición: elementos conceptuales y perspectivas de investigación en el tiempo actual”, </w:t>
      </w:r>
      <w:r w:rsidRPr="00164FE4">
        <w:rPr>
          <w:rFonts w:ascii="Times New Roman" w:eastAsia="Times New Roman" w:hAnsi="Times New Roman" w:cs="Times New Roman"/>
          <w:i/>
          <w:iCs/>
          <w:kern w:val="0"/>
          <w:lang w:val="es-ES" w:eastAsia="es-ES"/>
          <w14:ligatures w14:val="none"/>
        </w:rPr>
        <w:t>Última Década</w:t>
      </w:r>
      <w:r w:rsidRPr="00164FE4">
        <w:rPr>
          <w:rFonts w:ascii="Times New Roman" w:eastAsia="Times New Roman" w:hAnsi="Times New Roman" w:cs="Times New Roman"/>
          <w:kern w:val="0"/>
          <w:lang w:val="es-ES" w:eastAsia="es-ES"/>
          <w14:ligatures w14:val="none"/>
        </w:rPr>
        <w:t xml:space="preserve">, vol. 21, núm. 39, pp. 11-39, </w:t>
      </w:r>
      <w:proofErr w:type="spellStart"/>
      <w:r w:rsidRPr="00164FE4">
        <w:rPr>
          <w:rFonts w:ascii="Times New Roman" w:eastAsia="Times New Roman" w:hAnsi="Times New Roman" w:cs="Times New Roman"/>
          <w:kern w:val="0"/>
          <w:lang w:val="es-ES" w:eastAsia="es-ES"/>
          <w14:ligatures w14:val="none"/>
        </w:rPr>
        <w:t>doi</w:t>
      </w:r>
      <w:proofErr w:type="spellEnd"/>
      <w:r w:rsidRPr="00164FE4">
        <w:rPr>
          <w:rFonts w:ascii="Times New Roman" w:eastAsia="Times New Roman" w:hAnsi="Times New Roman" w:cs="Times New Roman"/>
          <w:kern w:val="0"/>
          <w:lang w:val="es-ES" w:eastAsia="es-ES"/>
          <w14:ligatures w14:val="none"/>
        </w:rPr>
        <w:t>: https://doi.org/10.4067/S0718-22362013000200002.</w:t>
      </w:r>
    </w:p>
    <w:p w14:paraId="0CAC49E5"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1689285C"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Silva-Laya, Marisol (2025), “Inclusión social en una universidad de élite: voces de estudiantes provenientes de sectores sociales desfavorecidos”, </w:t>
      </w:r>
      <w:r w:rsidRPr="00164FE4">
        <w:rPr>
          <w:rFonts w:ascii="Times New Roman" w:eastAsia="Times New Roman" w:hAnsi="Times New Roman" w:cs="Times New Roman"/>
          <w:i/>
          <w:iCs/>
          <w:kern w:val="0"/>
          <w:lang w:val="es-ES" w:eastAsia="es-ES"/>
          <w14:ligatures w14:val="none"/>
        </w:rPr>
        <w:t>RIES. Revista Iberoamericana de Educación Superior</w:t>
      </w:r>
      <w:r w:rsidRPr="00164FE4">
        <w:rPr>
          <w:rFonts w:ascii="Times New Roman" w:eastAsia="Times New Roman" w:hAnsi="Times New Roman" w:cs="Times New Roman"/>
          <w:kern w:val="0"/>
          <w:lang w:val="es-ES" w:eastAsia="es-ES"/>
          <w14:ligatures w14:val="none"/>
        </w:rPr>
        <w:t xml:space="preserve">, vol. XVI, núm. 45, pp. 19-39, </w:t>
      </w:r>
      <w:proofErr w:type="spellStart"/>
      <w:r w:rsidRPr="00164FE4">
        <w:rPr>
          <w:rFonts w:ascii="Times New Roman" w:eastAsia="Times New Roman" w:hAnsi="Times New Roman" w:cs="Times New Roman"/>
          <w:kern w:val="0"/>
          <w:lang w:val="es-ES" w:eastAsia="es-ES"/>
          <w14:ligatures w14:val="none"/>
        </w:rPr>
        <w:t>doi</w:t>
      </w:r>
      <w:proofErr w:type="spellEnd"/>
      <w:r w:rsidRPr="00164FE4">
        <w:rPr>
          <w:rFonts w:ascii="Times New Roman" w:eastAsia="Times New Roman" w:hAnsi="Times New Roman" w:cs="Times New Roman"/>
          <w:kern w:val="0"/>
          <w:lang w:val="es-ES" w:eastAsia="es-ES"/>
          <w14:ligatures w14:val="none"/>
        </w:rPr>
        <w:t>: https://doi.org/10.22201/iisue.20072872e.2025.45.1971.</w:t>
      </w:r>
    </w:p>
    <w:p w14:paraId="489B9368"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26DDFF5B"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Tinto, Vincent (2019), “</w:t>
      </w:r>
      <w:proofErr w:type="spellStart"/>
      <w:r w:rsidRPr="00164FE4">
        <w:rPr>
          <w:rFonts w:ascii="Times New Roman" w:eastAsia="Times New Roman" w:hAnsi="Times New Roman" w:cs="Times New Roman"/>
          <w:kern w:val="0"/>
          <w:lang w:val="es-ES" w:eastAsia="es-ES"/>
          <w14:ligatures w14:val="none"/>
        </w:rPr>
        <w:t>Reflections</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on</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student</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persistence</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Student</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Success</w:t>
      </w:r>
      <w:proofErr w:type="spellEnd"/>
      <w:r w:rsidRPr="00164FE4">
        <w:rPr>
          <w:rFonts w:ascii="Times New Roman" w:eastAsia="Times New Roman" w:hAnsi="Times New Roman" w:cs="Times New Roman"/>
          <w:kern w:val="0"/>
          <w:lang w:val="es-ES" w:eastAsia="es-ES"/>
          <w14:ligatures w14:val="none"/>
        </w:rPr>
        <w:t xml:space="preserve">, vol. 8, núm. 2, pp. 1-8, </w:t>
      </w:r>
      <w:proofErr w:type="spellStart"/>
      <w:r w:rsidRPr="00164FE4">
        <w:rPr>
          <w:rFonts w:ascii="Times New Roman" w:eastAsia="Times New Roman" w:hAnsi="Times New Roman" w:cs="Times New Roman"/>
          <w:kern w:val="0"/>
          <w:lang w:val="es-ES" w:eastAsia="es-ES"/>
          <w14:ligatures w14:val="none"/>
        </w:rPr>
        <w:t>doi</w:t>
      </w:r>
      <w:proofErr w:type="spellEnd"/>
      <w:r w:rsidRPr="00164FE4">
        <w:rPr>
          <w:rFonts w:ascii="Times New Roman" w:eastAsia="Times New Roman" w:hAnsi="Times New Roman" w:cs="Times New Roman"/>
          <w:kern w:val="0"/>
          <w:lang w:val="es-ES" w:eastAsia="es-ES"/>
          <w14:ligatures w14:val="none"/>
        </w:rPr>
        <w:t>: https://doi.org/10.5204/ssj.v8i2.1604.</w:t>
      </w:r>
    </w:p>
    <w:p w14:paraId="1372E5FC"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2D9A06CC"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r w:rsidRPr="00164FE4">
        <w:rPr>
          <w:rFonts w:ascii="Times New Roman" w:eastAsia="Times New Roman" w:hAnsi="Times New Roman" w:cs="Times New Roman"/>
          <w:kern w:val="0"/>
          <w:lang w:val="es-ES" w:eastAsia="es-ES"/>
          <w14:ligatures w14:val="none"/>
        </w:rPr>
        <w:t xml:space="preserve">Tinto, Vincent (1987), </w:t>
      </w:r>
      <w:proofErr w:type="spellStart"/>
      <w:r w:rsidRPr="00164FE4">
        <w:rPr>
          <w:rFonts w:ascii="Times New Roman" w:eastAsia="Times New Roman" w:hAnsi="Times New Roman" w:cs="Times New Roman"/>
          <w:i/>
          <w:iCs/>
          <w:kern w:val="0"/>
          <w:lang w:val="es-ES" w:eastAsia="es-ES"/>
          <w14:ligatures w14:val="none"/>
        </w:rPr>
        <w:t>Leaving</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College</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Rethinking</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the</w:t>
      </w:r>
      <w:proofErr w:type="spellEnd"/>
      <w:r w:rsidRPr="00164FE4">
        <w:rPr>
          <w:rFonts w:ascii="Times New Roman" w:eastAsia="Times New Roman" w:hAnsi="Times New Roman" w:cs="Times New Roman"/>
          <w:i/>
          <w:iCs/>
          <w:kern w:val="0"/>
          <w:lang w:val="es-ES" w:eastAsia="es-ES"/>
          <w14:ligatures w14:val="none"/>
        </w:rPr>
        <w:t xml:space="preserve"> Causes and Cures </w:t>
      </w:r>
      <w:proofErr w:type="spellStart"/>
      <w:r w:rsidRPr="00164FE4">
        <w:rPr>
          <w:rFonts w:ascii="Times New Roman" w:eastAsia="Times New Roman" w:hAnsi="Times New Roman" w:cs="Times New Roman"/>
          <w:i/>
          <w:iCs/>
          <w:kern w:val="0"/>
          <w:lang w:val="es-ES" w:eastAsia="es-ES"/>
          <w14:ligatures w14:val="none"/>
        </w:rPr>
        <w:t>of</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Student</w:t>
      </w:r>
      <w:proofErr w:type="spellEnd"/>
      <w:r w:rsidRPr="00164FE4">
        <w:rPr>
          <w:rFonts w:ascii="Times New Roman" w:eastAsia="Times New Roman" w:hAnsi="Times New Roman" w:cs="Times New Roman"/>
          <w:i/>
          <w:iCs/>
          <w:kern w:val="0"/>
          <w:lang w:val="es-ES" w:eastAsia="es-ES"/>
          <w14:ligatures w14:val="none"/>
        </w:rPr>
        <w:t xml:space="preserve"> </w:t>
      </w:r>
      <w:proofErr w:type="spellStart"/>
      <w:r w:rsidRPr="00164FE4">
        <w:rPr>
          <w:rFonts w:ascii="Times New Roman" w:eastAsia="Times New Roman" w:hAnsi="Times New Roman" w:cs="Times New Roman"/>
          <w:i/>
          <w:iCs/>
          <w:kern w:val="0"/>
          <w:lang w:val="es-ES" w:eastAsia="es-ES"/>
          <w14:ligatures w14:val="none"/>
        </w:rPr>
        <w:t>Attrition</w:t>
      </w:r>
      <w:proofErr w:type="spellEnd"/>
      <w:r w:rsidRPr="00164FE4">
        <w:rPr>
          <w:rFonts w:ascii="Times New Roman" w:eastAsia="Times New Roman" w:hAnsi="Times New Roman" w:cs="Times New Roman"/>
          <w:kern w:val="0"/>
          <w:lang w:val="es-ES" w:eastAsia="es-ES"/>
          <w14:ligatures w14:val="none"/>
        </w:rPr>
        <w:t xml:space="preserve">, Chicago, </w:t>
      </w:r>
      <w:proofErr w:type="spellStart"/>
      <w:r w:rsidRPr="00164FE4">
        <w:rPr>
          <w:rFonts w:ascii="Times New Roman" w:eastAsia="Times New Roman" w:hAnsi="Times New Roman" w:cs="Times New Roman"/>
          <w:kern w:val="0"/>
          <w:lang w:val="es-ES" w:eastAsia="es-ES"/>
          <w14:ligatures w14:val="none"/>
        </w:rPr>
        <w:t>University</w:t>
      </w:r>
      <w:proofErr w:type="spellEnd"/>
      <w:r w:rsidRPr="00164FE4">
        <w:rPr>
          <w:rFonts w:ascii="Times New Roman" w:eastAsia="Times New Roman" w:hAnsi="Times New Roman" w:cs="Times New Roman"/>
          <w:kern w:val="0"/>
          <w:lang w:val="es-ES" w:eastAsia="es-ES"/>
          <w14:ligatures w14:val="none"/>
        </w:rPr>
        <w:t xml:space="preserve"> </w:t>
      </w:r>
      <w:proofErr w:type="spellStart"/>
      <w:r w:rsidRPr="00164FE4">
        <w:rPr>
          <w:rFonts w:ascii="Times New Roman" w:eastAsia="Times New Roman" w:hAnsi="Times New Roman" w:cs="Times New Roman"/>
          <w:kern w:val="0"/>
          <w:lang w:val="es-ES" w:eastAsia="es-ES"/>
          <w14:ligatures w14:val="none"/>
        </w:rPr>
        <w:t>of</w:t>
      </w:r>
      <w:proofErr w:type="spellEnd"/>
      <w:r w:rsidRPr="00164FE4">
        <w:rPr>
          <w:rFonts w:ascii="Times New Roman" w:eastAsia="Times New Roman" w:hAnsi="Times New Roman" w:cs="Times New Roman"/>
          <w:kern w:val="0"/>
          <w:lang w:val="es-ES" w:eastAsia="es-ES"/>
          <w14:ligatures w14:val="none"/>
        </w:rPr>
        <w:t xml:space="preserve"> Chicago </w:t>
      </w:r>
      <w:proofErr w:type="spellStart"/>
      <w:r w:rsidRPr="00164FE4">
        <w:rPr>
          <w:rFonts w:ascii="Times New Roman" w:eastAsia="Times New Roman" w:hAnsi="Times New Roman" w:cs="Times New Roman"/>
          <w:kern w:val="0"/>
          <w:lang w:val="es-ES" w:eastAsia="es-ES"/>
          <w14:ligatures w14:val="none"/>
        </w:rPr>
        <w:t>Press</w:t>
      </w:r>
      <w:proofErr w:type="spellEnd"/>
      <w:r w:rsidRPr="00164FE4">
        <w:rPr>
          <w:rFonts w:ascii="Times New Roman" w:eastAsia="Times New Roman" w:hAnsi="Times New Roman" w:cs="Times New Roman"/>
          <w:kern w:val="0"/>
          <w:lang w:val="es-ES" w:eastAsia="es-ES"/>
          <w14:ligatures w14:val="none"/>
        </w:rPr>
        <w:t>.</w:t>
      </w:r>
    </w:p>
    <w:p w14:paraId="39EDA8EC" w14:textId="77777777" w:rsid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
    <w:p w14:paraId="0903978E" w14:textId="77777777" w:rsidR="00164FE4" w:rsidRPr="00164FE4" w:rsidRDefault="00164FE4" w:rsidP="00164FE4">
      <w:pPr>
        <w:spacing w:after="0" w:line="240" w:lineRule="auto"/>
        <w:jc w:val="both"/>
        <w:rPr>
          <w:rFonts w:ascii="Times New Roman" w:eastAsia="Times New Roman" w:hAnsi="Times New Roman" w:cs="Times New Roman"/>
          <w:kern w:val="0"/>
          <w:lang w:val="es-ES" w:eastAsia="es-ES"/>
          <w14:ligatures w14:val="none"/>
        </w:rPr>
      </w:pPr>
      <w:proofErr w:type="spellStart"/>
      <w:r w:rsidRPr="00164FE4">
        <w:rPr>
          <w:rFonts w:ascii="Times New Roman" w:eastAsia="Times New Roman" w:hAnsi="Times New Roman" w:cs="Times New Roman"/>
          <w:kern w:val="0"/>
          <w:lang w:val="es-ES" w:eastAsia="es-ES"/>
          <w14:ligatures w14:val="none"/>
        </w:rPr>
        <w:t>Vasilachis</w:t>
      </w:r>
      <w:proofErr w:type="spellEnd"/>
      <w:r w:rsidRPr="00164FE4">
        <w:rPr>
          <w:rFonts w:ascii="Times New Roman" w:eastAsia="Times New Roman" w:hAnsi="Times New Roman" w:cs="Times New Roman"/>
          <w:kern w:val="0"/>
          <w:lang w:val="es-ES" w:eastAsia="es-ES"/>
          <w14:ligatures w14:val="none"/>
        </w:rPr>
        <w:t xml:space="preserve"> de </w:t>
      </w:r>
      <w:proofErr w:type="spellStart"/>
      <w:r w:rsidRPr="00164FE4">
        <w:rPr>
          <w:rFonts w:ascii="Times New Roman" w:eastAsia="Times New Roman" w:hAnsi="Times New Roman" w:cs="Times New Roman"/>
          <w:kern w:val="0"/>
          <w:lang w:val="es-ES" w:eastAsia="es-ES"/>
          <w14:ligatures w14:val="none"/>
        </w:rPr>
        <w:t>Gialdino</w:t>
      </w:r>
      <w:proofErr w:type="spellEnd"/>
      <w:r w:rsidRPr="00164FE4">
        <w:rPr>
          <w:rFonts w:ascii="Times New Roman" w:eastAsia="Times New Roman" w:hAnsi="Times New Roman" w:cs="Times New Roman"/>
          <w:kern w:val="0"/>
          <w:lang w:val="es-ES" w:eastAsia="es-ES"/>
          <w14:ligatures w14:val="none"/>
        </w:rPr>
        <w:t xml:space="preserve">, Irene (2006), </w:t>
      </w:r>
      <w:r w:rsidRPr="00164FE4">
        <w:rPr>
          <w:rFonts w:ascii="Times New Roman" w:eastAsia="Times New Roman" w:hAnsi="Times New Roman" w:cs="Times New Roman"/>
          <w:i/>
          <w:iCs/>
          <w:kern w:val="0"/>
          <w:lang w:val="es-ES" w:eastAsia="es-ES"/>
          <w14:ligatures w14:val="none"/>
        </w:rPr>
        <w:t>Estrategias de investigación cualitativa</w:t>
      </w:r>
      <w:r w:rsidRPr="00164FE4">
        <w:rPr>
          <w:rFonts w:ascii="Times New Roman" w:eastAsia="Times New Roman" w:hAnsi="Times New Roman" w:cs="Times New Roman"/>
          <w:kern w:val="0"/>
          <w:lang w:val="es-ES" w:eastAsia="es-ES"/>
          <w14:ligatures w14:val="none"/>
        </w:rPr>
        <w:t>, Barcelona, Gedisa.</w:t>
      </w:r>
    </w:p>
    <w:p w14:paraId="27B98C7A" w14:textId="77777777" w:rsidR="00164FE4" w:rsidRPr="00BA642E" w:rsidRDefault="00164FE4" w:rsidP="007B5B5F">
      <w:pPr>
        <w:spacing w:line="240" w:lineRule="auto"/>
        <w:rPr>
          <w:rFonts w:ascii="Times New Roman" w:hAnsi="Times New Roman" w:cs="Times New Roman"/>
          <w:b/>
          <w:bCs/>
        </w:rPr>
      </w:pPr>
    </w:p>
    <w:p w14:paraId="7E83515B" w14:textId="139B1B27" w:rsidR="001923DC" w:rsidRDefault="00AE122A" w:rsidP="00AE122A">
      <w:pPr>
        <w:spacing w:line="240" w:lineRule="auto"/>
        <w:jc w:val="both"/>
        <w:rPr>
          <w:rFonts w:ascii="Times New Roman" w:hAnsi="Times New Roman" w:cs="Times New Roman"/>
          <w:lang w:val="pt-BR"/>
        </w:rPr>
      </w:pPr>
      <w:r>
        <w:rPr>
          <w:rFonts w:ascii="Times New Roman" w:hAnsi="Times New Roman" w:cs="Times New Roman"/>
          <w:lang w:val="pt-BR"/>
        </w:rPr>
        <w:t>Fuentes</w:t>
      </w:r>
    </w:p>
    <w:p w14:paraId="2661DE55" w14:textId="52847BCE" w:rsidR="00AE122A" w:rsidRDefault="00AE122A" w:rsidP="00AE122A">
      <w:pPr>
        <w:spacing w:line="240" w:lineRule="auto"/>
        <w:jc w:val="both"/>
        <w:rPr>
          <w:rFonts w:ascii="Times New Roman" w:hAnsi="Times New Roman" w:cs="Times New Roman"/>
          <w:lang w:val="pt-BR"/>
        </w:rPr>
      </w:pPr>
      <w:proofErr w:type="spellStart"/>
      <w:r>
        <w:rPr>
          <w:rFonts w:ascii="Times New Roman" w:hAnsi="Times New Roman" w:cs="Times New Roman"/>
          <w:lang w:val="pt-BR"/>
        </w:rPr>
        <w:t>Datasets</w:t>
      </w:r>
      <w:proofErr w:type="spellEnd"/>
      <w:r>
        <w:rPr>
          <w:rFonts w:ascii="Times New Roman" w:hAnsi="Times New Roman" w:cs="Times New Roman"/>
          <w:lang w:val="pt-BR"/>
        </w:rPr>
        <w:t xml:space="preserve">: </w:t>
      </w:r>
      <w:proofErr w:type="spellStart"/>
      <w:r>
        <w:rPr>
          <w:rFonts w:ascii="Times New Roman" w:hAnsi="Times New Roman" w:cs="Times New Roman"/>
          <w:lang w:val="pt-BR"/>
        </w:rPr>
        <w:t>Encuesta</w:t>
      </w:r>
      <w:proofErr w:type="spellEnd"/>
      <w:r>
        <w:rPr>
          <w:rFonts w:ascii="Times New Roman" w:hAnsi="Times New Roman" w:cs="Times New Roman"/>
          <w:lang w:val="pt-BR"/>
        </w:rPr>
        <w:t xml:space="preserve"> Impulsa CBC 2025 y Entrevistas </w:t>
      </w:r>
      <w:proofErr w:type="spellStart"/>
      <w:r w:rsidR="00AB538E">
        <w:rPr>
          <w:rFonts w:ascii="Times New Roman" w:hAnsi="Times New Roman" w:cs="Times New Roman"/>
          <w:lang w:val="pt-BR"/>
        </w:rPr>
        <w:t>cualitativas</w:t>
      </w:r>
      <w:proofErr w:type="spellEnd"/>
      <w:r w:rsidR="00AB538E">
        <w:rPr>
          <w:rFonts w:ascii="Times New Roman" w:hAnsi="Times New Roman" w:cs="Times New Roman"/>
          <w:lang w:val="pt-BR"/>
        </w:rPr>
        <w:t xml:space="preserve"> Impulsa CBC 2025 r</w:t>
      </w:r>
      <w:r>
        <w:rPr>
          <w:rFonts w:ascii="Times New Roman" w:hAnsi="Times New Roman" w:cs="Times New Roman"/>
          <w:lang w:val="pt-BR"/>
        </w:rPr>
        <w:t>ealizadas por Facundo Londero y Solana Galindez.</w:t>
      </w:r>
    </w:p>
    <w:p w14:paraId="7A537E30" w14:textId="4D11989A" w:rsidR="00AE122A" w:rsidRDefault="00AE122A" w:rsidP="00AE122A">
      <w:pPr>
        <w:spacing w:line="240" w:lineRule="auto"/>
        <w:jc w:val="both"/>
        <w:rPr>
          <w:rFonts w:ascii="Times New Roman" w:hAnsi="Times New Roman" w:cs="Times New Roman"/>
          <w:lang w:val="pt-BR"/>
        </w:rPr>
      </w:pPr>
      <w:r>
        <w:rPr>
          <w:rFonts w:ascii="Times New Roman" w:hAnsi="Times New Roman" w:cs="Times New Roman"/>
          <w:lang w:val="pt-BR"/>
        </w:rPr>
        <w:t xml:space="preserve">Informes </w:t>
      </w:r>
      <w:r w:rsidR="00AB538E">
        <w:rPr>
          <w:rFonts w:ascii="Times New Roman" w:hAnsi="Times New Roman" w:cs="Times New Roman"/>
          <w:lang w:val="pt-BR"/>
        </w:rPr>
        <w:t xml:space="preserve">de </w:t>
      </w:r>
      <w:proofErr w:type="spellStart"/>
      <w:r w:rsidR="00AB538E">
        <w:rPr>
          <w:rFonts w:ascii="Times New Roman" w:hAnsi="Times New Roman" w:cs="Times New Roman"/>
          <w:lang w:val="pt-BR"/>
        </w:rPr>
        <w:t>la</w:t>
      </w:r>
      <w:proofErr w:type="spellEnd"/>
      <w:r w:rsidR="00AB538E">
        <w:rPr>
          <w:rFonts w:ascii="Times New Roman" w:hAnsi="Times New Roman" w:cs="Times New Roman"/>
          <w:lang w:val="pt-BR"/>
        </w:rPr>
        <w:t xml:space="preserve"> </w:t>
      </w:r>
      <w:proofErr w:type="spellStart"/>
      <w:r w:rsidR="00AB538E">
        <w:rPr>
          <w:rFonts w:ascii="Times New Roman" w:hAnsi="Times New Roman" w:cs="Times New Roman"/>
          <w:lang w:val="pt-BR"/>
        </w:rPr>
        <w:t>Encuesta</w:t>
      </w:r>
      <w:proofErr w:type="spellEnd"/>
      <w:r w:rsidR="00AB538E">
        <w:rPr>
          <w:rFonts w:ascii="Times New Roman" w:hAnsi="Times New Roman" w:cs="Times New Roman"/>
          <w:lang w:val="pt-BR"/>
        </w:rPr>
        <w:t xml:space="preserve"> Impulsa CBC 2025 y de </w:t>
      </w:r>
      <w:proofErr w:type="spellStart"/>
      <w:r w:rsidR="00AB538E">
        <w:rPr>
          <w:rFonts w:ascii="Times New Roman" w:hAnsi="Times New Roman" w:cs="Times New Roman"/>
          <w:lang w:val="pt-BR"/>
        </w:rPr>
        <w:t>las</w:t>
      </w:r>
      <w:proofErr w:type="spellEnd"/>
      <w:r w:rsidR="00AB538E">
        <w:rPr>
          <w:rFonts w:ascii="Times New Roman" w:hAnsi="Times New Roman" w:cs="Times New Roman"/>
          <w:lang w:val="pt-BR"/>
        </w:rPr>
        <w:t xml:space="preserve"> entrevistas </w:t>
      </w:r>
      <w:proofErr w:type="spellStart"/>
      <w:r w:rsidR="00AB538E">
        <w:rPr>
          <w:rFonts w:ascii="Times New Roman" w:hAnsi="Times New Roman" w:cs="Times New Roman"/>
          <w:lang w:val="pt-BR"/>
        </w:rPr>
        <w:t>cualitativas</w:t>
      </w:r>
      <w:proofErr w:type="spellEnd"/>
      <w:r w:rsidR="00AB538E">
        <w:rPr>
          <w:rFonts w:ascii="Times New Roman" w:hAnsi="Times New Roman" w:cs="Times New Roman"/>
          <w:lang w:val="pt-BR"/>
        </w:rPr>
        <w:t xml:space="preserve"> Impulsa CBC 2025 realizados por Facundo Londero y Solana Galindez.</w:t>
      </w:r>
    </w:p>
    <w:p w14:paraId="265F15CF" w14:textId="77777777" w:rsidR="00AE122A" w:rsidRPr="00BA642E" w:rsidRDefault="00AE122A" w:rsidP="00AE122A">
      <w:pPr>
        <w:spacing w:line="240" w:lineRule="auto"/>
        <w:jc w:val="both"/>
        <w:rPr>
          <w:rFonts w:ascii="Times New Roman" w:hAnsi="Times New Roman" w:cs="Times New Roman"/>
          <w:lang w:val="pt-BR"/>
        </w:rPr>
      </w:pPr>
    </w:p>
    <w:sectPr w:rsidR="00AE122A" w:rsidRPr="00BA642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0C3E" w14:textId="77777777" w:rsidR="007345E0" w:rsidRPr="00BA642E" w:rsidRDefault="007345E0" w:rsidP="00C802F5">
      <w:pPr>
        <w:spacing w:after="0" w:line="240" w:lineRule="auto"/>
      </w:pPr>
      <w:r w:rsidRPr="00BA642E">
        <w:separator/>
      </w:r>
    </w:p>
  </w:endnote>
  <w:endnote w:type="continuationSeparator" w:id="0">
    <w:p w14:paraId="6E5DF6BD" w14:textId="77777777" w:rsidR="007345E0" w:rsidRPr="00BA642E" w:rsidRDefault="007345E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lang w:val="es-ES" w:eastAsia="es-E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4A1B" w14:textId="77777777" w:rsidR="007345E0" w:rsidRPr="00BA642E" w:rsidRDefault="007345E0" w:rsidP="00C802F5">
      <w:pPr>
        <w:spacing w:after="0" w:line="240" w:lineRule="auto"/>
      </w:pPr>
      <w:r w:rsidRPr="00BA642E">
        <w:separator/>
      </w:r>
    </w:p>
  </w:footnote>
  <w:footnote w:type="continuationSeparator" w:id="0">
    <w:p w14:paraId="503FD7BB" w14:textId="77777777" w:rsidR="007345E0" w:rsidRPr="00BA642E" w:rsidRDefault="007345E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084813"/>
    <w:rsid w:val="00164FE4"/>
    <w:rsid w:val="001816D6"/>
    <w:rsid w:val="00185F5E"/>
    <w:rsid w:val="001923DC"/>
    <w:rsid w:val="002327C3"/>
    <w:rsid w:val="00312392"/>
    <w:rsid w:val="0035142F"/>
    <w:rsid w:val="003E4BD8"/>
    <w:rsid w:val="004040C0"/>
    <w:rsid w:val="00437E9C"/>
    <w:rsid w:val="004F5826"/>
    <w:rsid w:val="00506F3D"/>
    <w:rsid w:val="00550766"/>
    <w:rsid w:val="00580DF1"/>
    <w:rsid w:val="005F3B2E"/>
    <w:rsid w:val="00701F64"/>
    <w:rsid w:val="007345E0"/>
    <w:rsid w:val="007B5B5F"/>
    <w:rsid w:val="007D233B"/>
    <w:rsid w:val="0085070B"/>
    <w:rsid w:val="00857C43"/>
    <w:rsid w:val="009344FE"/>
    <w:rsid w:val="00944860"/>
    <w:rsid w:val="00A17247"/>
    <w:rsid w:val="00AB538E"/>
    <w:rsid w:val="00AE122A"/>
    <w:rsid w:val="00B15DAD"/>
    <w:rsid w:val="00BA642E"/>
    <w:rsid w:val="00BC236F"/>
    <w:rsid w:val="00C724DE"/>
    <w:rsid w:val="00C802F5"/>
    <w:rsid w:val="00C96B2C"/>
    <w:rsid w:val="00CC04C1"/>
    <w:rsid w:val="00D73136"/>
    <w:rsid w:val="00D843EC"/>
    <w:rsid w:val="00EB6234"/>
    <w:rsid w:val="00FB128F"/>
    <w:rsid w:val="00FF1E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Mencinsinresolver">
    <w:name w:val="Unresolved Mention"/>
    <w:basedOn w:val="Fuentedeprrafopredeter"/>
    <w:uiPriority w:val="99"/>
    <w:semiHidden/>
    <w:unhideWhenUsed/>
    <w:rsid w:val="00D73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59862">
      <w:bodyDiv w:val="1"/>
      <w:marLeft w:val="0"/>
      <w:marRight w:val="0"/>
      <w:marTop w:val="0"/>
      <w:marBottom w:val="0"/>
      <w:divBdr>
        <w:top w:val="none" w:sz="0" w:space="0" w:color="auto"/>
        <w:left w:val="none" w:sz="0" w:space="0" w:color="auto"/>
        <w:bottom w:val="none" w:sz="0" w:space="0" w:color="auto"/>
        <w:right w:val="none" w:sz="0" w:space="0" w:color="auto"/>
      </w:divBdr>
    </w:div>
    <w:div w:id="185800155">
      <w:bodyDiv w:val="1"/>
      <w:marLeft w:val="0"/>
      <w:marRight w:val="0"/>
      <w:marTop w:val="0"/>
      <w:marBottom w:val="0"/>
      <w:divBdr>
        <w:top w:val="none" w:sz="0" w:space="0" w:color="auto"/>
        <w:left w:val="none" w:sz="0" w:space="0" w:color="auto"/>
        <w:bottom w:val="none" w:sz="0" w:space="0" w:color="auto"/>
        <w:right w:val="none" w:sz="0" w:space="0" w:color="auto"/>
      </w:divBdr>
    </w:div>
    <w:div w:id="284624129">
      <w:bodyDiv w:val="1"/>
      <w:marLeft w:val="0"/>
      <w:marRight w:val="0"/>
      <w:marTop w:val="0"/>
      <w:marBottom w:val="0"/>
      <w:divBdr>
        <w:top w:val="none" w:sz="0" w:space="0" w:color="auto"/>
        <w:left w:val="none" w:sz="0" w:space="0" w:color="auto"/>
        <w:bottom w:val="none" w:sz="0" w:space="0" w:color="auto"/>
        <w:right w:val="none" w:sz="0" w:space="0" w:color="auto"/>
      </w:divBdr>
    </w:div>
    <w:div w:id="1001422061">
      <w:bodyDiv w:val="1"/>
      <w:marLeft w:val="0"/>
      <w:marRight w:val="0"/>
      <w:marTop w:val="0"/>
      <w:marBottom w:val="0"/>
      <w:divBdr>
        <w:top w:val="none" w:sz="0" w:space="0" w:color="auto"/>
        <w:left w:val="none" w:sz="0" w:space="0" w:color="auto"/>
        <w:bottom w:val="none" w:sz="0" w:space="0" w:color="auto"/>
        <w:right w:val="none" w:sz="0" w:space="0" w:color="auto"/>
      </w:divBdr>
    </w:div>
    <w:div w:id="1147815858">
      <w:bodyDiv w:val="1"/>
      <w:marLeft w:val="0"/>
      <w:marRight w:val="0"/>
      <w:marTop w:val="0"/>
      <w:marBottom w:val="0"/>
      <w:divBdr>
        <w:top w:val="none" w:sz="0" w:space="0" w:color="auto"/>
        <w:left w:val="none" w:sz="0" w:space="0" w:color="auto"/>
        <w:bottom w:val="none" w:sz="0" w:space="0" w:color="auto"/>
        <w:right w:val="none" w:sz="0" w:space="0" w:color="auto"/>
      </w:divBdr>
    </w:div>
    <w:div w:id="1230504010">
      <w:bodyDiv w:val="1"/>
      <w:marLeft w:val="0"/>
      <w:marRight w:val="0"/>
      <w:marTop w:val="0"/>
      <w:marBottom w:val="0"/>
      <w:divBdr>
        <w:top w:val="none" w:sz="0" w:space="0" w:color="auto"/>
        <w:left w:val="none" w:sz="0" w:space="0" w:color="auto"/>
        <w:bottom w:val="none" w:sz="0" w:space="0" w:color="auto"/>
        <w:right w:val="none" w:sz="0" w:space="0" w:color="auto"/>
      </w:divBdr>
    </w:div>
    <w:div w:id="1591083935">
      <w:bodyDiv w:val="1"/>
      <w:marLeft w:val="0"/>
      <w:marRight w:val="0"/>
      <w:marTop w:val="0"/>
      <w:marBottom w:val="0"/>
      <w:divBdr>
        <w:top w:val="none" w:sz="0" w:space="0" w:color="auto"/>
        <w:left w:val="none" w:sz="0" w:space="0" w:color="auto"/>
        <w:bottom w:val="none" w:sz="0" w:space="0" w:color="auto"/>
        <w:right w:val="none" w:sz="0" w:space="0" w:color="auto"/>
      </w:divBdr>
    </w:div>
    <w:div w:id="1592473452">
      <w:bodyDiv w:val="1"/>
      <w:marLeft w:val="0"/>
      <w:marRight w:val="0"/>
      <w:marTop w:val="0"/>
      <w:marBottom w:val="0"/>
      <w:divBdr>
        <w:top w:val="none" w:sz="0" w:space="0" w:color="auto"/>
        <w:left w:val="none" w:sz="0" w:space="0" w:color="auto"/>
        <w:bottom w:val="none" w:sz="0" w:space="0" w:color="auto"/>
        <w:right w:val="none" w:sz="0" w:space="0" w:color="auto"/>
      </w:divBdr>
    </w:div>
    <w:div w:id="1623266058">
      <w:bodyDiv w:val="1"/>
      <w:marLeft w:val="0"/>
      <w:marRight w:val="0"/>
      <w:marTop w:val="0"/>
      <w:marBottom w:val="0"/>
      <w:divBdr>
        <w:top w:val="none" w:sz="0" w:space="0" w:color="auto"/>
        <w:left w:val="none" w:sz="0" w:space="0" w:color="auto"/>
        <w:bottom w:val="none" w:sz="0" w:space="0" w:color="auto"/>
        <w:right w:val="none" w:sz="0" w:space="0" w:color="auto"/>
      </w:divBdr>
    </w:div>
    <w:div w:id="1634749498">
      <w:bodyDiv w:val="1"/>
      <w:marLeft w:val="0"/>
      <w:marRight w:val="0"/>
      <w:marTop w:val="0"/>
      <w:marBottom w:val="0"/>
      <w:divBdr>
        <w:top w:val="none" w:sz="0" w:space="0" w:color="auto"/>
        <w:left w:val="none" w:sz="0" w:space="0" w:color="auto"/>
        <w:bottom w:val="none" w:sz="0" w:space="0" w:color="auto"/>
        <w:right w:val="none" w:sz="0" w:space="0" w:color="auto"/>
      </w:divBdr>
    </w:div>
    <w:div w:id="1727989562">
      <w:bodyDiv w:val="1"/>
      <w:marLeft w:val="0"/>
      <w:marRight w:val="0"/>
      <w:marTop w:val="0"/>
      <w:marBottom w:val="0"/>
      <w:divBdr>
        <w:top w:val="none" w:sz="0" w:space="0" w:color="auto"/>
        <w:left w:val="none" w:sz="0" w:space="0" w:color="auto"/>
        <w:bottom w:val="none" w:sz="0" w:space="0" w:color="auto"/>
        <w:right w:val="none" w:sz="0" w:space="0" w:color="auto"/>
      </w:divBdr>
    </w:div>
    <w:div w:id="1769157406">
      <w:bodyDiv w:val="1"/>
      <w:marLeft w:val="0"/>
      <w:marRight w:val="0"/>
      <w:marTop w:val="0"/>
      <w:marBottom w:val="0"/>
      <w:divBdr>
        <w:top w:val="none" w:sz="0" w:space="0" w:color="auto"/>
        <w:left w:val="none" w:sz="0" w:space="0" w:color="auto"/>
        <w:bottom w:val="none" w:sz="0" w:space="0" w:color="auto"/>
        <w:right w:val="none" w:sz="0" w:space="0" w:color="auto"/>
      </w:divBdr>
    </w:div>
    <w:div w:id="1833177259">
      <w:bodyDiv w:val="1"/>
      <w:marLeft w:val="0"/>
      <w:marRight w:val="0"/>
      <w:marTop w:val="0"/>
      <w:marBottom w:val="0"/>
      <w:divBdr>
        <w:top w:val="none" w:sz="0" w:space="0" w:color="auto"/>
        <w:left w:val="none" w:sz="0" w:space="0" w:color="auto"/>
        <w:bottom w:val="none" w:sz="0" w:space="0" w:color="auto"/>
        <w:right w:val="none" w:sz="0" w:space="0" w:color="auto"/>
      </w:divBdr>
    </w:div>
    <w:div w:id="1854489825">
      <w:bodyDiv w:val="1"/>
      <w:marLeft w:val="0"/>
      <w:marRight w:val="0"/>
      <w:marTop w:val="0"/>
      <w:marBottom w:val="0"/>
      <w:divBdr>
        <w:top w:val="none" w:sz="0" w:space="0" w:color="auto"/>
        <w:left w:val="none" w:sz="0" w:space="0" w:color="auto"/>
        <w:bottom w:val="none" w:sz="0" w:space="0" w:color="auto"/>
        <w:right w:val="none" w:sz="0" w:space="0" w:color="auto"/>
      </w:divBdr>
    </w:div>
    <w:div w:id="1892496891">
      <w:bodyDiv w:val="1"/>
      <w:marLeft w:val="0"/>
      <w:marRight w:val="0"/>
      <w:marTop w:val="0"/>
      <w:marBottom w:val="0"/>
      <w:divBdr>
        <w:top w:val="none" w:sz="0" w:space="0" w:color="auto"/>
        <w:left w:val="none" w:sz="0" w:space="0" w:color="auto"/>
        <w:bottom w:val="none" w:sz="0" w:space="0" w:color="auto"/>
        <w:right w:val="none" w:sz="0" w:space="0" w:color="auto"/>
      </w:divBdr>
    </w:div>
    <w:div w:id="19728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planificacion@iuas.edu.a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uciaallona.wna@gmail.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ynch@iuas.edu.ar"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impulsa.lab@cbc.uba.ar" TargetMode="External"/><Relationship Id="rId4" Type="http://schemas.openxmlformats.org/officeDocument/2006/relationships/footnotes" Target="footnotes.xml"/><Relationship Id="rId9" Type="http://schemas.openxmlformats.org/officeDocument/2006/relationships/hyperlink" Target="mailto:rector@iuas.edu.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6732</Words>
  <Characters>39791</Characters>
  <Application>Microsoft Office Word</Application>
  <DocSecurity>0</DocSecurity>
  <Lines>1894</Lines>
  <Paragraphs>1057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Gabriela Irrazábal</cp:lastModifiedBy>
  <cp:revision>2</cp:revision>
  <dcterms:created xsi:type="dcterms:W3CDTF">2026-07-12T09:50:00Z</dcterms:created>
  <dcterms:modified xsi:type="dcterms:W3CDTF">2026-07-12T09:50:00Z</dcterms:modified>
</cp:coreProperties>
</file>