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74D68FBE" w:rsidR="001923DC" w:rsidRPr="00BA642E" w:rsidRDefault="00C0507C" w:rsidP="001923DC">
      <w:pPr>
        <w:jc w:val="center"/>
        <w:rPr>
          <w:rFonts w:ascii="Times New Roman" w:hAnsi="Times New Roman" w:cs="Times New Roman"/>
          <w:b/>
          <w:bCs/>
        </w:rPr>
      </w:pPr>
      <w:r>
        <w:rPr>
          <w:rFonts w:ascii="Times New Roman" w:hAnsi="Times New Roman" w:cs="Times New Roman"/>
          <w:b/>
          <w:bCs/>
        </w:rPr>
        <w:t>Propuestas de accesibilidad académica en clave de inclusión educativa</w:t>
      </w:r>
    </w:p>
    <w:p w14:paraId="43C49479" w14:textId="77777777" w:rsidR="005F3B2E" w:rsidRPr="00BA642E" w:rsidRDefault="005F3B2E" w:rsidP="001923DC">
      <w:pPr>
        <w:jc w:val="center"/>
        <w:rPr>
          <w:rFonts w:ascii="Times New Roman" w:hAnsi="Times New Roman" w:cs="Times New Roman"/>
        </w:rPr>
      </w:pPr>
    </w:p>
    <w:p w14:paraId="4E738780" w14:textId="37E14283" w:rsidR="005F3B2E" w:rsidRPr="00BA642E" w:rsidRDefault="00864631" w:rsidP="005F3B2E">
      <w:pPr>
        <w:spacing w:after="0" w:line="240" w:lineRule="auto"/>
        <w:jc w:val="right"/>
        <w:rPr>
          <w:rFonts w:ascii="Times New Roman" w:hAnsi="Times New Roman" w:cs="Times New Roman"/>
        </w:rPr>
      </w:pPr>
      <w:r>
        <w:rPr>
          <w:rFonts w:ascii="Times New Roman" w:hAnsi="Times New Roman" w:cs="Times New Roman"/>
        </w:rPr>
        <w:t>Finocchiaro, Franco</w:t>
      </w:r>
    </w:p>
    <w:p w14:paraId="6C2AECCA" w14:textId="0C59C1FD" w:rsidR="005F3B2E" w:rsidRPr="00BA642E" w:rsidRDefault="00864631" w:rsidP="005F3B2E">
      <w:pPr>
        <w:spacing w:after="0" w:line="240" w:lineRule="auto"/>
        <w:jc w:val="right"/>
        <w:rPr>
          <w:rFonts w:ascii="Times New Roman" w:hAnsi="Times New Roman" w:cs="Times New Roman"/>
        </w:rPr>
      </w:pPr>
      <w:r>
        <w:rPr>
          <w:rFonts w:ascii="Times New Roman" w:hAnsi="Times New Roman" w:cs="Times New Roman"/>
        </w:rPr>
        <w:t>Universidad Nacional del Sur</w:t>
      </w:r>
    </w:p>
    <w:p w14:paraId="7D0026CD" w14:textId="2F5C503D" w:rsidR="005F3B2E" w:rsidRDefault="00864631" w:rsidP="005F3B2E">
      <w:pPr>
        <w:spacing w:after="0" w:line="240" w:lineRule="auto"/>
        <w:jc w:val="right"/>
        <w:rPr>
          <w:rFonts w:ascii="Times New Roman" w:hAnsi="Times New Roman" w:cs="Times New Roman"/>
        </w:rPr>
      </w:pPr>
      <w:hyperlink r:id="rId7" w:history="1">
        <w:r w:rsidRPr="00915441">
          <w:rPr>
            <w:rStyle w:val="Hipervnculo"/>
            <w:rFonts w:ascii="Times New Roman" w:hAnsi="Times New Roman" w:cs="Times New Roman"/>
          </w:rPr>
          <w:t>franco.finocchiaro@uns.edu.ar</w:t>
        </w:r>
      </w:hyperlink>
    </w:p>
    <w:p w14:paraId="6BFAB466" w14:textId="77777777" w:rsidR="00864631" w:rsidRPr="00BA642E" w:rsidRDefault="00864631" w:rsidP="005F3B2E">
      <w:pPr>
        <w:spacing w:after="0" w:line="240" w:lineRule="auto"/>
        <w:jc w:val="right"/>
        <w:rPr>
          <w:rFonts w:ascii="Times New Roman" w:hAnsi="Times New Roman" w:cs="Times New Roman"/>
        </w:rPr>
      </w:pPr>
    </w:p>
    <w:p w14:paraId="153E2122" w14:textId="77777777" w:rsidR="00AC57BA" w:rsidRDefault="00BA642E" w:rsidP="007B5B5F">
      <w:pPr>
        <w:spacing w:line="240" w:lineRule="auto"/>
        <w:jc w:val="both"/>
        <w:rPr>
          <w:rFonts w:ascii="Times New Roman" w:hAnsi="Times New Roman" w:cs="Times New Roman"/>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C67B49" w:rsidRPr="00C67B49">
        <w:rPr>
          <w:rFonts w:ascii="Times New Roman" w:hAnsi="Times New Roman" w:cs="Times New Roman"/>
        </w:rPr>
        <w:t>Ante la creciente demanda de los estudiantes que presentan algún tipo de diversidad y se alejan prototipo de “estudiante ideal” que quedó en el imaginario colectivo y para el cuál muchas veces se preparan las clases de las asignaturas, se torna inevitable la búsqueda de dispositivos pedagógicos más inclusivos para todos.</w:t>
      </w:r>
      <w:r w:rsidR="00C67B49" w:rsidRPr="00C67B49">
        <w:rPr>
          <w:rFonts w:ascii="Times New Roman" w:hAnsi="Times New Roman" w:cs="Times New Roman"/>
        </w:rPr>
        <w:br/>
        <w:t>En esta búsqueda, los actores involucrados en las instituciones son los principales emisores y, al mismo tiempo, receptores de estas políticas. Si bien el acto educativo en el aula incluye a docentes y estudiantes, también las autoridades y los equipos de apoyo a la institución inciden en las experiencias de los cursantes que son quienes transitan las instituciones a diario. La complejidad de las universidades hace que haya múltiples factores que fundamentan su resistencia al cambio y las singulariza de las demás, por ejemplo, el contexto en el que están inmersas, sus órganos de gobierno, sus recursos, su antigüedad y sus normas, solo por nombrar algunos de los más mencionados.</w:t>
      </w:r>
      <w:r w:rsidR="00C67B49" w:rsidRPr="00C67B49">
        <w:rPr>
          <w:rFonts w:ascii="Times New Roman" w:hAnsi="Times New Roman" w:cs="Times New Roman"/>
        </w:rPr>
        <w:br/>
      </w:r>
      <w:r w:rsidR="00C67B49" w:rsidRPr="00C0507C">
        <w:rPr>
          <w:rFonts w:ascii="Times New Roman" w:hAnsi="Times New Roman" w:cs="Times New Roman"/>
        </w:rPr>
        <w:t>Se propone como objetivo principal sintetizar estrategias de accesibilidad académica que permitan contribuir al cumplimiento del derecho a la educación para todos y transitar hacia una universidad capaz de adaptarse al estudiante más allá de las diversidades que el mismo presenta.</w:t>
      </w:r>
      <w:r w:rsidR="00C67B49" w:rsidRPr="00C67B49">
        <w:rPr>
          <w:rFonts w:ascii="Times New Roman" w:hAnsi="Times New Roman" w:cs="Times New Roman"/>
        </w:rPr>
        <w:t xml:space="preserve"> Para lograrlo, se realizó una encuesta en la cual se preguntó a estudiantes de 8 universidades nacionales situadas en la provincia de Buenos Aires sobre sus experiencias en las aulas de la universidad, sus principales dificultades y mecanismos de apoyo que se podrían ensayar. También como se mencionó en el párrafo anterior, estas estrategias no se aplican de la misma manera en todas las universidades, sino que requieren un diagnóstico previo de situación respecto a la temática y una adaptación de </w:t>
      </w:r>
      <w:proofErr w:type="gramStart"/>
      <w:r w:rsidR="00C67B49" w:rsidRPr="00C67B49">
        <w:rPr>
          <w:rFonts w:ascii="Times New Roman" w:hAnsi="Times New Roman" w:cs="Times New Roman"/>
        </w:rPr>
        <w:t>las mismas</w:t>
      </w:r>
      <w:proofErr w:type="gramEnd"/>
      <w:r w:rsidR="00C67B49" w:rsidRPr="00C67B49">
        <w:rPr>
          <w:rFonts w:ascii="Times New Roman" w:hAnsi="Times New Roman" w:cs="Times New Roman"/>
        </w:rPr>
        <w:t xml:space="preserve"> al contexto institucional. En efecto, funcionan como disparadores y difusores de la inclusión, más que como “soluciones incuestionables”.</w:t>
      </w:r>
    </w:p>
    <w:p w14:paraId="35A6682C" w14:textId="0B89C443" w:rsidR="00BA642E" w:rsidRPr="007B5B5F" w:rsidRDefault="00C67B49" w:rsidP="007B5B5F">
      <w:pPr>
        <w:spacing w:line="240" w:lineRule="auto"/>
        <w:jc w:val="both"/>
        <w:rPr>
          <w:rFonts w:ascii="Times New Roman" w:hAnsi="Times New Roman" w:cs="Times New Roman"/>
          <w:b/>
          <w:bCs/>
        </w:rPr>
      </w:pPr>
      <w:r w:rsidRPr="00C67B49">
        <w:rPr>
          <w:rFonts w:ascii="Times New Roman" w:hAnsi="Times New Roman" w:cs="Times New Roman"/>
        </w:rPr>
        <w:t>La encuesta estuvo abierta para todos aquellos estudiantes que quisieran contestarla y se difundió por medios oficiales de las universidades y también por redes sociales. Los testimonios muestran necesidades diversas que no se concretaron en propuestas, fundamentalmente, por falta de comunicación interna y también por desconocimiento o falta de capacitación de los docentes. El trabajo pretende ser un vehículo de difusión sobre aquello que está “en nuestras manos” y que con pequeños ajustes pueden producir cambios significativos en las trayectorias educativas de los estudiantes universitarios.</w:t>
      </w:r>
    </w:p>
    <w:p w14:paraId="2994BAB3" w14:textId="4A370E75" w:rsidR="00BA642E" w:rsidRDefault="00BA642E" w:rsidP="007B5B5F">
      <w:pPr>
        <w:spacing w:line="240" w:lineRule="auto"/>
        <w:jc w:val="both"/>
        <w:rPr>
          <w:rFonts w:ascii="Times New Roman" w:hAnsi="Times New Roman" w:cs="Times New Roman"/>
        </w:rPr>
      </w:pPr>
      <w:r w:rsidRPr="007B5B5F">
        <w:rPr>
          <w:rFonts w:ascii="Times New Roman" w:hAnsi="Times New Roman" w:cs="Times New Roman"/>
          <w:b/>
          <w:bCs/>
        </w:rPr>
        <w:t xml:space="preserve">Palabras clave: </w:t>
      </w:r>
      <w:r w:rsidR="00C67B49" w:rsidRPr="00C67B49">
        <w:rPr>
          <w:rFonts w:ascii="Times New Roman" w:hAnsi="Times New Roman" w:cs="Times New Roman"/>
        </w:rPr>
        <w:t>inclusión educativa</w:t>
      </w:r>
      <w:r w:rsidR="00C67B49">
        <w:rPr>
          <w:rFonts w:ascii="Times New Roman" w:hAnsi="Times New Roman" w:cs="Times New Roman"/>
        </w:rPr>
        <w:t xml:space="preserve">, </w:t>
      </w:r>
      <w:r w:rsidR="00C67B49" w:rsidRPr="00C67B49">
        <w:rPr>
          <w:rFonts w:ascii="Times New Roman" w:hAnsi="Times New Roman" w:cs="Times New Roman"/>
        </w:rPr>
        <w:t>gestión educativa</w:t>
      </w:r>
      <w:r w:rsidR="00C67B49">
        <w:rPr>
          <w:rFonts w:ascii="Times New Roman" w:hAnsi="Times New Roman" w:cs="Times New Roman"/>
        </w:rPr>
        <w:t xml:space="preserve">, </w:t>
      </w:r>
      <w:r w:rsidR="00C67B49" w:rsidRPr="00C67B49">
        <w:rPr>
          <w:rFonts w:ascii="Times New Roman" w:hAnsi="Times New Roman" w:cs="Times New Roman"/>
        </w:rPr>
        <w:t>accesibilidad</w:t>
      </w:r>
      <w:r w:rsidR="00C67B49">
        <w:rPr>
          <w:rFonts w:ascii="Times New Roman" w:hAnsi="Times New Roman" w:cs="Times New Roman"/>
        </w:rPr>
        <w:t>.</w:t>
      </w:r>
    </w:p>
    <w:p w14:paraId="2B5E2951" w14:textId="77777777" w:rsidR="00C0507C" w:rsidRDefault="00C0507C" w:rsidP="007B5B5F">
      <w:pPr>
        <w:spacing w:line="240" w:lineRule="auto"/>
        <w:jc w:val="both"/>
        <w:rPr>
          <w:rFonts w:ascii="Times New Roman" w:hAnsi="Times New Roman" w:cs="Times New Roman"/>
        </w:rPr>
      </w:pPr>
    </w:p>
    <w:p w14:paraId="4F203111" w14:textId="77777777" w:rsidR="00C0507C" w:rsidRPr="007B5B5F" w:rsidRDefault="00C0507C" w:rsidP="007B5B5F">
      <w:pPr>
        <w:spacing w:line="240" w:lineRule="auto"/>
        <w:jc w:val="both"/>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lastRenderedPageBreak/>
        <w:t>Introducción</w:t>
      </w:r>
    </w:p>
    <w:p w14:paraId="364BD614" w14:textId="12638B8F" w:rsidR="00864631" w:rsidRPr="00864631" w:rsidRDefault="00864631" w:rsidP="00864631">
      <w:pPr>
        <w:spacing w:before="240" w:line="240" w:lineRule="auto"/>
        <w:jc w:val="both"/>
        <w:rPr>
          <w:rFonts w:ascii="Times New Roman" w:hAnsi="Times New Roman" w:cs="Times New Roman"/>
        </w:rPr>
      </w:pPr>
      <w:r>
        <w:rPr>
          <w:rFonts w:ascii="Times New Roman" w:hAnsi="Times New Roman" w:cs="Times New Roman"/>
        </w:rPr>
        <w:t>L</w:t>
      </w:r>
      <w:r w:rsidRPr="00864631">
        <w:rPr>
          <w:rFonts w:ascii="Times New Roman" w:hAnsi="Times New Roman" w:cs="Times New Roman"/>
        </w:rPr>
        <w:t>a Organización de las Naciones Unidas (ONU) a través de sus Objetivos de Desarrollo Sostenible (ODS) refiere a la educación de calidad en su ODS 4 y la define como: “garantizar una educación inclusiva y equitativa de calidad y promover oportunidades de aprendizaje permanente para todos” (</w:t>
      </w:r>
      <w:r w:rsidR="00F27BE7">
        <w:rPr>
          <w:rFonts w:ascii="Times New Roman" w:hAnsi="Times New Roman" w:cs="Times New Roman"/>
        </w:rPr>
        <w:t>ONU</w:t>
      </w:r>
      <w:r w:rsidRPr="00864631">
        <w:rPr>
          <w:rFonts w:ascii="Times New Roman" w:hAnsi="Times New Roman" w:cs="Times New Roman"/>
        </w:rPr>
        <w:t>, 20</w:t>
      </w:r>
      <w:r w:rsidR="00F27BE7">
        <w:rPr>
          <w:rFonts w:ascii="Times New Roman" w:hAnsi="Times New Roman" w:cs="Times New Roman"/>
        </w:rPr>
        <w:t>15</w:t>
      </w:r>
      <w:r w:rsidRPr="00864631">
        <w:rPr>
          <w:rFonts w:ascii="Times New Roman" w:hAnsi="Times New Roman" w:cs="Times New Roman"/>
        </w:rPr>
        <w:t xml:space="preserve">, 7). Además, señala que la educación de calidad puede romper la pobreza, reducir desigualdades económicas y de género, fomentar la tolerancia entre personas y contribuir al desarrollo de sociedades más pacíficas. Estas ideas se unen con las que prevé el ODS 8 que se titula “trabajo decente y crecimiento económico” el cual pretende promover el </w:t>
      </w:r>
      <w:r w:rsidR="00C0507C">
        <w:rPr>
          <w:rFonts w:ascii="Times New Roman" w:hAnsi="Times New Roman" w:cs="Times New Roman"/>
        </w:rPr>
        <w:t>crecimiento económico</w:t>
      </w:r>
      <w:r w:rsidRPr="00864631">
        <w:rPr>
          <w:rFonts w:ascii="Times New Roman" w:hAnsi="Times New Roman" w:cs="Times New Roman"/>
        </w:rPr>
        <w:t xml:space="preserve"> inclusivo y sostenible, el empleo y el trabajo decente para todos. En esa tónica, las pretensiones de este objetivo se basan en la generación de oportunidades para jóvenes, reducir el empleo informal y la desigualdad del mercado laboral (Gutiérrez Goiria y Herrera, 2021). </w:t>
      </w:r>
    </w:p>
    <w:p w14:paraId="6FCD6941" w14:textId="23325D32" w:rsidR="00864631" w:rsidRPr="00864631" w:rsidRDefault="00F27BE7" w:rsidP="00864631">
      <w:pPr>
        <w:spacing w:before="240" w:line="240" w:lineRule="auto"/>
        <w:jc w:val="both"/>
        <w:rPr>
          <w:rFonts w:ascii="Times New Roman" w:hAnsi="Times New Roman" w:cs="Times New Roman"/>
        </w:rPr>
      </w:pPr>
      <w:r>
        <w:rPr>
          <w:rFonts w:ascii="Times New Roman" w:hAnsi="Times New Roman" w:cs="Times New Roman"/>
        </w:rPr>
        <w:t>En cuanto al ámbito laboral, p</w:t>
      </w:r>
      <w:r w:rsidR="00864631" w:rsidRPr="00864631">
        <w:rPr>
          <w:rFonts w:ascii="Times New Roman" w:hAnsi="Times New Roman" w:cs="Times New Roman"/>
        </w:rPr>
        <w:t xml:space="preserve">arte de los autores estudian empresas privadas las cuales consideran que incluir personas diversas en sus plantillas no solo los hace más inclusivos, sino que permite romper con la </w:t>
      </w:r>
      <w:proofErr w:type="spellStart"/>
      <w:r w:rsidR="00864631" w:rsidRPr="00864631">
        <w:rPr>
          <w:rFonts w:ascii="Times New Roman" w:hAnsi="Times New Roman" w:cs="Times New Roman"/>
        </w:rPr>
        <w:t>homofilia</w:t>
      </w:r>
      <w:proofErr w:type="spellEnd"/>
      <w:r w:rsidR="00864631" w:rsidRPr="00864631">
        <w:rPr>
          <w:rFonts w:ascii="Times New Roman" w:hAnsi="Times New Roman" w:cs="Times New Roman"/>
        </w:rPr>
        <w:t xml:space="preserve"> que muchos sectores empresariales tienen. De este modo, los espacios de trabajo se nutren de las ideas nuevas que puede traer una persona diferente al resto para producir innovación. La </w:t>
      </w:r>
      <w:proofErr w:type="spellStart"/>
      <w:r w:rsidR="00864631" w:rsidRPr="00864631">
        <w:rPr>
          <w:rFonts w:ascii="Times New Roman" w:hAnsi="Times New Roman" w:cs="Times New Roman"/>
        </w:rPr>
        <w:t>homofilia</w:t>
      </w:r>
      <w:proofErr w:type="spellEnd"/>
      <w:r>
        <w:rPr>
          <w:rFonts w:ascii="Times New Roman" w:hAnsi="Times New Roman" w:cs="Times New Roman"/>
        </w:rPr>
        <w:t>, por su parte,</w:t>
      </w:r>
      <w:r w:rsidR="00864631" w:rsidRPr="00864631">
        <w:rPr>
          <w:rFonts w:ascii="Times New Roman" w:hAnsi="Times New Roman" w:cs="Times New Roman"/>
        </w:rPr>
        <w:t xml:space="preserve"> se </w:t>
      </w:r>
      <w:r>
        <w:rPr>
          <w:rFonts w:ascii="Times New Roman" w:hAnsi="Times New Roman" w:cs="Times New Roman"/>
        </w:rPr>
        <w:t>entiende como</w:t>
      </w:r>
      <w:r w:rsidR="00864631" w:rsidRPr="00864631">
        <w:rPr>
          <w:rFonts w:ascii="Times New Roman" w:hAnsi="Times New Roman" w:cs="Times New Roman"/>
        </w:rPr>
        <w:t xml:space="preserve"> la tendencia de las personas a preferir asociarse con otros que tienen similar </w:t>
      </w:r>
      <w:proofErr w:type="gramStart"/>
      <w:r w:rsidR="00864631" w:rsidRPr="00864631">
        <w:rPr>
          <w:rFonts w:ascii="Times New Roman" w:hAnsi="Times New Roman" w:cs="Times New Roman"/>
        </w:rPr>
        <w:t>status</w:t>
      </w:r>
      <w:proofErr w:type="gramEnd"/>
      <w:r w:rsidR="00864631" w:rsidRPr="00864631">
        <w:rPr>
          <w:rFonts w:ascii="Times New Roman" w:hAnsi="Times New Roman" w:cs="Times New Roman"/>
        </w:rPr>
        <w:t xml:space="preserve">, creencias y valores (McPherson et al., 2001). Este concepto propone una idea opuesta a la gestión de la diversidad. El enfrentamiento de ambas propuestas no se realiza con el fin de considerarlas irreconciliables o analizar cuál es mejor, sino considerando el criterio de costo de oportunidad, de esta manera, las ventajas de la </w:t>
      </w:r>
      <w:proofErr w:type="spellStart"/>
      <w:r w:rsidR="00864631" w:rsidRPr="00864631">
        <w:rPr>
          <w:rFonts w:ascii="Times New Roman" w:hAnsi="Times New Roman" w:cs="Times New Roman"/>
        </w:rPr>
        <w:t>homofilia</w:t>
      </w:r>
      <w:proofErr w:type="spellEnd"/>
      <w:r w:rsidR="00864631" w:rsidRPr="00864631">
        <w:rPr>
          <w:rFonts w:ascii="Times New Roman" w:hAnsi="Times New Roman" w:cs="Times New Roman"/>
        </w:rPr>
        <w:t xml:space="preserve"> serían los beneficios que se pierden por elegir abogar por el paradigma de la diversidad.</w:t>
      </w:r>
    </w:p>
    <w:p w14:paraId="28D5E1CC" w14:textId="214AFE5D" w:rsidR="001646B2" w:rsidRPr="001646B2" w:rsidRDefault="00F27BE7" w:rsidP="001646B2">
      <w:pPr>
        <w:spacing w:before="240" w:line="240" w:lineRule="auto"/>
        <w:jc w:val="both"/>
        <w:rPr>
          <w:rFonts w:ascii="Times New Roman" w:hAnsi="Times New Roman" w:cs="Times New Roman"/>
        </w:rPr>
      </w:pPr>
      <w:r>
        <w:rPr>
          <w:rFonts w:ascii="Times New Roman" w:hAnsi="Times New Roman" w:cs="Times New Roman"/>
        </w:rPr>
        <w:t>En la parte educativa, a</w:t>
      </w:r>
      <w:r w:rsidR="001646B2" w:rsidRPr="001646B2">
        <w:rPr>
          <w:rFonts w:ascii="Times New Roman" w:hAnsi="Times New Roman" w:cs="Times New Roman"/>
        </w:rPr>
        <w:t xml:space="preserve">demás de sus funciones centrales de enseñanza, investigación y extensión, la universidad pública tiene asociados otros objetivos, entre los cuales se encuentra, la inclusión de personas que requieren algún apoyo para estudiar en igualdad de condiciones con sus compañeros. Es por ello </w:t>
      </w:r>
      <w:proofErr w:type="gramStart"/>
      <w:r w:rsidR="001646B2" w:rsidRPr="001646B2">
        <w:rPr>
          <w:rFonts w:ascii="Times New Roman" w:hAnsi="Times New Roman" w:cs="Times New Roman"/>
        </w:rPr>
        <w:t>que</w:t>
      </w:r>
      <w:proofErr w:type="gramEnd"/>
      <w:r w:rsidR="001646B2" w:rsidRPr="001646B2">
        <w:rPr>
          <w:rFonts w:ascii="Times New Roman" w:hAnsi="Times New Roman" w:cs="Times New Roman"/>
        </w:rPr>
        <w:t xml:space="preserve"> el concepto de accesibilidad alude a la construcción de estos apoyos a nivel institucional y así garantizar el derecho a estudiar de todos. En palabras de Boggino y </w:t>
      </w:r>
      <w:proofErr w:type="spellStart"/>
      <w:r w:rsidR="001646B2" w:rsidRPr="001646B2">
        <w:rPr>
          <w:rFonts w:ascii="Times New Roman" w:hAnsi="Times New Roman" w:cs="Times New Roman"/>
        </w:rPr>
        <w:t>Boggino</w:t>
      </w:r>
      <w:proofErr w:type="spellEnd"/>
      <w:r w:rsidR="001646B2" w:rsidRPr="001646B2">
        <w:rPr>
          <w:rFonts w:ascii="Times New Roman" w:hAnsi="Times New Roman" w:cs="Times New Roman"/>
        </w:rPr>
        <w:t xml:space="preserve"> (2014), la lógica de la accesibilidad responde a que la existencia de la diferencia deje de ser un signo negativo para ser valorada desde su positividad. Así, resulta obvio que existan diferencias de todo tipo, pero se perciben como lo que son: diferencias. Y, si las diferencias existen, no se puede menos que reconocerlas y trabajar con ellas.</w:t>
      </w:r>
    </w:p>
    <w:p w14:paraId="30440C8D" w14:textId="77777777" w:rsidR="001646B2" w:rsidRPr="001646B2" w:rsidRDefault="001646B2" w:rsidP="001646B2">
      <w:pPr>
        <w:spacing w:before="240" w:line="240" w:lineRule="auto"/>
        <w:jc w:val="both"/>
        <w:rPr>
          <w:rFonts w:ascii="Times New Roman" w:hAnsi="Times New Roman" w:cs="Times New Roman"/>
        </w:rPr>
      </w:pPr>
      <w:r w:rsidRPr="001646B2">
        <w:rPr>
          <w:rFonts w:ascii="Times New Roman" w:hAnsi="Times New Roman" w:cs="Times New Roman"/>
        </w:rPr>
        <w:t>En el Libro Blanco sobre Universidad y Accesibilidad se define accesibilidad desde una mirada más amplia: "es el conjunto de características que debe disponer un entorno, producto o servicio para ser utilizable en condiciones de confort, seguridad e igualdad por todas las personas y, en particular, por aquellas que tienen alguna discapacidad" (Peralta Morales, 2007). Se puede ver la amplitud del término que no solo refiere al entorno físico sino también a todos los bienes y servicios que tengan como usuario a alguna persona.</w:t>
      </w:r>
    </w:p>
    <w:p w14:paraId="3DA254F7" w14:textId="434782FE" w:rsidR="001646B2" w:rsidRPr="001646B2" w:rsidRDefault="001646B2" w:rsidP="001646B2">
      <w:pPr>
        <w:spacing w:before="240" w:line="240" w:lineRule="auto"/>
        <w:jc w:val="both"/>
        <w:rPr>
          <w:rFonts w:ascii="Times New Roman" w:hAnsi="Times New Roman" w:cs="Times New Roman"/>
        </w:rPr>
      </w:pPr>
      <w:r w:rsidRPr="001646B2">
        <w:rPr>
          <w:rFonts w:ascii="Times New Roman" w:hAnsi="Times New Roman" w:cs="Times New Roman"/>
        </w:rPr>
        <w:lastRenderedPageBreak/>
        <w:t xml:space="preserve">En la misma línea, De </w:t>
      </w:r>
      <w:r w:rsidR="00804BED">
        <w:rPr>
          <w:rFonts w:ascii="Times New Roman" w:hAnsi="Times New Roman" w:cs="Times New Roman"/>
        </w:rPr>
        <w:t>Benito Fernández et al</w:t>
      </w:r>
      <w:r w:rsidRPr="001646B2">
        <w:rPr>
          <w:rFonts w:ascii="Times New Roman" w:hAnsi="Times New Roman" w:cs="Times New Roman"/>
        </w:rPr>
        <w:t xml:space="preserve"> (20</w:t>
      </w:r>
      <w:r w:rsidR="00804BED">
        <w:rPr>
          <w:rFonts w:ascii="Times New Roman" w:hAnsi="Times New Roman" w:cs="Times New Roman"/>
        </w:rPr>
        <w:t>12</w:t>
      </w:r>
      <w:r w:rsidRPr="001646B2">
        <w:rPr>
          <w:rFonts w:ascii="Times New Roman" w:hAnsi="Times New Roman" w:cs="Times New Roman"/>
        </w:rPr>
        <w:t>) consideran que la accesibilidad es la característica que permite el uso y disfrute de un entorno a cualquier persona, con independencia de su condición física, sensorial o intelectual. En sentido amplio, consiste en planear, proyectar, construir, rehabilitar y conservar el entorno de modo que tenga en cuenta las necesidades y los requerimientos de cualquier persona sea cual sea su edad, circunstancia o capacidades. Un entorno acorde con los principios de la Accesibilidad Universal será un entorno que facilite el desenvolvimiento y uso de este por cualquier persona, desde unas características de comodidad, seguridad y autonomía personal (Solórzano Salas, 2013).</w:t>
      </w:r>
    </w:p>
    <w:p w14:paraId="17A2561C" w14:textId="77777777" w:rsidR="001646B2" w:rsidRPr="001646B2" w:rsidRDefault="001646B2" w:rsidP="001646B2">
      <w:pPr>
        <w:spacing w:line="240" w:lineRule="auto"/>
        <w:jc w:val="both"/>
        <w:rPr>
          <w:rFonts w:ascii="Times New Roman" w:hAnsi="Times New Roman" w:cs="Times New Roman"/>
        </w:rPr>
      </w:pPr>
      <w:r w:rsidRPr="001646B2">
        <w:rPr>
          <w:rFonts w:ascii="Times New Roman" w:hAnsi="Times New Roman" w:cs="Times New Roman"/>
        </w:rPr>
        <w:t>Con respecto a los tipos de accesibilidad existentes, Benet Gil (2020) alude a la accesibilidad física, comunicacional y económica, a las cuáles se le suele añadir la académica al contextualizarla al ámbito educativo. Albarrán (2015), por ejemplo, considera a la accesibilidad académica como la capacidad de comprensión de aquello que se pretende enseñar. López et al. (2015) aluden que el término se encuentra en constante formación y que para ello es necesario revisar el concepto de mediación pedagógica a la luz de la accesibilidad según tres perspectivas: la jurídico-institucional (derecho a la educación y formas que tiene habilitadas legalmente la institución para actuar), la pedagógica (métodos de enseñanza implementados) y la tecnológica (medios utilizados para el dictado).</w:t>
      </w:r>
    </w:p>
    <w:p w14:paraId="49CE237F" w14:textId="77777777" w:rsidR="001646B2" w:rsidRDefault="001646B2" w:rsidP="001646B2">
      <w:pPr>
        <w:spacing w:line="240" w:lineRule="auto"/>
        <w:jc w:val="both"/>
        <w:rPr>
          <w:rFonts w:ascii="Times New Roman" w:hAnsi="Times New Roman" w:cs="Times New Roman"/>
        </w:rPr>
      </w:pPr>
      <w:r w:rsidRPr="001646B2">
        <w:rPr>
          <w:rFonts w:ascii="Times New Roman" w:hAnsi="Times New Roman" w:cs="Times New Roman"/>
        </w:rPr>
        <w:t>En cuanto a las prácticas de accesibilidad, López (2018) menciona que el Plan Estratégico de cada Universidad debería tener en cuenta distintas acciones para mejorar la accesibilidad académica en general y la de los entornos virtuales en particular. El primer paso es establecer un diagnóstico inicial, sea revisando la autoevaluación institucional, las políticas institucionales y su implementación actual. Un segundo paso será el relevamiento de experiencias exitosas que “quedaron escondidas” en el ámbito de oficinas, cátedras o unidades académicas. Simultáneamente, la revisión de los diseños curriculares y los planes de trabajo docente contribuirán a detectar esas experiencias y evitar situaciones discriminatorias antes inadvertidas. Disponer de un sistema de información confiable que permita anticipar los distintos apoyos de los estudiantes con discapacidad facilitará su adquisición y disponibilidad en el momento oportuno para no entorpecer el proceso de alfabetización académica. Contar con un “Centro de Accesibilidad” ofrecerá un punto de referencia para toda la comunidad.</w:t>
      </w:r>
    </w:p>
    <w:p w14:paraId="4884307B" w14:textId="74C86EC2" w:rsidR="004A595B" w:rsidRDefault="00EF5F0B" w:rsidP="001646B2">
      <w:pPr>
        <w:spacing w:line="240" w:lineRule="auto"/>
        <w:jc w:val="both"/>
        <w:rPr>
          <w:rFonts w:ascii="Times New Roman" w:hAnsi="Times New Roman" w:cs="Times New Roman"/>
        </w:rPr>
      </w:pPr>
      <w:r>
        <w:rPr>
          <w:rFonts w:ascii="Times New Roman" w:hAnsi="Times New Roman" w:cs="Times New Roman"/>
        </w:rPr>
        <w:t>En base a los conceptos mencionados, s</w:t>
      </w:r>
      <w:r w:rsidR="00AC420F" w:rsidRPr="00C0507C">
        <w:rPr>
          <w:rFonts w:ascii="Times New Roman" w:hAnsi="Times New Roman" w:cs="Times New Roman"/>
        </w:rPr>
        <w:t>e propone como objetivo principal sintetizar estrategias de accesibilidad académica que permitan contribuir al cumplimiento del derecho a la educación para todos y transitar hacia una universidad capaz de adaptarse al estudiante más allá de las diversidades que el mismo presenta.</w:t>
      </w:r>
      <w:r w:rsidR="00AC420F" w:rsidRPr="00C67B49">
        <w:rPr>
          <w:rFonts w:ascii="Times New Roman" w:hAnsi="Times New Roman" w:cs="Times New Roman"/>
        </w:rPr>
        <w:t xml:space="preserve"> Para lograrlo, se realizó una encuesta en la cual se preguntó a estudiantes de 8 universidades nacionales situadas en la provincia de Buenos Aires sobre sus experiencias en las aulas de la universidad, sus principales dificultades y mecanismos de apoyo que se podrían ensayar. </w:t>
      </w:r>
      <w:r w:rsidR="001C26A5">
        <w:rPr>
          <w:rFonts w:ascii="Times New Roman" w:hAnsi="Times New Roman" w:cs="Times New Roman"/>
        </w:rPr>
        <w:t>En total, se obtuvieron 1020 respuestas de estudiantes de las universidades mencionadas.</w:t>
      </w:r>
    </w:p>
    <w:p w14:paraId="367263FE" w14:textId="41D5F77C" w:rsidR="00AC420F" w:rsidRPr="001646B2" w:rsidRDefault="00AC420F" w:rsidP="001646B2">
      <w:pPr>
        <w:spacing w:line="240" w:lineRule="auto"/>
        <w:jc w:val="both"/>
        <w:rPr>
          <w:rFonts w:ascii="Times New Roman" w:hAnsi="Times New Roman" w:cs="Times New Roman"/>
        </w:rPr>
      </w:pPr>
      <w:r w:rsidRPr="00C67B49">
        <w:rPr>
          <w:rFonts w:ascii="Times New Roman" w:hAnsi="Times New Roman" w:cs="Times New Roman"/>
        </w:rPr>
        <w:t xml:space="preserve">También como se mencionó en el párrafo anterior, estas estrategias no se aplican de la misma manera en todas las universidades, sino que requieren un diagnóstico previo de situación respecto a la temática y una adaptación de </w:t>
      </w:r>
      <w:proofErr w:type="gramStart"/>
      <w:r w:rsidRPr="00C67B49">
        <w:rPr>
          <w:rFonts w:ascii="Times New Roman" w:hAnsi="Times New Roman" w:cs="Times New Roman"/>
        </w:rPr>
        <w:t>las mismas</w:t>
      </w:r>
      <w:proofErr w:type="gramEnd"/>
      <w:r w:rsidRPr="00C67B49">
        <w:rPr>
          <w:rFonts w:ascii="Times New Roman" w:hAnsi="Times New Roman" w:cs="Times New Roman"/>
        </w:rPr>
        <w:t xml:space="preserve"> al contexto institucional. </w:t>
      </w:r>
      <w:r w:rsidRPr="00C67B49">
        <w:rPr>
          <w:rFonts w:ascii="Times New Roman" w:hAnsi="Times New Roman" w:cs="Times New Roman"/>
        </w:rPr>
        <w:lastRenderedPageBreak/>
        <w:t>En efecto, funcionan como disparadores y difusores de la inclusión, más que como “soluciones incuestionables”.</w:t>
      </w:r>
    </w:p>
    <w:p w14:paraId="0434A93D" w14:textId="34628AC0" w:rsidR="001646B2" w:rsidRDefault="00EF5F0B" w:rsidP="001646B2">
      <w:pPr>
        <w:spacing w:line="240" w:lineRule="auto"/>
        <w:jc w:val="both"/>
        <w:rPr>
          <w:rFonts w:ascii="Times New Roman" w:hAnsi="Times New Roman" w:cs="Times New Roman"/>
        </w:rPr>
      </w:pPr>
      <w:r>
        <w:rPr>
          <w:rFonts w:ascii="Times New Roman" w:hAnsi="Times New Roman" w:cs="Times New Roman"/>
        </w:rPr>
        <w:t>La encuesta realizada a las universidades se generó a</w:t>
      </w:r>
      <w:r w:rsidR="001646B2" w:rsidRPr="001646B2">
        <w:rPr>
          <w:rFonts w:ascii="Times New Roman" w:hAnsi="Times New Roman" w:cs="Times New Roman"/>
        </w:rPr>
        <w:t xml:space="preserve"> partir de un trabajo de tesis doctoral en el cual</w:t>
      </w:r>
      <w:r>
        <w:rPr>
          <w:rFonts w:ascii="Times New Roman" w:hAnsi="Times New Roman" w:cs="Times New Roman"/>
        </w:rPr>
        <w:t>, previamente,</w:t>
      </w:r>
      <w:r w:rsidR="001646B2" w:rsidRPr="001646B2">
        <w:rPr>
          <w:rFonts w:ascii="Times New Roman" w:hAnsi="Times New Roman" w:cs="Times New Roman"/>
        </w:rPr>
        <w:t xml:space="preserve"> se entrevistó a referentes de inclusión (se utiliza esta denominación considerando que en cada institución se organizan y nombran de diferente modo) de 8 universidades públicas nacionales situadas en la provincia de Buenos Aires (Universidad Nacional de La Plata, Universidad Nacional de Lomas de Zamora, Universidad Nacional de Mar del Plata, Universidad Nacional Arturo Jauretche, Universidad Nacional de Quilmes, Universidad Nacional de Hurlingham, Universidad Nacional de Luján y Universidad Nacional del Sur)</w:t>
      </w:r>
      <w:r w:rsidR="00813F5F">
        <w:rPr>
          <w:rFonts w:ascii="Times New Roman" w:hAnsi="Times New Roman" w:cs="Times New Roman"/>
        </w:rPr>
        <w:t>. A partir de ellas,</w:t>
      </w:r>
      <w:r w:rsidR="001646B2" w:rsidRPr="001646B2">
        <w:rPr>
          <w:rFonts w:ascii="Times New Roman" w:hAnsi="Times New Roman" w:cs="Times New Roman"/>
        </w:rPr>
        <w:t xml:space="preserve"> se pud</w:t>
      </w:r>
      <w:r w:rsidR="00813F5F">
        <w:rPr>
          <w:rFonts w:ascii="Times New Roman" w:hAnsi="Times New Roman" w:cs="Times New Roman"/>
        </w:rPr>
        <w:t>o</w:t>
      </w:r>
      <w:r w:rsidR="001646B2" w:rsidRPr="001646B2">
        <w:rPr>
          <w:rFonts w:ascii="Times New Roman" w:hAnsi="Times New Roman" w:cs="Times New Roman"/>
        </w:rPr>
        <w:t xml:space="preserve"> esquematizar las dimensiones de la accesibilidad académica </w:t>
      </w:r>
      <w:r w:rsidR="00813F5F">
        <w:rPr>
          <w:rFonts w:ascii="Times New Roman" w:hAnsi="Times New Roman" w:cs="Times New Roman"/>
        </w:rPr>
        <w:t>considerando</w:t>
      </w:r>
      <w:r w:rsidR="001646B2" w:rsidRPr="001646B2">
        <w:rPr>
          <w:rFonts w:ascii="Times New Roman" w:hAnsi="Times New Roman" w:cs="Times New Roman"/>
        </w:rPr>
        <w:t xml:space="preserve"> las etapas de tránsito del estudiante por la universidad como se ve en la Figura 1.</w:t>
      </w:r>
    </w:p>
    <w:p w14:paraId="5E72249C" w14:textId="77777777" w:rsidR="001646B2" w:rsidRPr="001646B2" w:rsidRDefault="001646B2" w:rsidP="001646B2">
      <w:pPr>
        <w:spacing w:before="240" w:line="240" w:lineRule="auto"/>
        <w:jc w:val="center"/>
        <w:rPr>
          <w:rFonts w:ascii="Times New Roman" w:hAnsi="Times New Roman" w:cs="Times New Roman"/>
          <w:b/>
          <w:bCs/>
          <w:sz w:val="22"/>
          <w:szCs w:val="22"/>
        </w:rPr>
      </w:pPr>
      <w:r w:rsidRPr="001646B2">
        <w:rPr>
          <w:rFonts w:ascii="Times New Roman" w:hAnsi="Times New Roman" w:cs="Times New Roman"/>
          <w:b/>
          <w:bCs/>
          <w:sz w:val="22"/>
          <w:szCs w:val="22"/>
        </w:rPr>
        <w:t>Figura 1. Dimensiones de accesibilidad académica</w:t>
      </w:r>
    </w:p>
    <w:p w14:paraId="5BF34B5D" w14:textId="77777777" w:rsidR="001646B2" w:rsidRPr="00C87DBC" w:rsidRDefault="001646B2" w:rsidP="001646B2">
      <w:pPr>
        <w:spacing w:line="240" w:lineRule="auto"/>
        <w:jc w:val="both"/>
        <w:rPr>
          <w:rFonts w:ascii="Roboto Condensed" w:eastAsia="Roboto Condensed" w:hAnsi="Roboto Condensed" w:cs="Roboto Condensed"/>
        </w:rPr>
      </w:pPr>
      <w:r w:rsidRPr="00C87DBC">
        <w:rPr>
          <w:rFonts w:ascii="Roboto Condensed" w:eastAsia="Roboto Condensed" w:hAnsi="Roboto Condensed" w:cs="Roboto Condensed"/>
          <w:noProof/>
        </w:rPr>
        <w:drawing>
          <wp:inline distT="0" distB="0" distL="0" distR="0" wp14:anchorId="06B7F3A5" wp14:editId="5A0AC726">
            <wp:extent cx="5486400" cy="485030"/>
            <wp:effectExtent l="19050" t="0" r="38100" b="10795"/>
            <wp:docPr id="167515984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F9F0EB2" w14:textId="77777777" w:rsidR="001646B2" w:rsidRPr="001646B2" w:rsidRDefault="001646B2" w:rsidP="001646B2">
      <w:pPr>
        <w:spacing w:before="240" w:line="240" w:lineRule="auto"/>
        <w:jc w:val="center"/>
        <w:rPr>
          <w:rFonts w:ascii="Times New Roman" w:hAnsi="Times New Roman" w:cs="Times New Roman"/>
          <w:b/>
          <w:bCs/>
          <w:sz w:val="22"/>
          <w:szCs w:val="22"/>
        </w:rPr>
      </w:pPr>
      <w:r w:rsidRPr="001646B2">
        <w:rPr>
          <w:rFonts w:ascii="Times New Roman" w:hAnsi="Times New Roman" w:cs="Times New Roman"/>
          <w:b/>
          <w:bCs/>
          <w:sz w:val="22"/>
          <w:szCs w:val="22"/>
        </w:rPr>
        <w:t>Fuente. Elaboración propia</w:t>
      </w:r>
    </w:p>
    <w:p w14:paraId="6B49FC4C" w14:textId="4019CA66" w:rsidR="001646B2" w:rsidRPr="001646B2" w:rsidRDefault="001646B2" w:rsidP="001646B2">
      <w:pPr>
        <w:spacing w:line="240" w:lineRule="auto"/>
        <w:jc w:val="both"/>
        <w:rPr>
          <w:rFonts w:ascii="Times New Roman" w:hAnsi="Times New Roman" w:cs="Times New Roman"/>
        </w:rPr>
      </w:pPr>
      <w:r w:rsidRPr="001646B2">
        <w:rPr>
          <w:rFonts w:ascii="Times New Roman" w:hAnsi="Times New Roman" w:cs="Times New Roman"/>
        </w:rPr>
        <w:t>El contacto inicial se desarrolla en el vínculo entre el secundario y la universidad, mientras que la trayectoria responde al pasaje del estudiante por el nivel superior. Finalmente, la transición al empleo se plantea desde que el estudiante se recibe hasta que consigue insertarse en el mercado laboral. A continuación, se aborda cada una de estas etapas que recogen las conclusiones de las entrevistas.</w:t>
      </w:r>
    </w:p>
    <w:p w14:paraId="2FD138AD" w14:textId="1083375F" w:rsidR="005F3B2E" w:rsidRPr="007B5B5F" w:rsidRDefault="00E228A5" w:rsidP="007B5B5F">
      <w:pPr>
        <w:spacing w:line="240" w:lineRule="auto"/>
        <w:rPr>
          <w:rFonts w:ascii="Times New Roman" w:hAnsi="Times New Roman" w:cs="Times New Roman"/>
          <w:b/>
          <w:bCs/>
        </w:rPr>
      </w:pPr>
      <w:r>
        <w:rPr>
          <w:rFonts w:ascii="Times New Roman" w:hAnsi="Times New Roman" w:cs="Times New Roman"/>
          <w:b/>
          <w:bCs/>
        </w:rPr>
        <w:t xml:space="preserve">2. </w:t>
      </w:r>
      <w:r w:rsidR="005F3B2E" w:rsidRPr="007B5B5F">
        <w:rPr>
          <w:rFonts w:ascii="Times New Roman" w:hAnsi="Times New Roman" w:cs="Times New Roman"/>
          <w:b/>
          <w:bCs/>
        </w:rPr>
        <w:t>Desarrollo</w:t>
      </w:r>
    </w:p>
    <w:p w14:paraId="12EEFA7C" w14:textId="5CDB42F2" w:rsidR="00AC57BA" w:rsidRDefault="00A1777D" w:rsidP="001646B2">
      <w:pPr>
        <w:spacing w:line="240" w:lineRule="auto"/>
        <w:jc w:val="both"/>
        <w:rPr>
          <w:rFonts w:ascii="Times New Roman" w:hAnsi="Times New Roman" w:cs="Times New Roman"/>
        </w:rPr>
      </w:pPr>
      <w:r>
        <w:rPr>
          <w:rFonts w:ascii="Times New Roman" w:hAnsi="Times New Roman" w:cs="Times New Roman"/>
        </w:rPr>
        <w:t xml:space="preserve">En esta parte del trabajo se identifican, en primer lugar, las demandas </w:t>
      </w:r>
      <w:r w:rsidR="00E77037">
        <w:rPr>
          <w:rFonts w:ascii="Times New Roman" w:hAnsi="Times New Roman" w:cs="Times New Roman"/>
        </w:rPr>
        <w:t xml:space="preserve">mencionadas por los estudiantes encuestados y, en segundo lugar, se hacen propuestas de acciones de accesibilidad académica tendientes a </w:t>
      </w:r>
      <w:r w:rsidR="00EA3D2F">
        <w:rPr>
          <w:rFonts w:ascii="Times New Roman" w:hAnsi="Times New Roman" w:cs="Times New Roman"/>
        </w:rPr>
        <w:t>reducir las brechas que se producen entre cada cursante.</w:t>
      </w:r>
    </w:p>
    <w:p w14:paraId="5BAECC3E" w14:textId="6EBD9B98" w:rsidR="00CE2131" w:rsidRDefault="00CE2131" w:rsidP="00CE2131">
      <w:pPr>
        <w:spacing w:line="240" w:lineRule="auto"/>
        <w:jc w:val="both"/>
        <w:rPr>
          <w:rFonts w:ascii="Times New Roman" w:hAnsi="Times New Roman" w:cs="Times New Roman"/>
          <w:b/>
          <w:bCs/>
        </w:rPr>
      </w:pPr>
      <w:r w:rsidRPr="005A14CA">
        <w:rPr>
          <w:rFonts w:ascii="Times New Roman" w:hAnsi="Times New Roman" w:cs="Times New Roman"/>
          <w:b/>
          <w:bCs/>
        </w:rPr>
        <w:t xml:space="preserve">2.1 </w:t>
      </w:r>
      <w:r>
        <w:rPr>
          <w:rFonts w:ascii="Times New Roman" w:hAnsi="Times New Roman" w:cs="Times New Roman"/>
          <w:b/>
          <w:bCs/>
        </w:rPr>
        <w:t>Principales demandas destacadas por los estudiantes</w:t>
      </w:r>
    </w:p>
    <w:p w14:paraId="1CD1D04D" w14:textId="28D7AADD" w:rsidR="00E12346" w:rsidRDefault="00EF0CB7" w:rsidP="00691E44">
      <w:pPr>
        <w:spacing w:line="240" w:lineRule="auto"/>
        <w:jc w:val="both"/>
        <w:rPr>
          <w:rFonts w:ascii="Times New Roman" w:hAnsi="Times New Roman" w:cs="Times New Roman"/>
        </w:rPr>
      </w:pPr>
      <w:r w:rsidRPr="00691E44">
        <w:rPr>
          <w:rFonts w:ascii="Times New Roman" w:hAnsi="Times New Roman" w:cs="Times New Roman"/>
        </w:rPr>
        <w:t xml:space="preserve">Este título intenta ser un diagnóstico de situación previo a la realización de propuestas de mejora para </w:t>
      </w:r>
      <w:r w:rsidR="00691E44">
        <w:rPr>
          <w:rFonts w:ascii="Times New Roman" w:hAnsi="Times New Roman" w:cs="Times New Roman"/>
        </w:rPr>
        <w:t xml:space="preserve">la inclusión educativa. Es por ello </w:t>
      </w:r>
      <w:proofErr w:type="gramStart"/>
      <w:r w:rsidR="00691E44">
        <w:rPr>
          <w:rFonts w:ascii="Times New Roman" w:hAnsi="Times New Roman" w:cs="Times New Roman"/>
        </w:rPr>
        <w:t>que</w:t>
      </w:r>
      <w:proofErr w:type="gramEnd"/>
      <w:r w:rsidR="00691E44">
        <w:rPr>
          <w:rFonts w:ascii="Times New Roman" w:hAnsi="Times New Roman" w:cs="Times New Roman"/>
        </w:rPr>
        <w:t xml:space="preserve"> se hace mención </w:t>
      </w:r>
      <w:proofErr w:type="gramStart"/>
      <w:r w:rsidR="00691E44">
        <w:rPr>
          <w:rFonts w:ascii="Times New Roman" w:hAnsi="Times New Roman" w:cs="Times New Roman"/>
        </w:rPr>
        <w:t>a</w:t>
      </w:r>
      <w:proofErr w:type="gramEnd"/>
      <w:r w:rsidR="00691E44">
        <w:rPr>
          <w:rFonts w:ascii="Times New Roman" w:hAnsi="Times New Roman" w:cs="Times New Roman"/>
        </w:rPr>
        <w:t xml:space="preserve"> las principales demandas o posturas de los estudiantes encuestados vinculadas a la accesibilidad académica.</w:t>
      </w:r>
    </w:p>
    <w:p w14:paraId="7EC23A28" w14:textId="3E6B0CB3" w:rsidR="00B52446" w:rsidRDefault="00691E44" w:rsidP="00691E44">
      <w:pPr>
        <w:spacing w:line="240" w:lineRule="auto"/>
        <w:jc w:val="both"/>
        <w:rPr>
          <w:rFonts w:ascii="Times New Roman" w:hAnsi="Times New Roman" w:cs="Times New Roman"/>
        </w:rPr>
      </w:pPr>
      <w:r>
        <w:rPr>
          <w:rFonts w:ascii="Times New Roman" w:hAnsi="Times New Roman" w:cs="Times New Roman"/>
        </w:rPr>
        <w:t xml:space="preserve">En primer lugar, se considera que el vínculo entre el nivel secundario y el universitario es escaso o insuficiente. El mismo se basa en actividades que los estudiantes realizan sobre el final de su formación, pero la mayoría coincide en que la universidad no es un lugar conocido para ellos cuando inician. </w:t>
      </w:r>
      <w:r w:rsidR="00F17D28">
        <w:rPr>
          <w:rFonts w:ascii="Times New Roman" w:hAnsi="Times New Roman" w:cs="Times New Roman"/>
        </w:rPr>
        <w:t>De hecho, las actividades de inserción en la vida universitaria, casi siempre, son de orientación vocacional.</w:t>
      </w:r>
      <w:r w:rsidR="00191561">
        <w:rPr>
          <w:rFonts w:ascii="Times New Roman" w:hAnsi="Times New Roman" w:cs="Times New Roman"/>
        </w:rPr>
        <w:t xml:space="preserve"> Las muestras de carreras, por su parte, son un vehículo importante para que los estudiantes se relacionen con la </w:t>
      </w:r>
      <w:r w:rsidR="00191561">
        <w:rPr>
          <w:rFonts w:ascii="Times New Roman" w:hAnsi="Times New Roman" w:cs="Times New Roman"/>
        </w:rPr>
        <w:lastRenderedPageBreak/>
        <w:t>universidad, aunque pocas veces se difunden las actividades de acompañamiento con las que cuentan.</w:t>
      </w:r>
    </w:p>
    <w:p w14:paraId="6BC4A24E" w14:textId="3C04D2BC" w:rsidR="00691E44" w:rsidRDefault="008F162D" w:rsidP="00691E44">
      <w:pPr>
        <w:spacing w:line="240" w:lineRule="auto"/>
        <w:jc w:val="both"/>
        <w:rPr>
          <w:rFonts w:ascii="Times New Roman" w:hAnsi="Times New Roman" w:cs="Times New Roman"/>
        </w:rPr>
      </w:pPr>
      <w:r>
        <w:rPr>
          <w:rFonts w:ascii="Times New Roman" w:hAnsi="Times New Roman" w:cs="Times New Roman"/>
        </w:rPr>
        <w:t>Sumado a ello, la forma que tienen de comunicar si necesitan un acompañamiento o apoyo especial es a través de una “declaración” que realizan por el sistema Guaraní cuando se inscriben en las carreras. Esta herramienta si bien es importante, es poco utilizada por la “frialdad” que reviste para los estudiantes que no saben quien leerá lo que escriben ni para qué se usará esa información.</w:t>
      </w:r>
      <w:r w:rsidR="00CF10B8">
        <w:rPr>
          <w:rFonts w:ascii="Times New Roman" w:hAnsi="Times New Roman" w:cs="Times New Roman"/>
        </w:rPr>
        <w:t xml:space="preserve"> Por otro lado, si bien se considera útil ese registro, luego no se produce un análisis de datos adecuado para verificar el acompañamiento que tuvo la persona y su avance académico.</w:t>
      </w:r>
    </w:p>
    <w:p w14:paraId="6E0910DD" w14:textId="179207ED" w:rsidR="00CF10B8" w:rsidRDefault="00876018" w:rsidP="00691E44">
      <w:pPr>
        <w:spacing w:line="240" w:lineRule="auto"/>
        <w:jc w:val="both"/>
        <w:rPr>
          <w:rFonts w:ascii="Times New Roman" w:hAnsi="Times New Roman" w:cs="Times New Roman"/>
        </w:rPr>
      </w:pPr>
      <w:r>
        <w:rPr>
          <w:rFonts w:ascii="Times New Roman" w:hAnsi="Times New Roman" w:cs="Times New Roman"/>
        </w:rPr>
        <w:t xml:space="preserve">En cuanto a la situación puramente áulica, los estudiantes habitualmente esperan a tener confianza con algún profesor o auxiliar y allí comentarle la dificultad que poseen. En muchos casos, esto ocurre con posterioridad a sus exámenes lo que complica aun más el </w:t>
      </w:r>
      <w:r w:rsidR="002C0A3D">
        <w:rPr>
          <w:rFonts w:ascii="Times New Roman" w:hAnsi="Times New Roman" w:cs="Times New Roman"/>
        </w:rPr>
        <w:t>apoyo. No obstante, en los casos que ocurre no hay canales de articulación claros en las unidades académicas</w:t>
      </w:r>
      <w:r w:rsidR="007D4AB5">
        <w:rPr>
          <w:rFonts w:ascii="Times New Roman" w:hAnsi="Times New Roman" w:cs="Times New Roman"/>
        </w:rPr>
        <w:t xml:space="preserve"> que le </w:t>
      </w:r>
      <w:r w:rsidR="00DB4DFE">
        <w:rPr>
          <w:rFonts w:ascii="Times New Roman" w:hAnsi="Times New Roman" w:cs="Times New Roman"/>
        </w:rPr>
        <w:t>permitan al docente solicitar colaboración, capacitación o consultar los antecedentes de acompañamiento de estos alumnos.</w:t>
      </w:r>
    </w:p>
    <w:p w14:paraId="03FB9827" w14:textId="4AAF72EB" w:rsidR="008F162D" w:rsidRDefault="004422E0" w:rsidP="00691E44">
      <w:pPr>
        <w:spacing w:line="240" w:lineRule="auto"/>
        <w:jc w:val="both"/>
        <w:rPr>
          <w:rFonts w:ascii="Times New Roman" w:hAnsi="Times New Roman" w:cs="Times New Roman"/>
        </w:rPr>
      </w:pPr>
      <w:r>
        <w:rPr>
          <w:rFonts w:ascii="Times New Roman" w:hAnsi="Times New Roman" w:cs="Times New Roman"/>
        </w:rPr>
        <w:t>La transición hacia el empleo también es una dificultad presente en todas las instituciones consultadas, fundamentalmente, porque los estudiantes no consiguen empleo con facilidad. Esa es la primera limitación con la que se encuentran. Luego, cua</w:t>
      </w:r>
      <w:r w:rsidR="00BF4816">
        <w:rPr>
          <w:rFonts w:ascii="Times New Roman" w:hAnsi="Times New Roman" w:cs="Times New Roman"/>
        </w:rPr>
        <w:t>n</w:t>
      </w:r>
      <w:r>
        <w:rPr>
          <w:rFonts w:ascii="Times New Roman" w:hAnsi="Times New Roman" w:cs="Times New Roman"/>
        </w:rPr>
        <w:t xml:space="preserve">do logran su primera experiencia, ocurre que muchas veces </w:t>
      </w:r>
      <w:r w:rsidR="00BF4816">
        <w:rPr>
          <w:rFonts w:ascii="Times New Roman" w:hAnsi="Times New Roman" w:cs="Times New Roman"/>
        </w:rPr>
        <w:t>no tienen el mismo acompañamiento con el que contaban en la universidad o también la reticencia de las organizaciones en sostener el vínculo laboral radica en la falta de autonomía que algunas personas pueden tener a la hora de realizar las actividades encomendadas. Contar con herramientas preparatorias desde el nivel universitario puede ser una posibilidad para que los estudiantes con diversidades adquieran mayor autonomía.</w:t>
      </w:r>
    </w:p>
    <w:p w14:paraId="5B4A192B" w14:textId="4D31F6FA" w:rsidR="00FF49D6" w:rsidRPr="00691E44" w:rsidRDefault="00FF49D6" w:rsidP="00691E44">
      <w:pPr>
        <w:spacing w:line="240" w:lineRule="auto"/>
        <w:jc w:val="both"/>
        <w:rPr>
          <w:rFonts w:ascii="Times New Roman" w:hAnsi="Times New Roman" w:cs="Times New Roman"/>
        </w:rPr>
      </w:pPr>
      <w:r>
        <w:rPr>
          <w:rFonts w:ascii="Times New Roman" w:hAnsi="Times New Roman" w:cs="Times New Roman"/>
        </w:rPr>
        <w:t xml:space="preserve">La capacitación es otro aspecto que se considera necesario tanto para docentes, como para no docentes y estudiantes que muchas veces no son incluidos en estos programas. Si bien es correcto </w:t>
      </w:r>
      <w:r w:rsidR="007810D5">
        <w:rPr>
          <w:rFonts w:ascii="Times New Roman" w:hAnsi="Times New Roman" w:cs="Times New Roman"/>
        </w:rPr>
        <w:t xml:space="preserve">conjeturar que el docente es el primer interesado por el contacto directo con el estudiante, es crucial que los administrativos que recibirán sus trámites y atenderán sus consultas, estén formados sobre las dificultades que los estudiantes puedan presentar y cómo deberían tratar cada requerimiento en forma personalizada. Lo mismo ocurre con los estudiantes que comparten el aula con un estudiante acompañado pueden </w:t>
      </w:r>
      <w:r w:rsidR="00BC5C24">
        <w:rPr>
          <w:rFonts w:ascii="Times New Roman" w:hAnsi="Times New Roman" w:cs="Times New Roman"/>
        </w:rPr>
        <w:t>tener actitudes que no colaboren con el desarrollo del aprendizaje por desconocimiento.</w:t>
      </w:r>
    </w:p>
    <w:p w14:paraId="2E06F341" w14:textId="6D52CEBB" w:rsidR="00CE2131" w:rsidRDefault="00EA3D2F" w:rsidP="001646B2">
      <w:pPr>
        <w:spacing w:line="240" w:lineRule="auto"/>
        <w:jc w:val="both"/>
        <w:rPr>
          <w:rFonts w:ascii="Times New Roman" w:hAnsi="Times New Roman" w:cs="Times New Roman"/>
          <w:b/>
          <w:bCs/>
        </w:rPr>
      </w:pPr>
      <w:r w:rsidRPr="005A14CA">
        <w:rPr>
          <w:rFonts w:ascii="Times New Roman" w:hAnsi="Times New Roman" w:cs="Times New Roman"/>
          <w:b/>
          <w:bCs/>
        </w:rPr>
        <w:t>2.</w:t>
      </w:r>
      <w:r>
        <w:rPr>
          <w:rFonts w:ascii="Times New Roman" w:hAnsi="Times New Roman" w:cs="Times New Roman"/>
          <w:b/>
          <w:bCs/>
        </w:rPr>
        <w:t>2</w:t>
      </w:r>
      <w:r w:rsidRPr="005A14CA">
        <w:rPr>
          <w:rFonts w:ascii="Times New Roman" w:hAnsi="Times New Roman" w:cs="Times New Roman"/>
          <w:b/>
          <w:bCs/>
        </w:rPr>
        <w:t xml:space="preserve"> </w:t>
      </w:r>
      <w:r w:rsidR="0077063B">
        <w:rPr>
          <w:rFonts w:ascii="Times New Roman" w:hAnsi="Times New Roman" w:cs="Times New Roman"/>
          <w:b/>
          <w:bCs/>
        </w:rPr>
        <w:t>Propuestas de acciones para mejorar la accesibilidad académica</w:t>
      </w:r>
    </w:p>
    <w:p w14:paraId="2EB3A91C" w14:textId="3927552A" w:rsidR="00386F4C" w:rsidRPr="00386F4C" w:rsidRDefault="00386F4C" w:rsidP="001646B2">
      <w:pPr>
        <w:spacing w:line="240" w:lineRule="auto"/>
        <w:jc w:val="both"/>
        <w:rPr>
          <w:rFonts w:ascii="Times New Roman" w:hAnsi="Times New Roman" w:cs="Times New Roman"/>
        </w:rPr>
      </w:pPr>
      <w:r w:rsidRPr="00386F4C">
        <w:rPr>
          <w:rFonts w:ascii="Times New Roman" w:hAnsi="Times New Roman" w:cs="Times New Roman"/>
        </w:rPr>
        <w:t>En base a las inquietudes mencionadas en el punto anterior, se proponen algunas ideas de mejora que permitirían efectuar aportes desde la gestión institucional.</w:t>
      </w:r>
    </w:p>
    <w:p w14:paraId="4D244E48" w14:textId="02F1CA0E" w:rsidR="00E228A5" w:rsidRPr="005A14CA" w:rsidRDefault="00E228A5" w:rsidP="001646B2">
      <w:pPr>
        <w:spacing w:line="240" w:lineRule="auto"/>
        <w:jc w:val="both"/>
        <w:rPr>
          <w:rFonts w:ascii="Times New Roman" w:hAnsi="Times New Roman" w:cs="Times New Roman"/>
          <w:b/>
          <w:bCs/>
        </w:rPr>
      </w:pPr>
      <w:r w:rsidRPr="005A14CA">
        <w:rPr>
          <w:rFonts w:ascii="Times New Roman" w:hAnsi="Times New Roman" w:cs="Times New Roman"/>
          <w:b/>
          <w:bCs/>
        </w:rPr>
        <w:t>2.</w:t>
      </w:r>
      <w:r w:rsidR="0077063B">
        <w:rPr>
          <w:rFonts w:ascii="Times New Roman" w:hAnsi="Times New Roman" w:cs="Times New Roman"/>
          <w:b/>
          <w:bCs/>
        </w:rPr>
        <w:t>2.</w:t>
      </w:r>
      <w:r w:rsidRPr="005A14CA">
        <w:rPr>
          <w:rFonts w:ascii="Times New Roman" w:hAnsi="Times New Roman" w:cs="Times New Roman"/>
          <w:b/>
          <w:bCs/>
        </w:rPr>
        <w:t>1 Becas</w:t>
      </w:r>
    </w:p>
    <w:p w14:paraId="6F1C081E" w14:textId="49732ECC" w:rsidR="00E228A5" w:rsidRPr="00E228A5" w:rsidRDefault="00E228A5" w:rsidP="001646B2">
      <w:pPr>
        <w:spacing w:line="240" w:lineRule="auto"/>
        <w:jc w:val="both"/>
        <w:rPr>
          <w:rFonts w:ascii="Times New Roman" w:hAnsi="Times New Roman" w:cs="Times New Roman"/>
        </w:rPr>
      </w:pPr>
      <w:r w:rsidRPr="00E228A5">
        <w:rPr>
          <w:rFonts w:ascii="Times New Roman" w:hAnsi="Times New Roman" w:cs="Times New Roman"/>
        </w:rPr>
        <w:t xml:space="preserve">La importancia que tienen las becas como una política pública para el desarrollo de la educación de los países, es porque “son un recurso indispensable en la formación de los estudiantes y como consecuencia de su participación interactiva y positiva entre su familia, escuela y comunidad en donde radican. Desinhiben el bajo rendimiento </w:t>
      </w:r>
      <w:r w:rsidRPr="00E228A5">
        <w:rPr>
          <w:rFonts w:ascii="Times New Roman" w:hAnsi="Times New Roman" w:cs="Times New Roman"/>
        </w:rPr>
        <w:lastRenderedPageBreak/>
        <w:t>académico y logran abatir la deserción escolar” (Reyna Lara, 202</w:t>
      </w:r>
      <w:r w:rsidR="00720F5E">
        <w:rPr>
          <w:rFonts w:ascii="Times New Roman" w:hAnsi="Times New Roman" w:cs="Times New Roman"/>
        </w:rPr>
        <w:t>3</w:t>
      </w:r>
      <w:r w:rsidRPr="00E228A5">
        <w:rPr>
          <w:rFonts w:ascii="Times New Roman" w:hAnsi="Times New Roman" w:cs="Times New Roman"/>
        </w:rPr>
        <w:t>). Sin embargo, es tan importante su gestión como la medición del impacto en el rendimiento académico de los estudiantes.</w:t>
      </w:r>
    </w:p>
    <w:p w14:paraId="21705306" w14:textId="191FBC5B" w:rsidR="00E228A5" w:rsidRDefault="00E228A5" w:rsidP="001646B2">
      <w:pPr>
        <w:spacing w:line="240" w:lineRule="auto"/>
        <w:jc w:val="both"/>
        <w:rPr>
          <w:rFonts w:ascii="Times New Roman" w:hAnsi="Times New Roman" w:cs="Times New Roman"/>
        </w:rPr>
      </w:pPr>
      <w:r w:rsidRPr="00E228A5">
        <w:rPr>
          <w:rFonts w:ascii="Times New Roman" w:hAnsi="Times New Roman" w:cs="Times New Roman"/>
        </w:rPr>
        <w:t xml:space="preserve">Es por ello </w:t>
      </w:r>
      <w:proofErr w:type="gramStart"/>
      <w:r w:rsidRPr="00E228A5">
        <w:rPr>
          <w:rFonts w:ascii="Times New Roman" w:hAnsi="Times New Roman" w:cs="Times New Roman"/>
        </w:rPr>
        <w:t>que</w:t>
      </w:r>
      <w:proofErr w:type="gramEnd"/>
      <w:r w:rsidRPr="00E228A5">
        <w:rPr>
          <w:rFonts w:ascii="Times New Roman" w:hAnsi="Times New Roman" w:cs="Times New Roman"/>
        </w:rPr>
        <w:t xml:space="preserve"> la propuesta que se sugiere es crear programas de becas que sostengan la trayectoria de estudiantes con alguna dificultad de modo de que la misma persiga el objetivo de la equidad. </w:t>
      </w:r>
      <w:r>
        <w:rPr>
          <w:rFonts w:ascii="Times New Roman" w:hAnsi="Times New Roman" w:cs="Times New Roman"/>
        </w:rPr>
        <w:t>Por ejemplo, podrían crearse becas</w:t>
      </w:r>
      <w:r w:rsidRPr="00E228A5">
        <w:rPr>
          <w:rFonts w:ascii="Times New Roman" w:hAnsi="Times New Roman" w:cs="Times New Roman"/>
        </w:rPr>
        <w:t xml:space="preserve"> que bus</w:t>
      </w:r>
      <w:r>
        <w:rPr>
          <w:rFonts w:ascii="Times New Roman" w:hAnsi="Times New Roman" w:cs="Times New Roman"/>
        </w:rPr>
        <w:t>quen</w:t>
      </w:r>
      <w:r w:rsidRPr="00E228A5">
        <w:rPr>
          <w:rFonts w:ascii="Times New Roman" w:hAnsi="Times New Roman" w:cs="Times New Roman"/>
        </w:rPr>
        <w:t xml:space="preserve"> otorgar</w:t>
      </w:r>
      <w:r>
        <w:rPr>
          <w:rFonts w:ascii="Times New Roman" w:hAnsi="Times New Roman" w:cs="Times New Roman"/>
        </w:rPr>
        <w:t>se</w:t>
      </w:r>
      <w:r w:rsidRPr="00E228A5">
        <w:rPr>
          <w:rFonts w:ascii="Times New Roman" w:hAnsi="Times New Roman" w:cs="Times New Roman"/>
        </w:rPr>
        <w:t xml:space="preserve"> a los estudiantes que se encuentren acompañados por las direcciones de accesibilidad e inclusión o tutores, según la estructura de la universidad. De este modo, la percepción de </w:t>
      </w:r>
      <w:proofErr w:type="gramStart"/>
      <w:r w:rsidRPr="00E228A5">
        <w:rPr>
          <w:rFonts w:ascii="Times New Roman" w:hAnsi="Times New Roman" w:cs="Times New Roman"/>
        </w:rPr>
        <w:t>la misma</w:t>
      </w:r>
      <w:proofErr w:type="gramEnd"/>
      <w:r w:rsidRPr="00E228A5">
        <w:rPr>
          <w:rFonts w:ascii="Times New Roman" w:hAnsi="Times New Roman" w:cs="Times New Roman"/>
        </w:rPr>
        <w:t xml:space="preserve"> no solo depende del rendimiento académico sino también de la generación de un lazo con los integrantes de la gestión universitaria, de modo de producir un vínculo de contención con el estudiante.</w:t>
      </w:r>
    </w:p>
    <w:p w14:paraId="47611CA0" w14:textId="4B8BE539" w:rsidR="0059475B" w:rsidRPr="00E228A5" w:rsidRDefault="0059475B" w:rsidP="001646B2">
      <w:pPr>
        <w:spacing w:line="240" w:lineRule="auto"/>
        <w:jc w:val="both"/>
        <w:rPr>
          <w:rFonts w:ascii="Times New Roman" w:hAnsi="Times New Roman" w:cs="Times New Roman"/>
        </w:rPr>
      </w:pPr>
      <w:r>
        <w:rPr>
          <w:rFonts w:ascii="Times New Roman" w:hAnsi="Times New Roman" w:cs="Times New Roman"/>
        </w:rPr>
        <w:t xml:space="preserve">También es notable que muchas veces las personas que tienen alguna dificultad con relación a sus compañeros posean además alguna desventaja socioeconómica, ya sea por sus inconvenientes para trabajar o por provenir de contextos desfavorables desde el punto de vista económico. Así, </w:t>
      </w:r>
      <w:r w:rsidR="00ED1ACB">
        <w:rPr>
          <w:rFonts w:ascii="Times New Roman" w:hAnsi="Times New Roman" w:cs="Times New Roman"/>
        </w:rPr>
        <w:t>estas becas no pretenden beneficiar a algunos estudiantes por sobre otros sino producir un efecto de “equiparación” entre sus situaciones.</w:t>
      </w:r>
    </w:p>
    <w:p w14:paraId="2F071C5E" w14:textId="25D1E57A" w:rsidR="00E93BDD" w:rsidRPr="005A14CA" w:rsidRDefault="00E93BDD" w:rsidP="001646B2">
      <w:pPr>
        <w:spacing w:line="240" w:lineRule="auto"/>
        <w:jc w:val="both"/>
        <w:rPr>
          <w:rFonts w:ascii="Times New Roman" w:hAnsi="Times New Roman" w:cs="Times New Roman"/>
          <w:b/>
          <w:bCs/>
        </w:rPr>
      </w:pPr>
      <w:r w:rsidRPr="005A14CA">
        <w:rPr>
          <w:rFonts w:ascii="Times New Roman" w:hAnsi="Times New Roman" w:cs="Times New Roman"/>
          <w:b/>
          <w:bCs/>
        </w:rPr>
        <w:t>2.2 Curricularización de la inclusión</w:t>
      </w:r>
    </w:p>
    <w:p w14:paraId="6663A810" w14:textId="77777777" w:rsidR="00E93BDD" w:rsidRPr="00E93BDD" w:rsidRDefault="00E93BDD" w:rsidP="001646B2">
      <w:pPr>
        <w:spacing w:line="240" w:lineRule="auto"/>
        <w:jc w:val="both"/>
        <w:rPr>
          <w:rFonts w:ascii="Times New Roman" w:hAnsi="Times New Roman" w:cs="Times New Roman"/>
        </w:rPr>
      </w:pPr>
      <w:r w:rsidRPr="00E93BDD">
        <w:rPr>
          <w:rFonts w:ascii="Times New Roman" w:hAnsi="Times New Roman" w:cs="Times New Roman"/>
        </w:rPr>
        <w:t>Resulta extraño que existan muchos programas sobre inclusión educativa pero que los mismos no alcancen a la perspectiva curricular. Una de las posibles respuestas es que el peso principal del currículo esté en lo que Osorio Villegas (2017) llama currículo como plan de estudios, es decir, como un conjunto de contenidos, objetivos y métodos, centrándose en lo prescriptivo o normativo de ellos. Además, se puede precisar la visión de currículo como proyecto político, puesto que, los mismos emanan de organismos gubernamentales y definen qué se enseña y con qué fines, así como también, la transformación o reproducción del orden social. No obstante, la visión del currículo como experiencia vivida no se representa tanto, al menos en las temáticas de inclusión. Esta perspectiva indica que se enfatiza en lo que realmente pasa en el aula, más allá de lo planificado, valorando la interacción entre docentes, estudiantes y contexto (Osorio Villegas, 2017).</w:t>
      </w:r>
    </w:p>
    <w:p w14:paraId="183350F2" w14:textId="59C5B94F" w:rsidR="00E93BDD" w:rsidRPr="00E93BDD" w:rsidRDefault="00E93BDD" w:rsidP="001646B2">
      <w:pPr>
        <w:spacing w:line="240" w:lineRule="auto"/>
        <w:jc w:val="both"/>
        <w:rPr>
          <w:rFonts w:ascii="Times New Roman" w:hAnsi="Times New Roman" w:cs="Times New Roman"/>
        </w:rPr>
      </w:pPr>
      <w:r w:rsidRPr="00E93BDD">
        <w:rPr>
          <w:rFonts w:ascii="Times New Roman" w:hAnsi="Times New Roman" w:cs="Times New Roman"/>
        </w:rPr>
        <w:t xml:space="preserve">Es por ello </w:t>
      </w:r>
      <w:proofErr w:type="gramStart"/>
      <w:r w:rsidRPr="00E93BDD">
        <w:rPr>
          <w:rFonts w:ascii="Times New Roman" w:hAnsi="Times New Roman" w:cs="Times New Roman"/>
        </w:rPr>
        <w:t>que</w:t>
      </w:r>
      <w:proofErr w:type="gramEnd"/>
      <w:r w:rsidRPr="00E93BDD">
        <w:rPr>
          <w:rFonts w:ascii="Times New Roman" w:hAnsi="Times New Roman" w:cs="Times New Roman"/>
        </w:rPr>
        <w:t xml:space="preserve"> la propuesta tiene que ver con la provisión de estrategias y recursos para que los </w:t>
      </w:r>
      <w:r w:rsidR="00EF6B1B">
        <w:rPr>
          <w:rFonts w:ascii="Times New Roman" w:hAnsi="Times New Roman" w:cs="Times New Roman"/>
        </w:rPr>
        <w:t>docentes</w:t>
      </w:r>
      <w:r w:rsidRPr="00E93BDD">
        <w:rPr>
          <w:rFonts w:ascii="Times New Roman" w:hAnsi="Times New Roman" w:cs="Times New Roman"/>
        </w:rPr>
        <w:t xml:space="preserve"> puedan incorporar en sus programas y planificaciones formas de atender a la población estudiantil con la que cuentan, la cual es cada vez más diversa. Se proponen a continuación algunos ejemplos de estrategias de enseñanza que podrían añadirse a las planificaciones: </w:t>
      </w:r>
    </w:p>
    <w:p w14:paraId="189A44E0" w14:textId="77777777" w:rsidR="00E93BDD" w:rsidRDefault="00E93BDD" w:rsidP="001646B2">
      <w:pPr>
        <w:pStyle w:val="Prrafodelista"/>
        <w:numPr>
          <w:ilvl w:val="0"/>
          <w:numId w:val="3"/>
        </w:numPr>
        <w:spacing w:line="240" w:lineRule="auto"/>
        <w:jc w:val="both"/>
        <w:rPr>
          <w:rFonts w:ascii="Times New Roman" w:hAnsi="Times New Roman" w:cs="Times New Roman"/>
        </w:rPr>
      </w:pPr>
      <w:r w:rsidRPr="00E93BDD">
        <w:rPr>
          <w:rFonts w:ascii="Times New Roman" w:hAnsi="Times New Roman" w:cs="Times New Roman"/>
        </w:rPr>
        <w:t xml:space="preserve">Recursos virtuales complementarios: existen circunstancias en las cuáles algunos estudiantes pueden requerir un refuerzo de las clases al que puedan acceder cuando lo deseen, por ejemplo, videos sintéticos en los que puedan pausar y volver a escuchar o que puedan modificar la velocidad de reproducción. Por ejemplo, un estudiante con discapacidad auditiva parcial o una persona con edad avanzada pueden no seguir el ritmo de algunos docentes al igual que sus compañeros y estos apoyos les sirven de mucha utilidad. Por otra parte, la asincronía les permite a estudiantes que tienen situaciones circunstanciales como horarios de trabajo </w:t>
      </w:r>
      <w:r w:rsidRPr="00E93BDD">
        <w:rPr>
          <w:rFonts w:ascii="Times New Roman" w:hAnsi="Times New Roman" w:cs="Times New Roman"/>
        </w:rPr>
        <w:lastRenderedPageBreak/>
        <w:t>incompatibles con las cursadas, embarazo, cuidados de familiares y otras cargas personales, acceder a la información para el estudio sin necesidad de asistir a clases. En estos casos, el apoyo del docente manteniendo actualizados a los estudiantes es crucial.</w:t>
      </w:r>
    </w:p>
    <w:p w14:paraId="4725C74F" w14:textId="77777777" w:rsidR="00E93BDD" w:rsidRDefault="00E93BDD" w:rsidP="001646B2">
      <w:pPr>
        <w:pStyle w:val="Prrafodelista"/>
        <w:numPr>
          <w:ilvl w:val="0"/>
          <w:numId w:val="3"/>
        </w:numPr>
        <w:spacing w:line="240" w:lineRule="auto"/>
        <w:jc w:val="both"/>
        <w:rPr>
          <w:rFonts w:ascii="Times New Roman" w:hAnsi="Times New Roman" w:cs="Times New Roman"/>
        </w:rPr>
      </w:pPr>
      <w:r w:rsidRPr="00E93BDD">
        <w:rPr>
          <w:rFonts w:ascii="Times New Roman" w:hAnsi="Times New Roman" w:cs="Times New Roman"/>
        </w:rPr>
        <w:t xml:space="preserve">Material bibliográfico en diferentes formatos: algunas producciones docentes pueden incurrir en dificultades para estudiantes que presenten diagnósticos vinculados con la atención, la concentración, la ansiedad o incluso aquellos que tienen alguna dificultad visual. Es por ello </w:t>
      </w:r>
      <w:proofErr w:type="gramStart"/>
      <w:r w:rsidRPr="00E93BDD">
        <w:rPr>
          <w:rFonts w:ascii="Times New Roman" w:hAnsi="Times New Roman" w:cs="Times New Roman"/>
        </w:rPr>
        <w:t>que</w:t>
      </w:r>
      <w:proofErr w:type="gramEnd"/>
      <w:r w:rsidRPr="00E93BDD">
        <w:rPr>
          <w:rFonts w:ascii="Times New Roman" w:hAnsi="Times New Roman" w:cs="Times New Roman"/>
        </w:rPr>
        <w:t xml:space="preserve"> siempre se sugiere la posibilidad de tener versiones con menor carga visual y cognitiva para que los estudiantes puedan comprender el contenido más directamente. Además, existen bibliotecas digitales que alojan materiales adaptados para que los estudiantes con discapacidad visual que tienen lectores especiales puedan manipularlos en sus dispositivos. </w:t>
      </w:r>
      <w:proofErr w:type="spellStart"/>
      <w:r w:rsidRPr="00E93BDD">
        <w:rPr>
          <w:rFonts w:ascii="Times New Roman" w:hAnsi="Times New Roman" w:cs="Times New Roman"/>
        </w:rPr>
        <w:t>Tiflonexos</w:t>
      </w:r>
      <w:proofErr w:type="spellEnd"/>
      <w:r w:rsidRPr="00E93BDD">
        <w:rPr>
          <w:rFonts w:ascii="Times New Roman" w:hAnsi="Times New Roman" w:cs="Times New Roman"/>
        </w:rPr>
        <w:t xml:space="preserve"> es uno de los ejemplos que algunas universidades están utilizando y, en otros casos, cuentan con personal capacitado en las propias bibliotecas para colaborar en la transformación de los materiales.</w:t>
      </w:r>
    </w:p>
    <w:p w14:paraId="10E06E23" w14:textId="77777777" w:rsidR="00E93BDD" w:rsidRDefault="00E93BDD" w:rsidP="001646B2">
      <w:pPr>
        <w:pStyle w:val="Prrafodelista"/>
        <w:numPr>
          <w:ilvl w:val="0"/>
          <w:numId w:val="3"/>
        </w:numPr>
        <w:spacing w:line="240" w:lineRule="auto"/>
        <w:jc w:val="both"/>
        <w:rPr>
          <w:rFonts w:ascii="Times New Roman" w:hAnsi="Times New Roman" w:cs="Times New Roman"/>
        </w:rPr>
      </w:pPr>
      <w:r w:rsidRPr="00E93BDD">
        <w:rPr>
          <w:rFonts w:ascii="Times New Roman" w:hAnsi="Times New Roman" w:cs="Times New Roman"/>
        </w:rPr>
        <w:t>Flexibilizar instancias evaluativas: Una de las más comunes tiene que ver con el tiempo, cuando la situación cognitiva o sensorial del estudiante hace que necesite más tiempo de lectura y razonamiento que sus otros compañeros. Asociado a las prácticas de organización del examen, también se puede consensuar con el estudiante que tenga que rendir mayor cantidad de exámenes, pero más cortos, generando un hábito de estudio y evaluación que no implique el mismo tiempo y en la misma fecha que sus compañeros.</w:t>
      </w:r>
      <w:r>
        <w:rPr>
          <w:rFonts w:ascii="Times New Roman" w:hAnsi="Times New Roman" w:cs="Times New Roman"/>
        </w:rPr>
        <w:t xml:space="preserve"> </w:t>
      </w:r>
      <w:r w:rsidRPr="00E93BDD">
        <w:rPr>
          <w:rFonts w:ascii="Times New Roman" w:hAnsi="Times New Roman" w:cs="Times New Roman"/>
        </w:rPr>
        <w:t>Por otro lado, también se sugiere una redacción alternativa de las consignas en las que se explique directamente qué se requiere que el estudiante realice sin tantos rodeos o casos que requieran un nivel de deducción muy alto.</w:t>
      </w:r>
    </w:p>
    <w:p w14:paraId="7D7AE639" w14:textId="77777777" w:rsidR="00E93BDD" w:rsidRDefault="00E93BDD" w:rsidP="001646B2">
      <w:pPr>
        <w:pStyle w:val="Prrafodelista"/>
        <w:numPr>
          <w:ilvl w:val="0"/>
          <w:numId w:val="3"/>
        </w:numPr>
        <w:spacing w:line="240" w:lineRule="auto"/>
        <w:jc w:val="both"/>
        <w:rPr>
          <w:rFonts w:ascii="Times New Roman" w:hAnsi="Times New Roman" w:cs="Times New Roman"/>
        </w:rPr>
      </w:pPr>
      <w:r w:rsidRPr="00E93BDD">
        <w:rPr>
          <w:rFonts w:ascii="Times New Roman" w:hAnsi="Times New Roman" w:cs="Times New Roman"/>
        </w:rPr>
        <w:t>Retroalimentación formativa: se trata de romper con la idea de retroalimentar para rendir cuentas de la nota y también con las soluciones hegemónicas e incuestionables sobre las cuales se juzga si un estudiante aprendió o no, dando lugar, por el contrario, a diversos cursos de acción posibles y corregir desde lo que el alumno pudo producir. Es un largo camino por recorrer, pero en tanto la retroalimentación puntualice en la singularidad del estudiante, puede resultar motivador y fortalecer la equidad.</w:t>
      </w:r>
    </w:p>
    <w:p w14:paraId="1C9353C1" w14:textId="77777777" w:rsidR="00E93BDD" w:rsidRDefault="00E93BDD" w:rsidP="001646B2">
      <w:pPr>
        <w:pStyle w:val="Prrafodelista"/>
        <w:numPr>
          <w:ilvl w:val="0"/>
          <w:numId w:val="3"/>
        </w:numPr>
        <w:spacing w:line="240" w:lineRule="auto"/>
        <w:jc w:val="both"/>
        <w:rPr>
          <w:rFonts w:ascii="Times New Roman" w:hAnsi="Times New Roman" w:cs="Times New Roman"/>
        </w:rPr>
      </w:pPr>
      <w:r w:rsidRPr="00E93BDD">
        <w:rPr>
          <w:rFonts w:ascii="Times New Roman" w:hAnsi="Times New Roman" w:cs="Times New Roman"/>
        </w:rPr>
        <w:t>Seguimiento personalizado de trayectorias: el valor del registro de la trayectoria no solo radica en justificar una calificación, sino también en poder recomendar a cada estudiante los recursos o estrategias necesarias. En esta misma tónica, son bien recibidas las técnicas de estudio o de metacognición que los docentes puedan transmitirles a sus estudiantes.</w:t>
      </w:r>
    </w:p>
    <w:p w14:paraId="011949A5" w14:textId="3807C167" w:rsidR="00E93BDD" w:rsidRPr="00E93BDD" w:rsidRDefault="00E93BDD" w:rsidP="001646B2">
      <w:pPr>
        <w:pStyle w:val="Prrafodelista"/>
        <w:numPr>
          <w:ilvl w:val="0"/>
          <w:numId w:val="3"/>
        </w:numPr>
        <w:spacing w:line="240" w:lineRule="auto"/>
        <w:jc w:val="both"/>
        <w:rPr>
          <w:rFonts w:ascii="Times New Roman" w:hAnsi="Times New Roman" w:cs="Times New Roman"/>
        </w:rPr>
      </w:pPr>
      <w:r w:rsidRPr="00E93BDD">
        <w:rPr>
          <w:rFonts w:ascii="Times New Roman" w:hAnsi="Times New Roman" w:cs="Times New Roman"/>
        </w:rPr>
        <w:t xml:space="preserve">Articulación con otros: Algunas unidades académicas cuentan con grupos de tutores que combinan la participación de docentes y alumnos, por lo que, recurrir a ellos ante situaciones que a priori no se saben cómo manejar puede ser una forma de comenzar a solicitar capacitación en temáticas de inclusión. Lo mismo ocurre con las divisiones de asesoría pedagógica, en el caso de que las instituciones cuenten con ella. Otro caso es el diálogo con otros docentes que ya tuvieron al estudiante para conversar sobre las estrategias que ellos emplearon con él y que, por lo tanto, son conocidas por el propio estudiante. Las experiencias previas </w:t>
      </w:r>
      <w:r w:rsidRPr="00E93BDD">
        <w:rPr>
          <w:rFonts w:ascii="Times New Roman" w:hAnsi="Times New Roman" w:cs="Times New Roman"/>
        </w:rPr>
        <w:lastRenderedPageBreak/>
        <w:t>pueden ser reveladoras en términos de la utilidad o no que le reportaron las estrategias implementadas al estudiante. Por otro lado, se puede consultar a las autoridades o incluso a docentes que hayan estudiado alguna temática de inclusión. Finalmente, se puede consultar por la forma en la que otras universidades han abordado situaciones similares.</w:t>
      </w:r>
    </w:p>
    <w:p w14:paraId="1953A309" w14:textId="2CC911D1" w:rsidR="00E93BDD" w:rsidRPr="00E93BDD" w:rsidRDefault="00B15882" w:rsidP="001646B2">
      <w:pPr>
        <w:spacing w:line="240" w:lineRule="auto"/>
        <w:jc w:val="both"/>
        <w:rPr>
          <w:rFonts w:ascii="Times New Roman" w:hAnsi="Times New Roman" w:cs="Times New Roman"/>
        </w:rPr>
      </w:pPr>
      <w:r>
        <w:rPr>
          <w:rFonts w:ascii="Times New Roman" w:hAnsi="Times New Roman" w:cs="Times New Roman"/>
        </w:rPr>
        <w:t>Todas las prácticas mencionadas previamente, pretenden dotar al docente de ideas para sus “portafolios de estrategias” lo que no implica que sean las únicas. Sin embargo, son las más populares que, incluso en las propias entrevistas</w:t>
      </w:r>
      <w:r w:rsidR="00834CC2">
        <w:rPr>
          <w:rFonts w:ascii="Times New Roman" w:hAnsi="Times New Roman" w:cs="Times New Roman"/>
        </w:rPr>
        <w:t>,</w:t>
      </w:r>
      <w:r>
        <w:rPr>
          <w:rFonts w:ascii="Times New Roman" w:hAnsi="Times New Roman" w:cs="Times New Roman"/>
        </w:rPr>
        <w:t xml:space="preserve"> fueron marcadas como </w:t>
      </w:r>
      <w:r w:rsidR="00834CC2">
        <w:rPr>
          <w:rFonts w:ascii="Times New Roman" w:hAnsi="Times New Roman" w:cs="Times New Roman"/>
        </w:rPr>
        <w:t xml:space="preserve">vehículos empleados para </w:t>
      </w:r>
      <w:r w:rsidR="00111D1C">
        <w:rPr>
          <w:rFonts w:ascii="Times New Roman" w:hAnsi="Times New Roman" w:cs="Times New Roman"/>
        </w:rPr>
        <w:t>reducir las brechas cognitivas entre estudiantes.</w:t>
      </w:r>
    </w:p>
    <w:p w14:paraId="160A2C0E" w14:textId="4F7C917C" w:rsidR="00E93BDD" w:rsidRPr="00EA1B58" w:rsidRDefault="00EA1B58" w:rsidP="001646B2">
      <w:pPr>
        <w:spacing w:line="240" w:lineRule="auto"/>
        <w:jc w:val="both"/>
        <w:rPr>
          <w:rFonts w:ascii="Times New Roman" w:hAnsi="Times New Roman" w:cs="Times New Roman"/>
          <w:b/>
          <w:bCs/>
        </w:rPr>
      </w:pPr>
      <w:r>
        <w:rPr>
          <w:rFonts w:ascii="Times New Roman" w:hAnsi="Times New Roman" w:cs="Times New Roman"/>
          <w:b/>
          <w:bCs/>
        </w:rPr>
        <w:t>2.</w:t>
      </w:r>
      <w:r w:rsidR="00111D1C">
        <w:rPr>
          <w:rFonts w:ascii="Times New Roman" w:hAnsi="Times New Roman" w:cs="Times New Roman"/>
          <w:b/>
          <w:bCs/>
        </w:rPr>
        <w:t>2.</w:t>
      </w:r>
      <w:r w:rsidR="005A14CA" w:rsidRPr="00EA1B58">
        <w:rPr>
          <w:rFonts w:ascii="Times New Roman" w:hAnsi="Times New Roman" w:cs="Times New Roman"/>
          <w:b/>
          <w:bCs/>
        </w:rPr>
        <w:t>3 Visibilización de colectivos</w:t>
      </w:r>
    </w:p>
    <w:p w14:paraId="33DBA966" w14:textId="06C1190B"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Si bien en los programas de inclusión mencionados anteriormente, existe representación de muchas de las diversidades, por ejemplo, socioeconómica, de género, discapacidad y de pueblos originarios, hay otros colectivos que tienen cada vez mayor presencia dentro de las instituciones que se encuentran infrarrepresentados en dichas políticas. Un ejemplo que apareció con frecuencia en las entrevistas</w:t>
      </w:r>
      <w:r w:rsidR="00963F59">
        <w:rPr>
          <w:rFonts w:ascii="Times New Roman" w:hAnsi="Times New Roman" w:cs="Times New Roman"/>
        </w:rPr>
        <w:t xml:space="preserve"> y encuestas</w:t>
      </w:r>
      <w:r w:rsidRPr="00EA1B58">
        <w:rPr>
          <w:rFonts w:ascii="Times New Roman" w:hAnsi="Times New Roman" w:cs="Times New Roman"/>
        </w:rPr>
        <w:t xml:space="preserve"> fueron los trastornos de salud mental, </w:t>
      </w:r>
      <w:r w:rsidR="00DA4005">
        <w:rPr>
          <w:rFonts w:ascii="Times New Roman" w:hAnsi="Times New Roman" w:cs="Times New Roman"/>
        </w:rPr>
        <w:t>específicamente</w:t>
      </w:r>
      <w:r w:rsidRPr="00EA1B58">
        <w:rPr>
          <w:rFonts w:ascii="Times New Roman" w:hAnsi="Times New Roman" w:cs="Times New Roman"/>
        </w:rPr>
        <w:t>, aquellos que producen déficit en la atención, ansiedad y otras dificultades para cursar y rendir exámenes. Muchas veces los docentes no están al tanto de herramientas para tratar estos temas.</w:t>
      </w:r>
    </w:p>
    <w:p w14:paraId="75BA3241" w14:textId="77777777"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Se proponen, en consecuencia, tres acciones en base a la visibilización de este colectivo en particular:</w:t>
      </w:r>
    </w:p>
    <w:p w14:paraId="057B2051" w14:textId="77777777" w:rsidR="00EA1B58" w:rsidRDefault="005A14CA" w:rsidP="001646B2">
      <w:pPr>
        <w:pStyle w:val="Prrafodelista"/>
        <w:numPr>
          <w:ilvl w:val="0"/>
          <w:numId w:val="6"/>
        </w:numPr>
        <w:spacing w:line="240" w:lineRule="auto"/>
        <w:jc w:val="both"/>
        <w:rPr>
          <w:rFonts w:ascii="Times New Roman" w:hAnsi="Times New Roman" w:cs="Times New Roman"/>
        </w:rPr>
      </w:pPr>
      <w:r w:rsidRPr="00EA1B58">
        <w:rPr>
          <w:rFonts w:ascii="Times New Roman" w:hAnsi="Times New Roman" w:cs="Times New Roman"/>
        </w:rPr>
        <w:t>Charlas de profesionales y expertos: se pueden coordinar espacios de clases u otros encuentros en los cuales los docentes, tutores y/o alumnos se reúnan, por ejemplo, muestras de carreras, elecciones universitarias y otros, para brindar charlas cortas que indiquen cuáles son los trastornos de salud mental más comunes y cómo ayudar a quienes los padecen.</w:t>
      </w:r>
    </w:p>
    <w:p w14:paraId="2069BF1A" w14:textId="77777777" w:rsidR="00EA1B58" w:rsidRDefault="005A14CA" w:rsidP="001646B2">
      <w:pPr>
        <w:pStyle w:val="Prrafodelista"/>
        <w:numPr>
          <w:ilvl w:val="0"/>
          <w:numId w:val="6"/>
        </w:numPr>
        <w:spacing w:line="240" w:lineRule="auto"/>
        <w:jc w:val="both"/>
        <w:rPr>
          <w:rFonts w:ascii="Times New Roman" w:hAnsi="Times New Roman" w:cs="Times New Roman"/>
        </w:rPr>
      </w:pPr>
      <w:r w:rsidRPr="00EA1B58">
        <w:rPr>
          <w:rFonts w:ascii="Times New Roman" w:hAnsi="Times New Roman" w:cs="Times New Roman"/>
        </w:rPr>
        <w:t>Alianza con organizaciones asociadas: a partir de la alianza con organizaciones vinculadas a la salud mental, tales como, Órgano Nacional de Revisión de Salud Mental (ONR), la Asociación por los Derechos en Salud Mental (ADESAM), la Asociación de Psiquiatras Argentinos (APSA), o la Asociación Argentina de Salud Mental (AASM), se pueden elaborar capacitaciones que las universidades agreguen a sus áreas de alumnos, bienestar, tutorías, deportes, académicas y otras que indiquen herramientas para actuar favorablemente frente a casos desconocidos.</w:t>
      </w:r>
    </w:p>
    <w:p w14:paraId="6933A732" w14:textId="27D48E74" w:rsidR="005A14CA" w:rsidRPr="00EA1B58" w:rsidRDefault="005A14CA" w:rsidP="001646B2">
      <w:pPr>
        <w:pStyle w:val="Prrafodelista"/>
        <w:numPr>
          <w:ilvl w:val="0"/>
          <w:numId w:val="6"/>
        </w:numPr>
        <w:spacing w:line="240" w:lineRule="auto"/>
        <w:jc w:val="both"/>
        <w:rPr>
          <w:rFonts w:ascii="Times New Roman" w:hAnsi="Times New Roman" w:cs="Times New Roman"/>
        </w:rPr>
      </w:pPr>
      <w:r w:rsidRPr="00EA1B58">
        <w:rPr>
          <w:rFonts w:ascii="Times New Roman" w:hAnsi="Times New Roman" w:cs="Times New Roman"/>
        </w:rPr>
        <w:t>Elaboración de guías de atención a los colectivos no representados: con el mismo espíritu de las anteriores, se sugiere elaborar mayor cantidad de material escrito que desmitifique las condiciones de salud mental y colabore con la transmisión de conocimiento sobre sus efectos académicos y las formas de intervención posibles.</w:t>
      </w:r>
    </w:p>
    <w:p w14:paraId="7E7428B2" w14:textId="3718D3DF" w:rsidR="005A14CA" w:rsidRPr="00EA1B58" w:rsidRDefault="00EA1B58" w:rsidP="001646B2">
      <w:pPr>
        <w:spacing w:line="240" w:lineRule="auto"/>
        <w:jc w:val="both"/>
        <w:rPr>
          <w:rFonts w:ascii="Times New Roman" w:hAnsi="Times New Roman" w:cs="Times New Roman"/>
          <w:b/>
          <w:bCs/>
        </w:rPr>
      </w:pPr>
      <w:r w:rsidRPr="00EA1B58">
        <w:rPr>
          <w:rFonts w:ascii="Times New Roman" w:hAnsi="Times New Roman" w:cs="Times New Roman"/>
          <w:b/>
          <w:bCs/>
        </w:rPr>
        <w:t>2</w:t>
      </w:r>
      <w:r w:rsidR="005A14CA" w:rsidRPr="00EA1B58">
        <w:rPr>
          <w:rFonts w:ascii="Times New Roman" w:hAnsi="Times New Roman" w:cs="Times New Roman"/>
          <w:b/>
          <w:bCs/>
        </w:rPr>
        <w:t>.</w:t>
      </w:r>
      <w:r w:rsidR="008565E4">
        <w:rPr>
          <w:rFonts w:ascii="Times New Roman" w:hAnsi="Times New Roman" w:cs="Times New Roman"/>
          <w:b/>
          <w:bCs/>
        </w:rPr>
        <w:t>2.</w:t>
      </w:r>
      <w:r w:rsidR="005A14CA" w:rsidRPr="00EA1B58">
        <w:rPr>
          <w:rFonts w:ascii="Times New Roman" w:hAnsi="Times New Roman" w:cs="Times New Roman"/>
          <w:b/>
          <w:bCs/>
        </w:rPr>
        <w:t>4 Sistemas de información de apoyo a las instituciones</w:t>
      </w:r>
    </w:p>
    <w:p w14:paraId="42141871" w14:textId="2076FFB2" w:rsidR="00F95D16" w:rsidRDefault="005A14CA" w:rsidP="001646B2">
      <w:pPr>
        <w:spacing w:line="240" w:lineRule="auto"/>
        <w:jc w:val="both"/>
        <w:rPr>
          <w:rFonts w:ascii="Times New Roman" w:hAnsi="Times New Roman" w:cs="Times New Roman"/>
        </w:rPr>
      </w:pPr>
      <w:r w:rsidRPr="00EA1B58">
        <w:rPr>
          <w:rFonts w:ascii="Times New Roman" w:hAnsi="Times New Roman" w:cs="Times New Roman"/>
        </w:rPr>
        <w:t>En primer lugar, los entrevistados menciona</w:t>
      </w:r>
      <w:r w:rsidR="00D84457">
        <w:rPr>
          <w:rFonts w:ascii="Times New Roman" w:hAnsi="Times New Roman" w:cs="Times New Roman"/>
        </w:rPr>
        <w:t>ron que</w:t>
      </w:r>
      <w:r w:rsidRPr="00EA1B58">
        <w:rPr>
          <w:rFonts w:ascii="Times New Roman" w:hAnsi="Times New Roman" w:cs="Times New Roman"/>
        </w:rPr>
        <w:t xml:space="preserve"> la falta de información existe, tanto de los estudiantes que necesitan algún acompañamiento como del resultado de sus trayectorias desde que inician un acompañamiento institucional. </w:t>
      </w:r>
      <w:r w:rsidR="00F95D16">
        <w:rPr>
          <w:rFonts w:ascii="Times New Roman" w:hAnsi="Times New Roman" w:cs="Times New Roman"/>
        </w:rPr>
        <w:t xml:space="preserve">Esta situación obedece </w:t>
      </w:r>
      <w:r w:rsidR="00F95D16">
        <w:rPr>
          <w:rFonts w:ascii="Times New Roman" w:hAnsi="Times New Roman" w:cs="Times New Roman"/>
        </w:rPr>
        <w:lastRenderedPageBreak/>
        <w:t>a una tensión que se establece entre la privacidad de la información de los estudiantes, así como también, la necesidad de los docentes de contar con datos que les permitan adaptar sus prácticas. La individualidad de las problemáticas que presentan los estudiantes</w:t>
      </w:r>
      <w:r w:rsidR="00AB7015">
        <w:rPr>
          <w:rFonts w:ascii="Times New Roman" w:hAnsi="Times New Roman" w:cs="Times New Roman"/>
        </w:rPr>
        <w:t xml:space="preserve"> obliga a los agentes educativos a conocer en detalle el caso para poder diseñar estrategias adecuadas.</w:t>
      </w:r>
    </w:p>
    <w:p w14:paraId="494A3CA9" w14:textId="51DBF04D"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 xml:space="preserve">Esto podría hacerse a partir de un desarrollo de sistema del gobierno que solicite a cada institución informar cuáles son los estudiantes acompañados (EA), la fecha de inicio, las intervenciones que hubo y la trayectoria académica del mismo. El objetivo no es focalizar en su diagnóstico sino en las herramientas necesarias para guiar dicho acompañamiento y así evitar que el estudiante deserte. </w:t>
      </w:r>
      <w:r w:rsidR="009C00A6">
        <w:rPr>
          <w:rFonts w:ascii="Times New Roman" w:hAnsi="Times New Roman" w:cs="Times New Roman"/>
        </w:rPr>
        <w:t xml:space="preserve">Los sistemas de alerta temprana que se aplican para todo tipo de </w:t>
      </w:r>
      <w:r w:rsidR="00724175">
        <w:rPr>
          <w:rFonts w:ascii="Times New Roman" w:hAnsi="Times New Roman" w:cs="Times New Roman"/>
        </w:rPr>
        <w:t>estudiantes</w:t>
      </w:r>
      <w:r w:rsidR="009C00A6">
        <w:rPr>
          <w:rFonts w:ascii="Times New Roman" w:hAnsi="Times New Roman" w:cs="Times New Roman"/>
        </w:rPr>
        <w:t xml:space="preserve"> </w:t>
      </w:r>
      <w:r w:rsidR="00E62905">
        <w:rPr>
          <w:rFonts w:ascii="Times New Roman" w:hAnsi="Times New Roman" w:cs="Times New Roman"/>
        </w:rPr>
        <w:t>podrían</w:t>
      </w:r>
      <w:r w:rsidR="009C00A6">
        <w:rPr>
          <w:rFonts w:ascii="Times New Roman" w:hAnsi="Times New Roman" w:cs="Times New Roman"/>
        </w:rPr>
        <w:t xml:space="preserve"> extenderse a los estudiantes acompañados</w:t>
      </w:r>
      <w:r w:rsidR="00E62905">
        <w:rPr>
          <w:rFonts w:ascii="Times New Roman" w:hAnsi="Times New Roman" w:cs="Times New Roman"/>
        </w:rPr>
        <w:t>, registrando las intervenciones, sus respuestas y el avance académico.</w:t>
      </w:r>
    </w:p>
    <w:p w14:paraId="4005ECF2" w14:textId="77777777"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 xml:space="preserve">Si bien esta es una práctica que puede atribuirse a la institución en forma interna, los representantes de </w:t>
      </w:r>
      <w:proofErr w:type="gramStart"/>
      <w:r w:rsidRPr="00EA1B58">
        <w:rPr>
          <w:rFonts w:ascii="Times New Roman" w:hAnsi="Times New Roman" w:cs="Times New Roman"/>
        </w:rPr>
        <w:t>las mismas</w:t>
      </w:r>
      <w:proofErr w:type="gramEnd"/>
      <w:r w:rsidRPr="00EA1B58">
        <w:rPr>
          <w:rFonts w:ascii="Times New Roman" w:hAnsi="Times New Roman" w:cs="Times New Roman"/>
        </w:rPr>
        <w:t xml:space="preserve"> indican que eso no se ha podido lograr y que no hay formatos de informes ni estadísticas integradas para que puedan sistematizar los datos. Allí es donde la iniciativa de una política pública podría ordenar más el procedimiento y permitir compartir información entre diversas organizaciones educativas ante situaciones similares. Cabe aclarar que la información recibida debe manejarse con criterios de seguridad extremos, puesto que, puede incluir datos privados y sensibles de los estudiantes.</w:t>
      </w:r>
    </w:p>
    <w:p w14:paraId="3E5FD9AE" w14:textId="77777777"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En segundo lugar, la accesibilidad física también puede mejorarse con un sistema que colabore en la provisión de información sobre espacios que incluyen adaptaciones, por ejemplo, bancos y baños adaptados, ascensores, señalización, entre otros. Además, podrían agregarse todos los requerimientos de accesibilidad que aun no se pudieron cumplir por falta de recursos, de modo de que el gobierno pueda planificar ajustes de obra pública en cada uno de ellos en base a prioridades.</w:t>
      </w:r>
    </w:p>
    <w:p w14:paraId="7E2EB2E9" w14:textId="31287FFA" w:rsidR="005A14CA" w:rsidRPr="00EA1B58" w:rsidRDefault="00EA1B58" w:rsidP="001646B2">
      <w:pPr>
        <w:spacing w:line="240" w:lineRule="auto"/>
        <w:jc w:val="both"/>
        <w:rPr>
          <w:rFonts w:ascii="Times New Roman" w:hAnsi="Times New Roman" w:cs="Times New Roman"/>
          <w:b/>
          <w:bCs/>
        </w:rPr>
      </w:pPr>
      <w:r w:rsidRPr="00EA1B58">
        <w:rPr>
          <w:rFonts w:ascii="Times New Roman" w:hAnsi="Times New Roman" w:cs="Times New Roman"/>
          <w:b/>
          <w:bCs/>
        </w:rPr>
        <w:t>2</w:t>
      </w:r>
      <w:r w:rsidR="005A14CA" w:rsidRPr="00EA1B58">
        <w:rPr>
          <w:rFonts w:ascii="Times New Roman" w:hAnsi="Times New Roman" w:cs="Times New Roman"/>
          <w:b/>
          <w:bCs/>
        </w:rPr>
        <w:t>.</w:t>
      </w:r>
      <w:r w:rsidR="00BD20A6">
        <w:rPr>
          <w:rFonts w:ascii="Times New Roman" w:hAnsi="Times New Roman" w:cs="Times New Roman"/>
          <w:b/>
          <w:bCs/>
        </w:rPr>
        <w:t>2.</w:t>
      </w:r>
      <w:r w:rsidR="005A14CA" w:rsidRPr="00EA1B58">
        <w:rPr>
          <w:rFonts w:ascii="Times New Roman" w:hAnsi="Times New Roman" w:cs="Times New Roman"/>
          <w:b/>
          <w:bCs/>
        </w:rPr>
        <w:t>5 Profundización de programas de tutores</w:t>
      </w:r>
    </w:p>
    <w:p w14:paraId="60929884" w14:textId="3490E7E4"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 xml:space="preserve">Los </w:t>
      </w:r>
      <w:r w:rsidR="00DE3286">
        <w:rPr>
          <w:rFonts w:ascii="Times New Roman" w:hAnsi="Times New Roman" w:cs="Times New Roman"/>
        </w:rPr>
        <w:t>participantes en este estudio</w:t>
      </w:r>
      <w:r w:rsidRPr="00EA1B58">
        <w:rPr>
          <w:rFonts w:ascii="Times New Roman" w:hAnsi="Times New Roman" w:cs="Times New Roman"/>
        </w:rPr>
        <w:t xml:space="preserve"> coincidieron en la importancia que tienen los referentes de las personas acompañadas. Si bien se supone que aquellos que tienen algún tratamiento o condición cuentan con acompañantes particulares, esto no siempre es así y las instituciones no suelen contar con los fondos para asignar especialistas o simplemente pagar a estudiantes o docentes que oficien de tutores.</w:t>
      </w:r>
      <w:r w:rsidR="004227F0">
        <w:rPr>
          <w:rFonts w:ascii="Times New Roman" w:hAnsi="Times New Roman" w:cs="Times New Roman"/>
        </w:rPr>
        <w:t xml:space="preserve"> Incluso, aquellos que cuentan con sus acompañantes, requieren una persona que funcione como nexo entre el acompañamiento del estudiante y la institución académica.</w:t>
      </w:r>
    </w:p>
    <w:p w14:paraId="72F1F42A" w14:textId="77777777"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 xml:space="preserve">Los tutores académicos se originaron con el fin de acompañar a los estudiantes en sus trayectorias y estas funcionalidades deberían considerar a todos los estudiantes. Lo que ocurre es que la disponibilidad de fondos para costear el trabajo de los tutores que muchas veces dedican mucho tiempo adicional en su rol no está garantizada por las instituciones. Es más, muchas de ellas, bloquean cargos docentes cada vez que desean abrir un espacio tutorial. Se enfatiza en esta propuesta considerando que los estudiantes que pueden pensar en desertar por encontrarse en inferioridad de condiciones frente a los demás podrían </w:t>
      </w:r>
      <w:r w:rsidRPr="00EA1B58">
        <w:rPr>
          <w:rFonts w:ascii="Times New Roman" w:hAnsi="Times New Roman" w:cs="Times New Roman"/>
        </w:rPr>
        <w:lastRenderedPageBreak/>
        <w:t>continuar su proceso con el apoyo del tutor referente con el que pueden desarrollar algún tipo de confianza.</w:t>
      </w:r>
    </w:p>
    <w:p w14:paraId="39CA05ED" w14:textId="59D78C5E"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Finalmente, el programa tutorial es muy importante para la transición escuela-universidad, puesto que, los estudiantes o docentes que los estudiantes podrían tener en el futuro les comentan sobre las carreras y su experiencia universitaria. Sin embargo, en diálogo con tutores de algunas universidades se observó las dificultades con las que se encuentran para asistir a colegios, por ejemplo, porque no reciben respuesta de los directivos o no son recibidos. En este caso, la política podría pasar por la organización de una jornada en la cual los directivos de los colegios estén al tanto de que los estudiantes recibirán charlas de tutores y con esa difusión podrían encontrarse más abiertos.</w:t>
      </w:r>
    </w:p>
    <w:p w14:paraId="16521BAF" w14:textId="2FC92D1C" w:rsidR="005A14CA" w:rsidRPr="00EA1B58" w:rsidRDefault="00EA1B58" w:rsidP="001646B2">
      <w:pPr>
        <w:spacing w:line="240" w:lineRule="auto"/>
        <w:jc w:val="both"/>
        <w:rPr>
          <w:rFonts w:ascii="Times New Roman" w:hAnsi="Times New Roman" w:cs="Times New Roman"/>
          <w:b/>
          <w:bCs/>
        </w:rPr>
      </w:pPr>
      <w:r w:rsidRPr="00EA1B58">
        <w:rPr>
          <w:rFonts w:ascii="Times New Roman" w:hAnsi="Times New Roman" w:cs="Times New Roman"/>
          <w:b/>
          <w:bCs/>
        </w:rPr>
        <w:t>2</w:t>
      </w:r>
      <w:r w:rsidR="0058590B">
        <w:rPr>
          <w:rFonts w:ascii="Times New Roman" w:hAnsi="Times New Roman" w:cs="Times New Roman"/>
          <w:b/>
          <w:bCs/>
        </w:rPr>
        <w:t>.2</w:t>
      </w:r>
      <w:r w:rsidR="005A14CA" w:rsidRPr="00EA1B58">
        <w:rPr>
          <w:rFonts w:ascii="Times New Roman" w:hAnsi="Times New Roman" w:cs="Times New Roman"/>
          <w:b/>
          <w:bCs/>
        </w:rPr>
        <w:t>.6 Creación de comisiones de accesibilidad</w:t>
      </w:r>
    </w:p>
    <w:p w14:paraId="66FCC018" w14:textId="77777777"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Si bien algunas de las propias instituciones cuentan con sus áreas o espacios de accesibilidad e inclusión, ocurre que la mayoría de las situaciones no llegan a ellos o simplemente focalizan en una diversidad sobre otra por encontrarse colapsados, por ejemplo, solo tratan temáticas de discapacidad o de género. Sin embargo, pocas instituciones tienen comisiones a nivel de unidad académica que puedan articular con las áreas generales de la institución.</w:t>
      </w:r>
    </w:p>
    <w:p w14:paraId="0962496A" w14:textId="77777777"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Además, hacia el exterior de cada institución, tampoco existe un área que integre a todas las universidades, ya que, lo más cercano a ello es la RID, pero solo refiere a la discapacidad y no a otras situaciones de inequidad entre estudiantes. En este punto el gobierno podría crear un organismo que articule todas las comisiones de accesibilidad de las instituciones que cuenten con ellas y alentar a quienes no las tienen para que puedan comenzar a constituirlas. Por ejemplo, las instituciones no universitarias suelen ser eje de recepción de estudiantes que desertaron en universidades por no lograr recibir los apoyos necesarios y una comisión de estas instituciones podría ser enriquecedor para las otras.</w:t>
      </w:r>
    </w:p>
    <w:p w14:paraId="18D6FACE" w14:textId="4C07D3C6"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Algunos de los temas a tratar por la comisión podrían ser:</w:t>
      </w:r>
      <w:r w:rsidR="00305556">
        <w:rPr>
          <w:rFonts w:ascii="Times New Roman" w:hAnsi="Times New Roman" w:cs="Times New Roman"/>
        </w:rPr>
        <w:t xml:space="preserve"> pedidos de adecuación de exámenes, excepciones o ajustes razonables, </w:t>
      </w:r>
      <w:r w:rsidRPr="00EA1B58">
        <w:rPr>
          <w:rFonts w:ascii="Times New Roman" w:hAnsi="Times New Roman" w:cs="Times New Roman"/>
        </w:rPr>
        <w:t>intercambio de experiencias entre las distintas instituciones, tratamiento de inconvenientes que surjan en las propias instituciones al respecto del tema y que puedan recibir un apoyo gubernamental, la inserción laboral de los EA como parte de la agenda y también que el propio gobierno informe de sus programas y avances en temáticas de inclusión educativa.</w:t>
      </w:r>
    </w:p>
    <w:p w14:paraId="0A607E3E" w14:textId="078D6932" w:rsidR="005A14CA" w:rsidRPr="00EA1B58" w:rsidRDefault="00EA1B58" w:rsidP="001646B2">
      <w:pPr>
        <w:spacing w:line="240" w:lineRule="auto"/>
        <w:jc w:val="both"/>
        <w:rPr>
          <w:rFonts w:ascii="Times New Roman" w:hAnsi="Times New Roman" w:cs="Times New Roman"/>
          <w:b/>
          <w:bCs/>
        </w:rPr>
      </w:pPr>
      <w:r w:rsidRPr="00EA1B58">
        <w:rPr>
          <w:rFonts w:ascii="Times New Roman" w:hAnsi="Times New Roman" w:cs="Times New Roman"/>
          <w:b/>
          <w:bCs/>
        </w:rPr>
        <w:t>2</w:t>
      </w:r>
      <w:r w:rsidR="005A14CA" w:rsidRPr="00EA1B58">
        <w:rPr>
          <w:rFonts w:ascii="Times New Roman" w:hAnsi="Times New Roman" w:cs="Times New Roman"/>
          <w:b/>
          <w:bCs/>
        </w:rPr>
        <w:t>.</w:t>
      </w:r>
      <w:r w:rsidR="00B412B2">
        <w:rPr>
          <w:rFonts w:ascii="Times New Roman" w:hAnsi="Times New Roman" w:cs="Times New Roman"/>
          <w:b/>
          <w:bCs/>
        </w:rPr>
        <w:t>2.</w:t>
      </w:r>
      <w:r w:rsidR="005A14CA" w:rsidRPr="00EA1B58">
        <w:rPr>
          <w:rFonts w:ascii="Times New Roman" w:hAnsi="Times New Roman" w:cs="Times New Roman"/>
          <w:b/>
          <w:bCs/>
        </w:rPr>
        <w:t xml:space="preserve">7 Incentivos para organizaciones que emplean </w:t>
      </w:r>
      <w:r w:rsidR="00627B6C">
        <w:rPr>
          <w:rFonts w:ascii="Times New Roman" w:hAnsi="Times New Roman" w:cs="Times New Roman"/>
          <w:b/>
          <w:bCs/>
        </w:rPr>
        <w:t>personas con diversidades</w:t>
      </w:r>
    </w:p>
    <w:p w14:paraId="32D7B5FD" w14:textId="308959FB"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 xml:space="preserve">Una vez que los estudiantes logran graduarse o están próximos a </w:t>
      </w:r>
      <w:r w:rsidR="00FA72C4">
        <w:rPr>
          <w:rFonts w:ascii="Times New Roman" w:hAnsi="Times New Roman" w:cs="Times New Roman"/>
        </w:rPr>
        <w:t>alcanzarlo</w:t>
      </w:r>
      <w:r w:rsidRPr="00EA1B58">
        <w:rPr>
          <w:rFonts w:ascii="Times New Roman" w:hAnsi="Times New Roman" w:cs="Times New Roman"/>
        </w:rPr>
        <w:t xml:space="preserve">, se encuentran con el siguiente desafío problemático que es su acceso al empleo. En este punto, las situaciones comentadas por los referentes de inclusión entrevistados son diversas. Algunos de ellos, se limitan solo a compartir el listado de empresas dispuestas a emplear a </w:t>
      </w:r>
      <w:r w:rsidR="00627B6C">
        <w:rPr>
          <w:rFonts w:ascii="Times New Roman" w:hAnsi="Times New Roman" w:cs="Times New Roman"/>
        </w:rPr>
        <w:t>personas con discapacidad,</w:t>
      </w:r>
      <w:r w:rsidRPr="00EA1B58">
        <w:rPr>
          <w:rFonts w:ascii="Times New Roman" w:hAnsi="Times New Roman" w:cs="Times New Roman"/>
        </w:rPr>
        <w:t xml:space="preserve"> pero esto no es suficiente. Otros aluden a la complejidad que les reporta que las empresas se sientan motivadas a contratar este tipo de personal, ya que, muchas veces tienen miedo de no poder acompañarlos y, en otros casos, les parece menos productivo por la posibilidad de que el empleado reciba seguimiento constante de otro trabajador para una tarea.</w:t>
      </w:r>
    </w:p>
    <w:p w14:paraId="186D7DDC" w14:textId="2ADBEFCB"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lastRenderedPageBreak/>
        <w:t xml:space="preserve">Los incentivos que pueden encontrarse por parte de los gobiernos son escasos y generalmente se limitan a reducciones impositivas para quienes emplean </w:t>
      </w:r>
      <w:r w:rsidR="00627B6C">
        <w:rPr>
          <w:rFonts w:ascii="Times New Roman" w:hAnsi="Times New Roman" w:cs="Times New Roman"/>
        </w:rPr>
        <w:t>personas con discapacidad</w:t>
      </w:r>
      <w:r w:rsidRPr="00EA1B58">
        <w:rPr>
          <w:rFonts w:ascii="Times New Roman" w:hAnsi="Times New Roman" w:cs="Times New Roman"/>
        </w:rPr>
        <w:t xml:space="preserve"> y esto puede no resultar lo suficientemente atractivo para los empleadores. Las leyes que buscan poner cupos, por ejemplo, de género solamente se refieren al sector público y tampoco reflejan el espíritu del pensamiento que sostienen los entrevistados: las personas no quieren ingresar porque un cupo lo obliga, sino porque quieren demostrar que pueden conseguir el empleo por sus competencias.</w:t>
      </w:r>
    </w:p>
    <w:p w14:paraId="08C579B0" w14:textId="7DDF4167" w:rsidR="005A14CA" w:rsidRPr="00EA1B58" w:rsidRDefault="00AA2328" w:rsidP="001646B2">
      <w:pPr>
        <w:spacing w:line="240" w:lineRule="auto"/>
        <w:jc w:val="both"/>
        <w:rPr>
          <w:rFonts w:ascii="Times New Roman" w:hAnsi="Times New Roman" w:cs="Times New Roman"/>
        </w:rPr>
      </w:pPr>
      <w:r>
        <w:rPr>
          <w:rFonts w:ascii="Times New Roman" w:hAnsi="Times New Roman" w:cs="Times New Roman"/>
        </w:rPr>
        <w:t>Para</w:t>
      </w:r>
      <w:r w:rsidR="005A14CA" w:rsidRPr="00EA1B58">
        <w:rPr>
          <w:rFonts w:ascii="Times New Roman" w:hAnsi="Times New Roman" w:cs="Times New Roman"/>
        </w:rPr>
        <w:t xml:space="preserve"> pensar ideas que mejoren la problemática, se sugiere en primera medida reactivar los entrenamientos laborales o crear algún programa similar. Por otro lado, se podría crear un espacio considerado “internivel” en el que luego de graduarse o en el último año de carrera, los </w:t>
      </w:r>
      <w:r w:rsidR="00627B6C">
        <w:rPr>
          <w:rFonts w:ascii="Times New Roman" w:hAnsi="Times New Roman" w:cs="Times New Roman"/>
        </w:rPr>
        <w:t>estudiantes con diversidades</w:t>
      </w:r>
      <w:r w:rsidR="005A14CA" w:rsidRPr="00EA1B58">
        <w:rPr>
          <w:rFonts w:ascii="Times New Roman" w:hAnsi="Times New Roman" w:cs="Times New Roman"/>
        </w:rPr>
        <w:t xml:space="preserve"> puedan aprender a manejarse autónomamente en una empresa y a realizar las actividades que esta le demandará de modo de trasladar parte del “costo de instrucción” al Estado y así las empresas se sientan más atraídas por ese tipo de empleado. Finalmente, podrían pensarse incentivos económicos más estimulantes para quienes contraten personas acompañadas en general, no solo </w:t>
      </w:r>
      <w:r w:rsidR="00627B6C">
        <w:rPr>
          <w:rFonts w:ascii="Times New Roman" w:hAnsi="Times New Roman" w:cs="Times New Roman"/>
        </w:rPr>
        <w:t>personas con discapacidad</w:t>
      </w:r>
      <w:r w:rsidR="005A14CA" w:rsidRPr="00EA1B58">
        <w:rPr>
          <w:rFonts w:ascii="Times New Roman" w:hAnsi="Times New Roman" w:cs="Times New Roman"/>
        </w:rPr>
        <w:t>.</w:t>
      </w:r>
    </w:p>
    <w:p w14:paraId="1ADA00B3" w14:textId="546AB3CD" w:rsidR="005A14CA" w:rsidRPr="00EA1B58" w:rsidRDefault="00EA1B58" w:rsidP="001646B2">
      <w:pPr>
        <w:spacing w:line="240" w:lineRule="auto"/>
        <w:jc w:val="both"/>
        <w:rPr>
          <w:rFonts w:ascii="Times New Roman" w:hAnsi="Times New Roman" w:cs="Times New Roman"/>
          <w:b/>
          <w:bCs/>
        </w:rPr>
      </w:pPr>
      <w:r w:rsidRPr="00EA1B58">
        <w:rPr>
          <w:rFonts w:ascii="Times New Roman" w:hAnsi="Times New Roman" w:cs="Times New Roman"/>
          <w:b/>
          <w:bCs/>
        </w:rPr>
        <w:t>2</w:t>
      </w:r>
      <w:r w:rsidR="005A14CA" w:rsidRPr="00EA1B58">
        <w:rPr>
          <w:rFonts w:ascii="Times New Roman" w:hAnsi="Times New Roman" w:cs="Times New Roman"/>
          <w:b/>
          <w:bCs/>
        </w:rPr>
        <w:t>.</w:t>
      </w:r>
      <w:r w:rsidR="00627B6C">
        <w:rPr>
          <w:rFonts w:ascii="Times New Roman" w:hAnsi="Times New Roman" w:cs="Times New Roman"/>
          <w:b/>
          <w:bCs/>
        </w:rPr>
        <w:t>2.</w:t>
      </w:r>
      <w:r w:rsidR="005A14CA" w:rsidRPr="00EA1B58">
        <w:rPr>
          <w:rFonts w:ascii="Times New Roman" w:hAnsi="Times New Roman" w:cs="Times New Roman"/>
          <w:b/>
          <w:bCs/>
        </w:rPr>
        <w:t>8 Programas de prácticas preprofesionales</w:t>
      </w:r>
    </w:p>
    <w:p w14:paraId="38598980" w14:textId="77777777"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Si bien las instituciones cuentan con este tipo de requisitos dentro de sus carreras, son procedimientos formales y homogéneos para todos. Esa generalización excesiva hace perder la oportunidad a los estudiantes que necesitan ahondar en determinadas herramientas singulares para integrarse a un empleo o que deban adaptarse a ellos.</w:t>
      </w:r>
    </w:p>
    <w:p w14:paraId="46ABF0C9" w14:textId="2639A0BC" w:rsidR="005A14CA" w:rsidRPr="00EA1B58" w:rsidRDefault="005A14CA" w:rsidP="001646B2">
      <w:pPr>
        <w:spacing w:line="240" w:lineRule="auto"/>
        <w:jc w:val="both"/>
        <w:rPr>
          <w:rFonts w:ascii="Times New Roman" w:hAnsi="Times New Roman" w:cs="Times New Roman"/>
        </w:rPr>
      </w:pPr>
      <w:r w:rsidRPr="00EA1B58">
        <w:rPr>
          <w:rFonts w:ascii="Times New Roman" w:hAnsi="Times New Roman" w:cs="Times New Roman"/>
        </w:rPr>
        <w:t>Además, los programas de prácticas suelen ser la primera experiencia laboral de los estudiantes que, frecuentemente, quedan trabajando en la empresa que los contrató. Sin embargo, para que esto ocurra, sumado a los incentivos que se pueden dar a las empresas oferentes para que tomen EA, también se necesita formar a dichos estudiantes para que su adaptación sea mucho más rápida y amena, lo que puede lograrse con un buen programa de prácticas preprofesionales.</w:t>
      </w:r>
      <w:r w:rsidR="00837600">
        <w:rPr>
          <w:rFonts w:ascii="Times New Roman" w:hAnsi="Times New Roman" w:cs="Times New Roman"/>
        </w:rPr>
        <w:t xml:space="preserve"> Se</w:t>
      </w:r>
      <w:r w:rsidRPr="00EA1B58">
        <w:rPr>
          <w:rFonts w:ascii="Times New Roman" w:hAnsi="Times New Roman" w:cs="Times New Roman"/>
        </w:rPr>
        <w:t xml:space="preserve"> presenta en la Tabla </w:t>
      </w:r>
      <w:r w:rsidR="00EA1B58">
        <w:rPr>
          <w:rFonts w:ascii="Times New Roman" w:hAnsi="Times New Roman" w:cs="Times New Roman"/>
        </w:rPr>
        <w:t>1</w:t>
      </w:r>
      <w:r w:rsidRPr="00EA1B58">
        <w:rPr>
          <w:rFonts w:ascii="Times New Roman" w:hAnsi="Times New Roman" w:cs="Times New Roman"/>
        </w:rPr>
        <w:t xml:space="preserve"> una síntesis de estas propuestas asociadas a la etapa que se pretende reforzar.</w:t>
      </w:r>
    </w:p>
    <w:p w14:paraId="4D412C3B" w14:textId="2FE9A4A4" w:rsidR="005A14CA" w:rsidRDefault="005A14CA" w:rsidP="005A14CA">
      <w:pPr>
        <w:jc w:val="center"/>
        <w:rPr>
          <w:b/>
          <w:bCs/>
          <w:sz w:val="20"/>
          <w:szCs w:val="18"/>
        </w:rPr>
      </w:pPr>
      <w:r w:rsidRPr="004E5F6C">
        <w:rPr>
          <w:b/>
          <w:bCs/>
          <w:sz w:val="20"/>
          <w:szCs w:val="18"/>
        </w:rPr>
        <w:t xml:space="preserve">Tabla </w:t>
      </w:r>
      <w:r w:rsidR="00EA1B58">
        <w:rPr>
          <w:b/>
          <w:bCs/>
          <w:sz w:val="20"/>
          <w:szCs w:val="18"/>
        </w:rPr>
        <w:t>1</w:t>
      </w:r>
      <w:r w:rsidRPr="004E5F6C">
        <w:rPr>
          <w:b/>
          <w:bCs/>
          <w:sz w:val="20"/>
          <w:szCs w:val="18"/>
        </w:rPr>
        <w:t>. Programas</w:t>
      </w:r>
      <w:r>
        <w:rPr>
          <w:b/>
          <w:bCs/>
          <w:sz w:val="20"/>
          <w:szCs w:val="18"/>
        </w:rPr>
        <w:t xml:space="preserve"> propuestos en base a las etapas de educación</w:t>
      </w:r>
    </w:p>
    <w:tbl>
      <w:tblPr>
        <w:tblStyle w:val="Tablaconcuadrcula"/>
        <w:tblW w:w="0" w:type="auto"/>
        <w:tblLook w:val="04A0" w:firstRow="1" w:lastRow="0" w:firstColumn="1" w:lastColumn="0" w:noHBand="0" w:noVBand="1"/>
      </w:tblPr>
      <w:tblGrid>
        <w:gridCol w:w="2689"/>
        <w:gridCol w:w="5805"/>
      </w:tblGrid>
      <w:tr w:rsidR="005A14CA" w:rsidRPr="00EA1B58" w14:paraId="521D0105" w14:textId="77777777" w:rsidTr="00837600">
        <w:tc>
          <w:tcPr>
            <w:tcW w:w="2689" w:type="dxa"/>
          </w:tcPr>
          <w:p w14:paraId="584AABC6" w14:textId="77777777" w:rsidR="005A14CA" w:rsidRPr="00EA1B58" w:rsidRDefault="005A14CA" w:rsidP="00B747DF">
            <w:pPr>
              <w:jc w:val="center"/>
              <w:rPr>
                <w:rFonts w:ascii="Times New Roman" w:hAnsi="Times New Roman" w:cs="Times New Roman"/>
                <w:b/>
                <w:bCs/>
                <w:sz w:val="24"/>
                <w:szCs w:val="24"/>
              </w:rPr>
            </w:pPr>
            <w:r w:rsidRPr="00EA1B58">
              <w:rPr>
                <w:rFonts w:ascii="Times New Roman" w:hAnsi="Times New Roman" w:cs="Times New Roman"/>
                <w:b/>
                <w:bCs/>
                <w:sz w:val="24"/>
                <w:szCs w:val="24"/>
              </w:rPr>
              <w:t>Etapa de educación</w:t>
            </w:r>
          </w:p>
        </w:tc>
        <w:tc>
          <w:tcPr>
            <w:tcW w:w="5805" w:type="dxa"/>
          </w:tcPr>
          <w:p w14:paraId="43ACAAB0" w14:textId="77777777" w:rsidR="005A14CA" w:rsidRPr="00EA1B58" w:rsidRDefault="005A14CA" w:rsidP="00B747DF">
            <w:pPr>
              <w:jc w:val="center"/>
              <w:rPr>
                <w:rFonts w:ascii="Times New Roman" w:hAnsi="Times New Roman" w:cs="Times New Roman"/>
                <w:b/>
                <w:bCs/>
                <w:sz w:val="24"/>
                <w:szCs w:val="24"/>
              </w:rPr>
            </w:pPr>
            <w:r w:rsidRPr="00EA1B58">
              <w:rPr>
                <w:rFonts w:ascii="Times New Roman" w:hAnsi="Times New Roman" w:cs="Times New Roman"/>
                <w:b/>
                <w:bCs/>
                <w:sz w:val="24"/>
                <w:szCs w:val="24"/>
              </w:rPr>
              <w:t>Programas propuestos</w:t>
            </w:r>
          </w:p>
        </w:tc>
      </w:tr>
      <w:tr w:rsidR="005A14CA" w:rsidRPr="00EA1B58" w14:paraId="27A5D0FF" w14:textId="77777777" w:rsidTr="00837600">
        <w:tc>
          <w:tcPr>
            <w:tcW w:w="2689" w:type="dxa"/>
            <w:vAlign w:val="center"/>
          </w:tcPr>
          <w:p w14:paraId="3DBD09EA" w14:textId="77777777" w:rsidR="005A14CA" w:rsidRPr="00EA1B58" w:rsidRDefault="005A14CA" w:rsidP="00B747DF">
            <w:pPr>
              <w:rPr>
                <w:rFonts w:ascii="Times New Roman" w:hAnsi="Times New Roman" w:cs="Times New Roman"/>
                <w:sz w:val="24"/>
                <w:szCs w:val="24"/>
              </w:rPr>
            </w:pPr>
            <w:r w:rsidRPr="00EA1B58">
              <w:rPr>
                <w:rFonts w:ascii="Times New Roman" w:hAnsi="Times New Roman" w:cs="Times New Roman"/>
                <w:sz w:val="24"/>
                <w:szCs w:val="24"/>
              </w:rPr>
              <w:t>Transición escuela-universidad</w:t>
            </w:r>
          </w:p>
        </w:tc>
        <w:tc>
          <w:tcPr>
            <w:tcW w:w="5805" w:type="dxa"/>
          </w:tcPr>
          <w:p w14:paraId="18321B78" w14:textId="2B33B5A0"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Tutores y visitas a colegios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.5)</w:t>
            </w:r>
          </w:p>
          <w:p w14:paraId="55548CAE" w14:textId="3C2BB658"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Curricularización de la inclusión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.2)</w:t>
            </w:r>
          </w:p>
        </w:tc>
      </w:tr>
      <w:tr w:rsidR="005A14CA" w:rsidRPr="00EA1B58" w14:paraId="24C2E27E" w14:textId="77777777" w:rsidTr="00837600">
        <w:tc>
          <w:tcPr>
            <w:tcW w:w="2689" w:type="dxa"/>
            <w:vAlign w:val="center"/>
          </w:tcPr>
          <w:p w14:paraId="1F4F7BB0" w14:textId="77777777" w:rsidR="005A14CA" w:rsidRPr="00EA1B58" w:rsidRDefault="005A14CA" w:rsidP="00B747DF">
            <w:pPr>
              <w:rPr>
                <w:rFonts w:ascii="Times New Roman" w:hAnsi="Times New Roman" w:cs="Times New Roman"/>
                <w:sz w:val="24"/>
                <w:szCs w:val="24"/>
              </w:rPr>
            </w:pPr>
            <w:r w:rsidRPr="00EA1B58">
              <w:rPr>
                <w:rFonts w:ascii="Times New Roman" w:hAnsi="Times New Roman" w:cs="Times New Roman"/>
                <w:sz w:val="24"/>
                <w:szCs w:val="24"/>
              </w:rPr>
              <w:t>Trayectoria universitaria</w:t>
            </w:r>
          </w:p>
        </w:tc>
        <w:tc>
          <w:tcPr>
            <w:tcW w:w="5805" w:type="dxa"/>
          </w:tcPr>
          <w:p w14:paraId="4748D97E" w14:textId="69455AF9"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Becas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.1)</w:t>
            </w:r>
          </w:p>
          <w:p w14:paraId="50CC8659" w14:textId="186D389C"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Curricularización de la inclusión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.2)</w:t>
            </w:r>
          </w:p>
          <w:p w14:paraId="514ADA6D" w14:textId="0AE9EB4C"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Capacitaciones en acompañamiento de diversidades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.2)</w:t>
            </w:r>
          </w:p>
          <w:p w14:paraId="3FAA561F" w14:textId="5036CCAA"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Charlas, capacitaciones y guías de colectivos infrarrepresentados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.3)</w:t>
            </w:r>
          </w:p>
          <w:p w14:paraId="04B6CAE4" w14:textId="513A6F36"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lastRenderedPageBreak/>
              <w:t>Sistema de información de accesibilidad física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.4)</w:t>
            </w:r>
          </w:p>
          <w:p w14:paraId="73924852" w14:textId="44B2C80D"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Sistemas de información sobre trayectorias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.4) y acompañamiento por parte de tutores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.5)</w:t>
            </w:r>
          </w:p>
          <w:p w14:paraId="4DED542B" w14:textId="0A4385B3"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Comisiones de accesibilidad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.6)</w:t>
            </w:r>
          </w:p>
        </w:tc>
      </w:tr>
      <w:tr w:rsidR="005A14CA" w:rsidRPr="00EA1B58" w14:paraId="7A4DD1FF" w14:textId="77777777" w:rsidTr="00837600">
        <w:tc>
          <w:tcPr>
            <w:tcW w:w="2689" w:type="dxa"/>
            <w:vAlign w:val="center"/>
          </w:tcPr>
          <w:p w14:paraId="6377D2B0" w14:textId="77777777" w:rsidR="005A14CA" w:rsidRPr="00EA1B58" w:rsidRDefault="005A14CA" w:rsidP="00B747DF">
            <w:pPr>
              <w:rPr>
                <w:rFonts w:ascii="Times New Roman" w:hAnsi="Times New Roman" w:cs="Times New Roman"/>
                <w:sz w:val="24"/>
                <w:szCs w:val="24"/>
              </w:rPr>
            </w:pPr>
            <w:r w:rsidRPr="00EA1B58">
              <w:rPr>
                <w:rFonts w:ascii="Times New Roman" w:hAnsi="Times New Roman" w:cs="Times New Roman"/>
                <w:sz w:val="24"/>
                <w:szCs w:val="24"/>
              </w:rPr>
              <w:lastRenderedPageBreak/>
              <w:t>Transición universidad-empleo</w:t>
            </w:r>
          </w:p>
        </w:tc>
        <w:tc>
          <w:tcPr>
            <w:tcW w:w="5805" w:type="dxa"/>
          </w:tcPr>
          <w:p w14:paraId="06DA9EC1" w14:textId="151EB5EB"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Acompañamiento de estudiantes avanzados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.7)</w:t>
            </w:r>
          </w:p>
          <w:p w14:paraId="0C090C69" w14:textId="5BD7F8BC"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Incentivos a empresas que emplean personas acompañadas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.7)</w:t>
            </w:r>
          </w:p>
          <w:p w14:paraId="522DD7C2" w14:textId="34329C97"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Comisiones de accesibilidad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.6)</w:t>
            </w:r>
          </w:p>
          <w:p w14:paraId="43BB0F7C" w14:textId="0217A56A" w:rsidR="005A14CA" w:rsidRPr="00EA1B58" w:rsidRDefault="005A14CA" w:rsidP="005A14CA">
            <w:pPr>
              <w:pStyle w:val="Prrafodelista"/>
              <w:numPr>
                <w:ilvl w:val="0"/>
                <w:numId w:val="5"/>
              </w:numPr>
              <w:spacing w:line="360" w:lineRule="auto"/>
              <w:ind w:left="455"/>
              <w:jc w:val="both"/>
              <w:rPr>
                <w:rFonts w:ascii="Times New Roman" w:hAnsi="Times New Roman" w:cs="Times New Roman"/>
                <w:sz w:val="24"/>
                <w:szCs w:val="24"/>
              </w:rPr>
            </w:pPr>
            <w:r w:rsidRPr="00EA1B58">
              <w:rPr>
                <w:rFonts w:ascii="Times New Roman" w:hAnsi="Times New Roman" w:cs="Times New Roman"/>
                <w:sz w:val="24"/>
                <w:szCs w:val="24"/>
              </w:rPr>
              <w:t>Programas de prácticas preprofesionales (</w:t>
            </w:r>
            <w:r w:rsidR="00B217E9">
              <w:rPr>
                <w:rFonts w:ascii="Times New Roman" w:hAnsi="Times New Roman" w:cs="Times New Roman"/>
                <w:sz w:val="24"/>
                <w:szCs w:val="24"/>
              </w:rPr>
              <w:t>2</w:t>
            </w:r>
            <w:r w:rsidRPr="00EA1B58">
              <w:rPr>
                <w:rFonts w:ascii="Times New Roman" w:hAnsi="Times New Roman" w:cs="Times New Roman"/>
                <w:sz w:val="24"/>
                <w:szCs w:val="24"/>
              </w:rPr>
              <w:t>.</w:t>
            </w:r>
            <w:r w:rsidR="00B217E9">
              <w:rPr>
                <w:rFonts w:ascii="Times New Roman" w:hAnsi="Times New Roman" w:cs="Times New Roman"/>
                <w:sz w:val="24"/>
                <w:szCs w:val="24"/>
              </w:rPr>
              <w:t>2</w:t>
            </w:r>
            <w:r w:rsidRPr="00EA1B58">
              <w:rPr>
                <w:rFonts w:ascii="Times New Roman" w:hAnsi="Times New Roman" w:cs="Times New Roman"/>
                <w:sz w:val="24"/>
                <w:szCs w:val="24"/>
              </w:rPr>
              <w:t>.8)</w:t>
            </w:r>
          </w:p>
        </w:tc>
      </w:tr>
    </w:tbl>
    <w:p w14:paraId="2F4E11FC" w14:textId="114D866B" w:rsidR="00E228A5" w:rsidRPr="00EA1B58" w:rsidRDefault="005A14CA" w:rsidP="00EA1B58">
      <w:pPr>
        <w:jc w:val="center"/>
        <w:rPr>
          <w:b/>
          <w:bCs/>
          <w:sz w:val="20"/>
          <w:szCs w:val="18"/>
        </w:rPr>
      </w:pPr>
      <w:r>
        <w:rPr>
          <w:b/>
          <w:bCs/>
          <w:sz w:val="20"/>
          <w:szCs w:val="18"/>
        </w:rPr>
        <w:t>Fuente. Elaboración propia</w:t>
      </w:r>
    </w:p>
    <w:p w14:paraId="0DCB697A" w14:textId="276CF081" w:rsidR="000658DB" w:rsidRPr="000658DB" w:rsidRDefault="000658DB" w:rsidP="000658DB">
      <w:pPr>
        <w:spacing w:line="240" w:lineRule="auto"/>
        <w:jc w:val="both"/>
        <w:rPr>
          <w:rFonts w:ascii="Times New Roman" w:hAnsi="Times New Roman" w:cs="Times New Roman"/>
        </w:rPr>
      </w:pPr>
      <w:r w:rsidRPr="000658DB">
        <w:rPr>
          <w:rFonts w:ascii="Times New Roman" w:hAnsi="Times New Roman" w:cs="Times New Roman"/>
        </w:rPr>
        <w:t>A continuación, se presentan las reflexiones finales del trabajo a modo de conclusiones.</w:t>
      </w:r>
    </w:p>
    <w:p w14:paraId="12CE0BCB" w14:textId="078ED699"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2E7766DD" w14:textId="4BA68241" w:rsidR="00864631" w:rsidRPr="00864631" w:rsidRDefault="00864631" w:rsidP="00864631">
      <w:pPr>
        <w:spacing w:line="240" w:lineRule="auto"/>
        <w:jc w:val="both"/>
        <w:rPr>
          <w:rFonts w:ascii="Times New Roman" w:hAnsi="Times New Roman" w:cs="Times New Roman"/>
        </w:rPr>
      </w:pPr>
      <w:r w:rsidRPr="00864631">
        <w:rPr>
          <w:rFonts w:ascii="Times New Roman" w:hAnsi="Times New Roman" w:cs="Times New Roman"/>
        </w:rPr>
        <w:t xml:space="preserve">Este trabajo buscó poner de relieve la importancia de la inclusión educativa y, específicamente, </w:t>
      </w:r>
      <w:r w:rsidR="00B217E9">
        <w:rPr>
          <w:rFonts w:ascii="Times New Roman" w:hAnsi="Times New Roman" w:cs="Times New Roman"/>
        </w:rPr>
        <w:t>la de la accesibilidad académica y su importancia</w:t>
      </w:r>
      <w:r w:rsidRPr="00864631">
        <w:rPr>
          <w:rFonts w:ascii="Times New Roman" w:hAnsi="Times New Roman" w:cs="Times New Roman"/>
        </w:rPr>
        <w:t xml:space="preserve"> para garantizar un acceso equitativo a los estudiantes, más allá de sus características personales, del contexto y también situacionales. Por ello, en todo momento se habló de la exclusión como un fenómeno social, del cual las personas que la padecen no tienen ningún tipo de responsabilidad.</w:t>
      </w:r>
      <w:r w:rsidR="00B217E9">
        <w:rPr>
          <w:rFonts w:ascii="Times New Roman" w:hAnsi="Times New Roman" w:cs="Times New Roman"/>
        </w:rPr>
        <w:t xml:space="preserve"> Más bien se planteó la idea de la sociedad como “excluyente”</w:t>
      </w:r>
      <w:r w:rsidR="00C14A20">
        <w:rPr>
          <w:rFonts w:ascii="Times New Roman" w:hAnsi="Times New Roman" w:cs="Times New Roman"/>
        </w:rPr>
        <w:t>.</w:t>
      </w:r>
    </w:p>
    <w:p w14:paraId="35B1E6BB" w14:textId="68453696" w:rsidR="00864631" w:rsidRPr="00864631" w:rsidRDefault="00864631" w:rsidP="00864631">
      <w:pPr>
        <w:spacing w:line="240" w:lineRule="auto"/>
        <w:jc w:val="both"/>
        <w:rPr>
          <w:rFonts w:ascii="Times New Roman" w:hAnsi="Times New Roman" w:cs="Times New Roman"/>
        </w:rPr>
      </w:pPr>
      <w:r w:rsidRPr="00864631">
        <w:rPr>
          <w:rFonts w:ascii="Times New Roman" w:hAnsi="Times New Roman" w:cs="Times New Roman"/>
        </w:rPr>
        <w:t xml:space="preserve">A partir del anclaje de la literatura y las políticas que ya se están implementando, el desafío fue proponer nuevos programas, considerando que siempre se está en camino hacia una sociedad más inclusiva pero la exclusión se sigue generando y reproduciendo. En esta idea, hay diversidades que cuentan con mayor cantidad de programas como la de </w:t>
      </w:r>
      <w:r w:rsidR="00C50CC7">
        <w:rPr>
          <w:rFonts w:ascii="Times New Roman" w:hAnsi="Times New Roman" w:cs="Times New Roman"/>
        </w:rPr>
        <w:t>personas con discapacidades</w:t>
      </w:r>
      <w:r w:rsidRPr="00864631">
        <w:rPr>
          <w:rFonts w:ascii="Times New Roman" w:hAnsi="Times New Roman" w:cs="Times New Roman"/>
        </w:rPr>
        <w:t>, de género y, aunque no quiera decir que sean suficientes, hay otras diversidades que tienen menos programas asociados como los trastornos de salud mental.</w:t>
      </w:r>
    </w:p>
    <w:p w14:paraId="04ED617D" w14:textId="77777777" w:rsidR="00864631" w:rsidRPr="00864631" w:rsidRDefault="00864631" w:rsidP="00864631">
      <w:pPr>
        <w:spacing w:line="240" w:lineRule="auto"/>
        <w:jc w:val="both"/>
        <w:rPr>
          <w:rFonts w:ascii="Times New Roman" w:hAnsi="Times New Roman" w:cs="Times New Roman"/>
        </w:rPr>
      </w:pPr>
      <w:r w:rsidRPr="00864631">
        <w:rPr>
          <w:rFonts w:ascii="Times New Roman" w:hAnsi="Times New Roman" w:cs="Times New Roman"/>
        </w:rPr>
        <w:t>En el camino de este proceso, se tocaron otros temas considerados también importantes para la investigación. Por ejemplo, el uso de tecnología y de la IA para reducir tiempos de tareas repetitivas. Para ello, es necesario que los académicos y los investigadores nos actualicemos y preparemos frente a lo que ya se viendo, haciendo con el uso de la inteligencia artificial en nuestros ámbitos, de manera que la investigación científica sea cada vez más efectiva en cuanto a aportes, mejoras, producción y gestión de conocimiento (Díaz Subieta, 2024).</w:t>
      </w:r>
    </w:p>
    <w:p w14:paraId="21C1ABD0" w14:textId="77777777" w:rsidR="00864631" w:rsidRPr="00864631" w:rsidRDefault="00864631" w:rsidP="00864631">
      <w:pPr>
        <w:spacing w:line="240" w:lineRule="auto"/>
        <w:jc w:val="both"/>
        <w:rPr>
          <w:rFonts w:ascii="Times New Roman" w:hAnsi="Times New Roman" w:cs="Times New Roman"/>
        </w:rPr>
      </w:pPr>
      <w:r w:rsidRPr="00864631">
        <w:rPr>
          <w:rFonts w:ascii="Times New Roman" w:hAnsi="Times New Roman" w:cs="Times New Roman"/>
        </w:rPr>
        <w:t xml:space="preserve">Entre las afirmaciones que pretendió transmitir este trabajo se encuentra, en primer lugar, que la inclusión educativa siempre es un camino en tránsito y ninguna propuesta podría pretender “arrancar de cuajo” a las situaciones de desigualdad que se van generando en forma voluntaria e involuntaria con el paso del tiempo. En segundo lugar, que los avances en inclusión siempre son colectivos, es decir, en varios pasajes del trabajo se hizo mención </w:t>
      </w:r>
      <w:proofErr w:type="gramStart"/>
      <w:r w:rsidRPr="00864631">
        <w:rPr>
          <w:rFonts w:ascii="Times New Roman" w:hAnsi="Times New Roman" w:cs="Times New Roman"/>
        </w:rPr>
        <w:lastRenderedPageBreak/>
        <w:t>a</w:t>
      </w:r>
      <w:proofErr w:type="gramEnd"/>
      <w:r w:rsidRPr="00864631">
        <w:rPr>
          <w:rFonts w:ascii="Times New Roman" w:hAnsi="Times New Roman" w:cs="Times New Roman"/>
        </w:rPr>
        <w:t xml:space="preserve"> diferentes actores que intervienen en él: la comunidad científica, el profesional de la música, los entrevistados, el gobierno en base a sus documentos, etc. Es por ello </w:t>
      </w:r>
      <w:proofErr w:type="gramStart"/>
      <w:r w:rsidRPr="00864631">
        <w:rPr>
          <w:rFonts w:ascii="Times New Roman" w:hAnsi="Times New Roman" w:cs="Times New Roman"/>
        </w:rPr>
        <w:t>que</w:t>
      </w:r>
      <w:proofErr w:type="gramEnd"/>
      <w:r w:rsidRPr="00864631">
        <w:rPr>
          <w:rFonts w:ascii="Times New Roman" w:hAnsi="Times New Roman" w:cs="Times New Roman"/>
        </w:rPr>
        <w:t xml:space="preserve"> no solamente se necesita mayor articulación de agentes para mejorar la inclusión sino también integración disciplinar, ya que, estos problemas sociales no son exclusivos de un campo del conocimiento o disciplina. En tercer lugar, que independientemente de la ideología que tenga el gobierno de turno, las políticas de inclusión necesitan de su apoyo y cada gestión no debería tomarlo como un eje optativo de su política, sino más bien, como un imperativo ético.</w:t>
      </w:r>
    </w:p>
    <w:p w14:paraId="11E1AF37" w14:textId="134E44B6" w:rsidR="00864631" w:rsidRPr="00864631" w:rsidRDefault="00864631" w:rsidP="00864631">
      <w:pPr>
        <w:spacing w:line="240" w:lineRule="auto"/>
        <w:jc w:val="both"/>
        <w:rPr>
          <w:rFonts w:ascii="Times New Roman" w:hAnsi="Times New Roman" w:cs="Times New Roman"/>
        </w:rPr>
      </w:pPr>
      <w:r w:rsidRPr="00864631">
        <w:rPr>
          <w:rFonts w:ascii="Times New Roman" w:hAnsi="Times New Roman" w:cs="Times New Roman"/>
        </w:rPr>
        <w:t xml:space="preserve">Como </w:t>
      </w:r>
      <w:r w:rsidR="003D6240">
        <w:rPr>
          <w:rFonts w:ascii="Times New Roman" w:hAnsi="Times New Roman" w:cs="Times New Roman"/>
        </w:rPr>
        <w:t>principal</w:t>
      </w:r>
      <w:r w:rsidRPr="00864631">
        <w:rPr>
          <w:rFonts w:ascii="Times New Roman" w:hAnsi="Times New Roman" w:cs="Times New Roman"/>
        </w:rPr>
        <w:t xml:space="preserve"> limitación </w:t>
      </w:r>
      <w:r w:rsidR="003D6240">
        <w:rPr>
          <w:rFonts w:ascii="Times New Roman" w:hAnsi="Times New Roman" w:cs="Times New Roman"/>
        </w:rPr>
        <w:t xml:space="preserve">del trabajo </w:t>
      </w:r>
      <w:r w:rsidRPr="00864631">
        <w:rPr>
          <w:rFonts w:ascii="Times New Roman" w:hAnsi="Times New Roman" w:cs="Times New Roman"/>
        </w:rPr>
        <w:t>se menciona la falta de identificación de textuales citados por los entrevistados y</w:t>
      </w:r>
      <w:r w:rsidR="003D6240">
        <w:rPr>
          <w:rFonts w:ascii="Times New Roman" w:hAnsi="Times New Roman" w:cs="Times New Roman"/>
        </w:rPr>
        <w:t xml:space="preserve"> los encestados. En su lugar, se decidió hacer </w:t>
      </w:r>
      <w:r w:rsidRPr="00864631">
        <w:rPr>
          <w:rFonts w:ascii="Times New Roman" w:hAnsi="Times New Roman" w:cs="Times New Roman"/>
        </w:rPr>
        <w:t>referencia</w:t>
      </w:r>
      <w:r w:rsidR="003D6240">
        <w:rPr>
          <w:rFonts w:ascii="Times New Roman" w:hAnsi="Times New Roman" w:cs="Times New Roman"/>
        </w:rPr>
        <w:t xml:space="preserve"> a</w:t>
      </w:r>
      <w:r w:rsidRPr="00864631">
        <w:rPr>
          <w:rFonts w:ascii="Times New Roman" w:hAnsi="Times New Roman" w:cs="Times New Roman"/>
        </w:rPr>
        <w:t xml:space="preserve"> las opiniones que en forma agregada se recibieron con mayor frecuencia, sin recurrir a nominalizaciones.</w:t>
      </w:r>
      <w:r w:rsidR="003D6240">
        <w:rPr>
          <w:rFonts w:ascii="Times New Roman" w:hAnsi="Times New Roman" w:cs="Times New Roman"/>
        </w:rPr>
        <w:t xml:space="preserve"> </w:t>
      </w:r>
      <w:r w:rsidRPr="00864631">
        <w:rPr>
          <w:rFonts w:ascii="Times New Roman" w:hAnsi="Times New Roman" w:cs="Times New Roman"/>
        </w:rPr>
        <w:t>En cuanto a las futuras líneas de investigación, se podría ampliar a otros estudios de casos y también a otros agentes educativos, tales como, estudiantes, autoridades institucionales, docentes y autoridades políticas, entre otros. Por otro lado, podrían explorarse nuevos programas que atiendan otras diversidades como las de género, diversidad sexual, diversidad corporal y otros, así como también, nuevos indicadores que tengan mayor precisión.</w:t>
      </w:r>
    </w:p>
    <w:p w14:paraId="5A9FA6FC" w14:textId="01D33664" w:rsidR="00C0507C" w:rsidRPr="00FC3CFB" w:rsidRDefault="00864631" w:rsidP="00FC3CFB">
      <w:pPr>
        <w:spacing w:line="240" w:lineRule="auto"/>
        <w:jc w:val="both"/>
        <w:rPr>
          <w:rFonts w:ascii="Times New Roman" w:hAnsi="Times New Roman" w:cs="Times New Roman"/>
        </w:rPr>
      </w:pPr>
      <w:r w:rsidRPr="00864631">
        <w:rPr>
          <w:rFonts w:ascii="Times New Roman" w:hAnsi="Times New Roman" w:cs="Times New Roman"/>
        </w:rPr>
        <w:t>Como se sostuvo a lo largo de todo el trabajo, es una contribución más de las muchas que podrían hacerse, se hace camino al andar y hacia un mundo mejor nos orientamos. En la medida que se continúen difundiendo este tipo de contribuciones, la inclusión se mantendrá en la agenda pública y se podrán exigir más políticas.</w:t>
      </w:r>
    </w:p>
    <w:p w14:paraId="5FE798CC" w14:textId="77777777" w:rsidR="00C0507C" w:rsidRDefault="00C0507C" w:rsidP="007B5B5F">
      <w:pPr>
        <w:spacing w:line="240" w:lineRule="auto"/>
        <w:rPr>
          <w:rFonts w:ascii="Times New Roman" w:hAnsi="Times New Roman" w:cs="Times New Roman"/>
          <w:b/>
          <w:bCs/>
        </w:rPr>
      </w:pPr>
    </w:p>
    <w:p w14:paraId="49EFF089" w14:textId="77777777" w:rsidR="00F27BE7" w:rsidRDefault="005F3B2E" w:rsidP="00F27BE7">
      <w:pPr>
        <w:spacing w:line="240" w:lineRule="auto"/>
        <w:rPr>
          <w:rFonts w:ascii="Times New Roman" w:hAnsi="Times New Roman" w:cs="Times New Roman"/>
          <w:b/>
          <w:bCs/>
        </w:rPr>
      </w:pPr>
      <w:r w:rsidRPr="00BA642E">
        <w:rPr>
          <w:rFonts w:ascii="Times New Roman" w:hAnsi="Times New Roman" w:cs="Times New Roman"/>
          <w:b/>
          <w:bCs/>
        </w:rPr>
        <w:t>Referencias Bibliográficas</w:t>
      </w:r>
    </w:p>
    <w:p w14:paraId="24C7738A" w14:textId="77777777" w:rsidR="0040482C" w:rsidRPr="008516B4" w:rsidRDefault="0040482C" w:rsidP="008516B4">
      <w:pPr>
        <w:spacing w:line="240" w:lineRule="auto"/>
        <w:jc w:val="both"/>
        <w:rPr>
          <w:rFonts w:ascii="Times New Roman" w:eastAsia="Roboto Condensed" w:hAnsi="Times New Roman" w:cs="Times New Roman"/>
        </w:rPr>
      </w:pPr>
      <w:r w:rsidRPr="008516B4">
        <w:rPr>
          <w:rFonts w:ascii="Times New Roman" w:eastAsia="Roboto Condensed" w:hAnsi="Times New Roman" w:cs="Times New Roman"/>
        </w:rPr>
        <w:t>Albarrán, A. (2015). Algunas perspectivas y modelos de comprensión de la discapacidad. </w:t>
      </w:r>
      <w:r w:rsidRPr="008516B4">
        <w:rPr>
          <w:rFonts w:ascii="Times New Roman" w:eastAsia="Roboto Condensed" w:hAnsi="Times New Roman" w:cs="Times New Roman"/>
          <w:i/>
          <w:iCs/>
        </w:rPr>
        <w:t>Revista Venezolana de Análisis de Coyuntura</w:t>
      </w:r>
      <w:r w:rsidRPr="008516B4">
        <w:rPr>
          <w:rFonts w:ascii="Times New Roman" w:eastAsia="Roboto Condensed" w:hAnsi="Times New Roman" w:cs="Times New Roman"/>
        </w:rPr>
        <w:t>, </w:t>
      </w:r>
      <w:r w:rsidRPr="008516B4">
        <w:rPr>
          <w:rFonts w:ascii="Times New Roman" w:eastAsia="Roboto Condensed" w:hAnsi="Times New Roman" w:cs="Times New Roman"/>
          <w:i/>
          <w:iCs/>
        </w:rPr>
        <w:t>21</w:t>
      </w:r>
      <w:r w:rsidRPr="008516B4">
        <w:rPr>
          <w:rFonts w:ascii="Times New Roman" w:eastAsia="Roboto Condensed" w:hAnsi="Times New Roman" w:cs="Times New Roman"/>
        </w:rPr>
        <w:t xml:space="preserve">(2), 127-165. </w:t>
      </w:r>
      <w:hyperlink r:id="rId13" w:history="1">
        <w:r w:rsidRPr="008516B4">
          <w:rPr>
            <w:rStyle w:val="Hipervnculo"/>
            <w:rFonts w:ascii="Times New Roman" w:eastAsia="Roboto Condensed" w:hAnsi="Times New Roman" w:cs="Times New Roman"/>
          </w:rPr>
          <w:t>https://www.redalyc.org/pdf/364/36448438007.pdf</w:t>
        </w:r>
      </w:hyperlink>
      <w:r w:rsidRPr="008516B4">
        <w:rPr>
          <w:rFonts w:ascii="Times New Roman" w:eastAsia="Roboto Condensed" w:hAnsi="Times New Roman" w:cs="Times New Roman"/>
        </w:rPr>
        <w:t xml:space="preserve"> </w:t>
      </w:r>
    </w:p>
    <w:p w14:paraId="4E9BBD9C" w14:textId="3707783F" w:rsidR="00410EE2" w:rsidRPr="008516B4" w:rsidRDefault="00410EE2" w:rsidP="008516B4">
      <w:pPr>
        <w:spacing w:line="240" w:lineRule="auto"/>
        <w:jc w:val="both"/>
        <w:rPr>
          <w:rFonts w:ascii="Times New Roman" w:hAnsi="Times New Roman" w:cs="Times New Roman"/>
          <w:lang w:val="es-AR"/>
        </w:rPr>
      </w:pPr>
      <w:r w:rsidRPr="008516B4">
        <w:rPr>
          <w:rFonts w:ascii="Times New Roman" w:hAnsi="Times New Roman" w:cs="Times New Roman"/>
        </w:rPr>
        <w:t xml:space="preserve">Benet Gil, A. (2020). Desarrollo de políticas inclusivas en la educación superior. Convergencia, 27, 1-31. </w:t>
      </w:r>
      <w:hyperlink r:id="rId14" w:history="1">
        <w:r w:rsidRPr="008516B4">
          <w:rPr>
            <w:rStyle w:val="Hipervnculo"/>
            <w:rFonts w:ascii="Times New Roman" w:hAnsi="Times New Roman" w:cs="Times New Roman"/>
          </w:rPr>
          <w:t>https://doi.org/10.29101/crcs.v27i82.11120</w:t>
        </w:r>
      </w:hyperlink>
      <w:r w:rsidRPr="008516B4">
        <w:rPr>
          <w:rFonts w:ascii="Times New Roman" w:hAnsi="Times New Roman" w:cs="Times New Roman"/>
        </w:rPr>
        <w:t xml:space="preserve"> </w:t>
      </w:r>
    </w:p>
    <w:p w14:paraId="4B4FBADA" w14:textId="2ECECD03" w:rsidR="00F27BE7" w:rsidRPr="008516B4" w:rsidRDefault="00F27BE7" w:rsidP="008516B4">
      <w:pPr>
        <w:spacing w:line="240" w:lineRule="auto"/>
        <w:jc w:val="both"/>
        <w:rPr>
          <w:rFonts w:ascii="Times New Roman" w:hAnsi="Times New Roman" w:cs="Times New Roman"/>
          <w:lang w:val="es-AR"/>
        </w:rPr>
      </w:pPr>
      <w:proofErr w:type="spellStart"/>
      <w:r w:rsidRPr="008516B4">
        <w:rPr>
          <w:rFonts w:ascii="Times New Roman" w:hAnsi="Times New Roman" w:cs="Times New Roman"/>
          <w:lang w:val="es-AR"/>
        </w:rPr>
        <w:t>Boggino</w:t>
      </w:r>
      <w:proofErr w:type="spellEnd"/>
      <w:r w:rsidRPr="008516B4">
        <w:rPr>
          <w:rFonts w:ascii="Times New Roman" w:hAnsi="Times New Roman" w:cs="Times New Roman"/>
          <w:lang w:val="es-AR"/>
        </w:rPr>
        <w:t xml:space="preserve">, N., y </w:t>
      </w:r>
      <w:proofErr w:type="spellStart"/>
      <w:r w:rsidRPr="008516B4">
        <w:rPr>
          <w:rFonts w:ascii="Times New Roman" w:hAnsi="Times New Roman" w:cs="Times New Roman"/>
          <w:lang w:val="es-AR"/>
        </w:rPr>
        <w:t>Boggino</w:t>
      </w:r>
      <w:proofErr w:type="spellEnd"/>
      <w:r w:rsidRPr="008516B4">
        <w:rPr>
          <w:rFonts w:ascii="Times New Roman" w:hAnsi="Times New Roman" w:cs="Times New Roman"/>
          <w:lang w:val="es-AR"/>
        </w:rPr>
        <w:t xml:space="preserve">, P. (2014). Pensar la escuela desde la accesibilidad universal y la complejidad. Abolir las fronteras, los eufemismos y los estigmas. Paulo Freire. </w:t>
      </w:r>
      <w:r w:rsidRPr="008516B4">
        <w:rPr>
          <w:rFonts w:ascii="Times New Roman" w:hAnsi="Times New Roman" w:cs="Times New Roman"/>
          <w:i/>
          <w:iCs/>
          <w:lang w:val="es-AR"/>
        </w:rPr>
        <w:t>Revista De Pedagogía Crítica</w:t>
      </w:r>
      <w:r w:rsidRPr="008516B4">
        <w:rPr>
          <w:rFonts w:ascii="Times New Roman" w:hAnsi="Times New Roman" w:cs="Times New Roman"/>
          <w:lang w:val="es-AR"/>
        </w:rPr>
        <w:t xml:space="preserve">, (15), 31-51. </w:t>
      </w:r>
      <w:hyperlink r:id="rId15" w:history="1">
        <w:r w:rsidRPr="008516B4">
          <w:rPr>
            <w:rStyle w:val="Hipervnculo"/>
            <w:rFonts w:ascii="Times New Roman" w:hAnsi="Times New Roman" w:cs="Times New Roman"/>
          </w:rPr>
          <w:t>https://doi.org/10.25074/07195532.15.378</w:t>
        </w:r>
      </w:hyperlink>
      <w:r w:rsidRPr="008516B4">
        <w:rPr>
          <w:rFonts w:ascii="Times New Roman" w:hAnsi="Times New Roman" w:cs="Times New Roman"/>
          <w:lang w:val="es-AR"/>
        </w:rPr>
        <w:t xml:space="preserve"> </w:t>
      </w:r>
    </w:p>
    <w:p w14:paraId="1A72ED46" w14:textId="58289885" w:rsidR="00BE215C" w:rsidRPr="008516B4" w:rsidRDefault="00BE215C" w:rsidP="008516B4">
      <w:pPr>
        <w:spacing w:line="240" w:lineRule="auto"/>
        <w:jc w:val="both"/>
        <w:rPr>
          <w:rFonts w:ascii="Times New Roman" w:hAnsi="Times New Roman" w:cs="Times New Roman"/>
          <w:lang w:val="es-AR"/>
        </w:rPr>
      </w:pPr>
      <w:r w:rsidRPr="008516B4">
        <w:rPr>
          <w:rFonts w:ascii="Times New Roman" w:hAnsi="Times New Roman" w:cs="Times New Roman"/>
        </w:rPr>
        <w:t xml:space="preserve">De Benito Fernández, J., </w:t>
      </w:r>
      <w:proofErr w:type="spellStart"/>
      <w:r w:rsidRPr="008516B4">
        <w:rPr>
          <w:rFonts w:ascii="Times New Roman" w:hAnsi="Times New Roman" w:cs="Times New Roman"/>
        </w:rPr>
        <w:t>Junc</w:t>
      </w:r>
      <w:r w:rsidR="00A1139F">
        <w:rPr>
          <w:rFonts w:ascii="Times New Roman" w:hAnsi="Times New Roman" w:cs="Times New Roman"/>
        </w:rPr>
        <w:t>á</w:t>
      </w:r>
      <w:proofErr w:type="spellEnd"/>
      <w:r w:rsidRPr="008516B4">
        <w:rPr>
          <w:rFonts w:ascii="Times New Roman" w:hAnsi="Times New Roman" w:cs="Times New Roman"/>
        </w:rPr>
        <w:t xml:space="preserve"> Ubierna, J. A., García Milà, J., Rojas Torralba, C., &amp; Santos Guerras, J. J. (2012). </w:t>
      </w:r>
      <w:r w:rsidRPr="00046788">
        <w:rPr>
          <w:rFonts w:ascii="Times New Roman" w:hAnsi="Times New Roman" w:cs="Times New Roman"/>
          <w:i/>
          <w:iCs/>
        </w:rPr>
        <w:t>Manual para un entorno accesible.</w:t>
      </w:r>
      <w:r w:rsidR="00804BED" w:rsidRPr="008516B4">
        <w:rPr>
          <w:rFonts w:ascii="Times New Roman" w:hAnsi="Times New Roman" w:cs="Times New Roman"/>
        </w:rPr>
        <w:t xml:space="preserve"> Real Patronato sobre Discapacidad.</w:t>
      </w:r>
    </w:p>
    <w:p w14:paraId="5D6995E0" w14:textId="77777777" w:rsidR="00CF11F2" w:rsidRPr="008516B4" w:rsidRDefault="00CF11F2" w:rsidP="008516B4">
      <w:pPr>
        <w:spacing w:line="240" w:lineRule="auto"/>
        <w:jc w:val="both"/>
        <w:rPr>
          <w:rFonts w:ascii="Times New Roman" w:hAnsi="Times New Roman" w:cs="Times New Roman"/>
        </w:rPr>
      </w:pPr>
      <w:r w:rsidRPr="008516B4">
        <w:rPr>
          <w:rFonts w:ascii="Times New Roman" w:hAnsi="Times New Roman" w:cs="Times New Roman"/>
        </w:rPr>
        <w:t>Díaz Subieta, L. B. (2024). El uso de la inteligencia artificial en la investigación científica. </w:t>
      </w:r>
      <w:r w:rsidRPr="008516B4">
        <w:rPr>
          <w:rFonts w:ascii="Times New Roman" w:hAnsi="Times New Roman" w:cs="Times New Roman"/>
          <w:i/>
          <w:iCs/>
        </w:rPr>
        <w:t>Revista Historia de la Educación Latinoamericana</w:t>
      </w:r>
      <w:r w:rsidRPr="008516B4">
        <w:rPr>
          <w:rFonts w:ascii="Times New Roman" w:hAnsi="Times New Roman" w:cs="Times New Roman"/>
        </w:rPr>
        <w:t>, </w:t>
      </w:r>
      <w:r w:rsidRPr="008516B4">
        <w:rPr>
          <w:rFonts w:ascii="Times New Roman" w:hAnsi="Times New Roman" w:cs="Times New Roman"/>
          <w:i/>
          <w:iCs/>
        </w:rPr>
        <w:t>26</w:t>
      </w:r>
      <w:r w:rsidRPr="008516B4">
        <w:rPr>
          <w:rFonts w:ascii="Times New Roman" w:hAnsi="Times New Roman" w:cs="Times New Roman"/>
        </w:rPr>
        <w:t xml:space="preserve">(43), 253-272. </w:t>
      </w:r>
      <w:hyperlink r:id="rId16" w:history="1">
        <w:r w:rsidRPr="008516B4">
          <w:rPr>
            <w:rStyle w:val="Hipervnculo"/>
            <w:rFonts w:ascii="Times New Roman" w:hAnsi="Times New Roman" w:cs="Times New Roman"/>
          </w:rPr>
          <w:t>https://doi.org/10.19053/uptc.01227238.18014</w:t>
        </w:r>
      </w:hyperlink>
      <w:r w:rsidRPr="008516B4">
        <w:rPr>
          <w:rFonts w:ascii="Times New Roman" w:hAnsi="Times New Roman" w:cs="Times New Roman"/>
        </w:rPr>
        <w:t xml:space="preserve"> </w:t>
      </w:r>
    </w:p>
    <w:p w14:paraId="7FC3E141" w14:textId="77777777" w:rsidR="00F27BE7" w:rsidRPr="008516B4" w:rsidRDefault="00C0507C" w:rsidP="008516B4">
      <w:pPr>
        <w:spacing w:line="240" w:lineRule="auto"/>
        <w:jc w:val="both"/>
        <w:rPr>
          <w:rFonts w:ascii="Times New Roman" w:hAnsi="Times New Roman" w:cs="Times New Roman"/>
        </w:rPr>
      </w:pPr>
      <w:r w:rsidRPr="008516B4">
        <w:rPr>
          <w:rFonts w:ascii="Times New Roman" w:hAnsi="Times New Roman" w:cs="Times New Roman"/>
        </w:rPr>
        <w:lastRenderedPageBreak/>
        <w:t>Gutiérrez Goiria, J., y Herrera, A. F. (2021). ODS 8: El crecimiento económico y su difícil encaje en la Agenda 2030</w:t>
      </w:r>
      <w:r w:rsidRPr="008516B4">
        <w:rPr>
          <w:rFonts w:ascii="Times New Roman" w:hAnsi="Times New Roman" w:cs="Times New Roman"/>
          <w:i/>
          <w:iCs/>
        </w:rPr>
        <w:t>. Revista Internacional de Comunicación y Desarrollo (RICD)</w:t>
      </w:r>
      <w:r w:rsidRPr="008516B4">
        <w:rPr>
          <w:rFonts w:ascii="Times New Roman" w:hAnsi="Times New Roman" w:cs="Times New Roman"/>
        </w:rPr>
        <w:t xml:space="preserve">, 3(14), 52-66. </w:t>
      </w:r>
      <w:hyperlink r:id="rId17" w:history="1">
        <w:r w:rsidRPr="008516B4">
          <w:rPr>
            <w:rStyle w:val="Hipervnculo"/>
            <w:rFonts w:ascii="Times New Roman" w:hAnsi="Times New Roman" w:cs="Times New Roman"/>
          </w:rPr>
          <w:t>https://dialnet.unirioja.es/servlet/articulo?codigo=8029962</w:t>
        </w:r>
      </w:hyperlink>
      <w:r w:rsidRPr="008516B4">
        <w:rPr>
          <w:rFonts w:ascii="Times New Roman" w:hAnsi="Times New Roman" w:cs="Times New Roman"/>
        </w:rPr>
        <w:t xml:space="preserve"> </w:t>
      </w:r>
    </w:p>
    <w:p w14:paraId="7DFB6695" w14:textId="77777777" w:rsidR="007E1A5E" w:rsidRPr="008516B4" w:rsidRDefault="007E1A5E" w:rsidP="008516B4">
      <w:pPr>
        <w:spacing w:line="240" w:lineRule="auto"/>
        <w:jc w:val="both"/>
        <w:rPr>
          <w:rFonts w:ascii="Times New Roman" w:hAnsi="Times New Roman" w:cs="Times New Roman"/>
        </w:rPr>
      </w:pPr>
      <w:r w:rsidRPr="008516B4">
        <w:rPr>
          <w:rFonts w:ascii="Times New Roman" w:hAnsi="Times New Roman" w:cs="Times New Roman"/>
        </w:rPr>
        <w:t xml:space="preserve">López, A. B. (2015). Accesibilidad académica: un concepto en construcción. </w:t>
      </w:r>
      <w:r w:rsidRPr="008516B4">
        <w:rPr>
          <w:rFonts w:ascii="Times New Roman" w:hAnsi="Times New Roman" w:cs="Times New Roman"/>
          <w:i/>
          <w:iCs/>
        </w:rPr>
        <w:t>Formación virtual inclusiva y de calidad para el siglo XXI</w:t>
      </w:r>
      <w:r w:rsidRPr="008516B4">
        <w:rPr>
          <w:rFonts w:ascii="Times New Roman" w:hAnsi="Times New Roman" w:cs="Times New Roman"/>
        </w:rPr>
        <w:t>, 59-66.</w:t>
      </w:r>
    </w:p>
    <w:p w14:paraId="062CC12C" w14:textId="22F9D6C2" w:rsidR="007E1A5E" w:rsidRPr="008516B4" w:rsidRDefault="007E1A5E" w:rsidP="008516B4">
      <w:pPr>
        <w:spacing w:line="240" w:lineRule="auto"/>
        <w:jc w:val="both"/>
        <w:rPr>
          <w:rFonts w:ascii="Times New Roman" w:hAnsi="Times New Roman" w:cs="Times New Roman"/>
        </w:rPr>
      </w:pPr>
      <w:r w:rsidRPr="008516B4">
        <w:rPr>
          <w:rFonts w:ascii="Times New Roman" w:hAnsi="Times New Roman" w:cs="Times New Roman"/>
        </w:rPr>
        <w:t>López, A. B. (2018). Accesibilidad académica en la educación superior virtual. En Alvarenga, Elida Noemí (Comp.), Las mil caras de la Universidad (pp. 225-244). Buenos Aires: Dunken.</w:t>
      </w:r>
    </w:p>
    <w:p w14:paraId="1F8EC82E" w14:textId="05B376DE" w:rsidR="00F27BE7" w:rsidRPr="008516B4" w:rsidRDefault="00F27BE7" w:rsidP="008516B4">
      <w:pPr>
        <w:spacing w:line="240" w:lineRule="auto"/>
        <w:jc w:val="both"/>
        <w:rPr>
          <w:rFonts w:ascii="Times New Roman" w:hAnsi="Times New Roman" w:cs="Times New Roman"/>
        </w:rPr>
      </w:pPr>
      <w:r w:rsidRPr="008516B4">
        <w:rPr>
          <w:rFonts w:ascii="Times New Roman" w:hAnsi="Times New Roman" w:cs="Times New Roman"/>
          <w:lang w:val="es-AR"/>
        </w:rPr>
        <w:t xml:space="preserve">McPherson, M., Smith-Lovin, L. y Cook, J. (2001), </w:t>
      </w:r>
      <w:proofErr w:type="spellStart"/>
      <w:r w:rsidRPr="008516B4">
        <w:rPr>
          <w:rFonts w:ascii="Times New Roman" w:hAnsi="Times New Roman" w:cs="Times New Roman"/>
          <w:lang w:val="es-AR"/>
        </w:rPr>
        <w:t>Birds</w:t>
      </w:r>
      <w:proofErr w:type="spellEnd"/>
      <w:r w:rsidRPr="008516B4">
        <w:rPr>
          <w:rFonts w:ascii="Times New Roman" w:hAnsi="Times New Roman" w:cs="Times New Roman"/>
          <w:lang w:val="es-AR"/>
        </w:rPr>
        <w:t xml:space="preserve"> </w:t>
      </w:r>
      <w:proofErr w:type="spellStart"/>
      <w:r w:rsidRPr="008516B4">
        <w:rPr>
          <w:rFonts w:ascii="Times New Roman" w:hAnsi="Times New Roman" w:cs="Times New Roman"/>
          <w:lang w:val="es-AR"/>
        </w:rPr>
        <w:t>of</w:t>
      </w:r>
      <w:proofErr w:type="spellEnd"/>
      <w:r w:rsidRPr="008516B4">
        <w:rPr>
          <w:rFonts w:ascii="Times New Roman" w:hAnsi="Times New Roman" w:cs="Times New Roman"/>
          <w:lang w:val="es-AR"/>
        </w:rPr>
        <w:t xml:space="preserve"> a </w:t>
      </w:r>
      <w:proofErr w:type="spellStart"/>
      <w:r w:rsidRPr="008516B4">
        <w:rPr>
          <w:rFonts w:ascii="Times New Roman" w:hAnsi="Times New Roman" w:cs="Times New Roman"/>
          <w:lang w:val="es-AR"/>
        </w:rPr>
        <w:t>feather</w:t>
      </w:r>
      <w:proofErr w:type="spellEnd"/>
      <w:r w:rsidRPr="008516B4">
        <w:rPr>
          <w:rFonts w:ascii="Times New Roman" w:hAnsi="Times New Roman" w:cs="Times New Roman"/>
          <w:lang w:val="es-AR"/>
        </w:rPr>
        <w:t xml:space="preserve">: </w:t>
      </w:r>
      <w:proofErr w:type="spellStart"/>
      <w:r w:rsidRPr="008516B4">
        <w:rPr>
          <w:rFonts w:ascii="Times New Roman" w:hAnsi="Times New Roman" w:cs="Times New Roman"/>
          <w:lang w:val="es-AR"/>
        </w:rPr>
        <w:t>homophily</w:t>
      </w:r>
      <w:proofErr w:type="spellEnd"/>
      <w:r w:rsidRPr="008516B4">
        <w:rPr>
          <w:rFonts w:ascii="Times New Roman" w:hAnsi="Times New Roman" w:cs="Times New Roman"/>
          <w:lang w:val="es-AR"/>
        </w:rPr>
        <w:t xml:space="preserve"> </w:t>
      </w:r>
      <w:proofErr w:type="gramStart"/>
      <w:r w:rsidRPr="008516B4">
        <w:rPr>
          <w:rFonts w:ascii="Times New Roman" w:hAnsi="Times New Roman" w:cs="Times New Roman"/>
          <w:lang w:val="es-AR"/>
        </w:rPr>
        <w:t>in social</w:t>
      </w:r>
      <w:proofErr w:type="gramEnd"/>
      <w:r w:rsidRPr="008516B4">
        <w:rPr>
          <w:rFonts w:ascii="Times New Roman" w:hAnsi="Times New Roman" w:cs="Times New Roman"/>
          <w:lang w:val="es-AR"/>
        </w:rPr>
        <w:t xml:space="preserve"> </w:t>
      </w:r>
      <w:proofErr w:type="spellStart"/>
      <w:r w:rsidRPr="008516B4">
        <w:rPr>
          <w:rFonts w:ascii="Times New Roman" w:hAnsi="Times New Roman" w:cs="Times New Roman"/>
          <w:lang w:val="es-AR"/>
        </w:rPr>
        <w:t>networks</w:t>
      </w:r>
      <w:proofErr w:type="spellEnd"/>
      <w:r w:rsidRPr="008516B4">
        <w:rPr>
          <w:rFonts w:ascii="Times New Roman" w:hAnsi="Times New Roman" w:cs="Times New Roman"/>
          <w:lang w:val="es-AR"/>
        </w:rPr>
        <w:t xml:space="preserve">, </w:t>
      </w:r>
      <w:proofErr w:type="spellStart"/>
      <w:r w:rsidRPr="008516B4">
        <w:rPr>
          <w:rFonts w:ascii="Times New Roman" w:hAnsi="Times New Roman" w:cs="Times New Roman"/>
          <w:i/>
          <w:iCs/>
          <w:lang w:val="es-AR"/>
        </w:rPr>
        <w:t>Annual</w:t>
      </w:r>
      <w:proofErr w:type="spellEnd"/>
      <w:r w:rsidRPr="008516B4">
        <w:rPr>
          <w:rFonts w:ascii="Times New Roman" w:hAnsi="Times New Roman" w:cs="Times New Roman"/>
          <w:i/>
          <w:iCs/>
          <w:lang w:val="es-AR"/>
        </w:rPr>
        <w:t xml:space="preserve"> </w:t>
      </w:r>
      <w:proofErr w:type="spellStart"/>
      <w:r w:rsidRPr="008516B4">
        <w:rPr>
          <w:rFonts w:ascii="Times New Roman" w:hAnsi="Times New Roman" w:cs="Times New Roman"/>
          <w:i/>
          <w:iCs/>
          <w:lang w:val="es-AR"/>
        </w:rPr>
        <w:t>Review</w:t>
      </w:r>
      <w:proofErr w:type="spellEnd"/>
      <w:r w:rsidRPr="008516B4">
        <w:rPr>
          <w:rFonts w:ascii="Times New Roman" w:hAnsi="Times New Roman" w:cs="Times New Roman"/>
          <w:i/>
          <w:iCs/>
          <w:lang w:val="es-AR"/>
        </w:rPr>
        <w:t xml:space="preserve"> </w:t>
      </w:r>
      <w:proofErr w:type="spellStart"/>
      <w:r w:rsidRPr="008516B4">
        <w:rPr>
          <w:rFonts w:ascii="Times New Roman" w:hAnsi="Times New Roman" w:cs="Times New Roman"/>
          <w:i/>
          <w:iCs/>
          <w:lang w:val="es-AR"/>
        </w:rPr>
        <w:t>of</w:t>
      </w:r>
      <w:proofErr w:type="spellEnd"/>
      <w:r w:rsidRPr="008516B4">
        <w:rPr>
          <w:rFonts w:ascii="Times New Roman" w:hAnsi="Times New Roman" w:cs="Times New Roman"/>
          <w:i/>
          <w:iCs/>
          <w:lang w:val="es-AR"/>
        </w:rPr>
        <w:t xml:space="preserve"> </w:t>
      </w:r>
      <w:proofErr w:type="spellStart"/>
      <w:r w:rsidRPr="008516B4">
        <w:rPr>
          <w:rFonts w:ascii="Times New Roman" w:hAnsi="Times New Roman" w:cs="Times New Roman"/>
          <w:i/>
          <w:iCs/>
          <w:lang w:val="es-AR"/>
        </w:rPr>
        <w:t>Sociology</w:t>
      </w:r>
      <w:proofErr w:type="spellEnd"/>
      <w:r w:rsidRPr="008516B4">
        <w:rPr>
          <w:rFonts w:ascii="Times New Roman" w:hAnsi="Times New Roman" w:cs="Times New Roman"/>
          <w:lang w:val="es-AR"/>
        </w:rPr>
        <w:t xml:space="preserve">, 27, 415-444. </w:t>
      </w:r>
    </w:p>
    <w:p w14:paraId="24366C89" w14:textId="364E1C68" w:rsidR="00F27BE7" w:rsidRPr="008516B4" w:rsidRDefault="00F27BE7" w:rsidP="008516B4">
      <w:pPr>
        <w:spacing w:line="240" w:lineRule="auto"/>
        <w:jc w:val="both"/>
        <w:rPr>
          <w:rFonts w:ascii="Times New Roman" w:hAnsi="Times New Roman" w:cs="Times New Roman"/>
        </w:rPr>
      </w:pPr>
      <w:r w:rsidRPr="008516B4">
        <w:rPr>
          <w:rFonts w:ascii="Times New Roman" w:hAnsi="Times New Roman" w:cs="Times New Roman"/>
          <w:lang w:val="es-AR"/>
        </w:rPr>
        <w:t xml:space="preserve">Organización de las Naciones Unidas (2015). </w:t>
      </w:r>
      <w:r w:rsidRPr="008516B4">
        <w:rPr>
          <w:rFonts w:ascii="Times New Roman" w:hAnsi="Times New Roman" w:cs="Times New Roman"/>
          <w:i/>
          <w:iCs/>
          <w:lang w:val="es-AR"/>
        </w:rPr>
        <w:t>Transformar nuestro mundo: la Agenda 2030 para el Desarrollo Sostenible</w:t>
      </w:r>
      <w:r w:rsidRPr="008516B4">
        <w:rPr>
          <w:rFonts w:ascii="Times New Roman" w:hAnsi="Times New Roman" w:cs="Times New Roman"/>
          <w:lang w:val="es-AR"/>
        </w:rPr>
        <w:t xml:space="preserve"> [Resolución aprobada por la Asamblea General]. </w:t>
      </w:r>
      <w:hyperlink r:id="rId18" w:tgtFrame="_blank" w:history="1">
        <w:r w:rsidRPr="008516B4">
          <w:rPr>
            <w:rStyle w:val="Hipervnculo"/>
            <w:rFonts w:ascii="Times New Roman" w:hAnsi="Times New Roman" w:cs="Times New Roman"/>
            <w:lang w:val="es-AR"/>
          </w:rPr>
          <w:t>Agenda 2030</w:t>
        </w:r>
      </w:hyperlink>
    </w:p>
    <w:p w14:paraId="13E022DD" w14:textId="18A62EE9" w:rsidR="00527504" w:rsidRPr="008516B4" w:rsidRDefault="00527504" w:rsidP="008516B4">
      <w:pPr>
        <w:spacing w:line="240" w:lineRule="auto"/>
        <w:jc w:val="both"/>
        <w:rPr>
          <w:rFonts w:ascii="Times New Roman" w:hAnsi="Times New Roman" w:cs="Times New Roman"/>
        </w:rPr>
      </w:pPr>
      <w:r w:rsidRPr="008516B4">
        <w:rPr>
          <w:rFonts w:ascii="Times New Roman" w:hAnsi="Times New Roman" w:cs="Times New Roman"/>
        </w:rPr>
        <w:t xml:space="preserve">Osorio Villegas, M. (2017). </w:t>
      </w:r>
      <w:r w:rsidRPr="008516B4">
        <w:rPr>
          <w:rFonts w:ascii="Times New Roman" w:hAnsi="Times New Roman" w:cs="Times New Roman"/>
          <w:i/>
          <w:iCs/>
        </w:rPr>
        <w:t>El currículo: perspectivas para acercarnos a su comprensión</w:t>
      </w:r>
      <w:r w:rsidRPr="008516B4">
        <w:rPr>
          <w:rFonts w:ascii="Times New Roman" w:hAnsi="Times New Roman" w:cs="Times New Roman"/>
        </w:rPr>
        <w:t xml:space="preserve">. Zona Próxima, (26), 140–151. </w:t>
      </w:r>
      <w:hyperlink r:id="rId19" w:history="1">
        <w:r w:rsidRPr="008516B4">
          <w:rPr>
            <w:rStyle w:val="Hipervnculo"/>
            <w:rFonts w:ascii="Times New Roman" w:hAnsi="Times New Roman" w:cs="Times New Roman"/>
          </w:rPr>
          <w:t>https://www.redalyc.org/pdf/853/85352029009.pdf</w:t>
        </w:r>
      </w:hyperlink>
    </w:p>
    <w:p w14:paraId="3C06526F" w14:textId="25419425" w:rsidR="00417A38" w:rsidRPr="008516B4" w:rsidRDefault="00417A38" w:rsidP="008516B4">
      <w:pPr>
        <w:spacing w:line="240" w:lineRule="auto"/>
        <w:jc w:val="both"/>
        <w:rPr>
          <w:rFonts w:ascii="Times New Roman" w:hAnsi="Times New Roman" w:cs="Times New Roman"/>
        </w:rPr>
      </w:pPr>
      <w:r w:rsidRPr="008516B4">
        <w:rPr>
          <w:rFonts w:ascii="Times New Roman" w:hAnsi="Times New Roman" w:cs="Times New Roman"/>
        </w:rPr>
        <w:t>Peralta</w:t>
      </w:r>
      <w:r w:rsidRPr="008516B4">
        <w:rPr>
          <w:rFonts w:ascii="Times New Roman" w:hAnsi="Times New Roman" w:cs="Times New Roman"/>
        </w:rPr>
        <w:t xml:space="preserve"> Morales</w:t>
      </w:r>
      <w:r w:rsidRPr="008516B4">
        <w:rPr>
          <w:rFonts w:ascii="Times New Roman" w:hAnsi="Times New Roman" w:cs="Times New Roman"/>
        </w:rPr>
        <w:t>, A. (2007). El libro blanco sobre universidad y accesibilidad. </w:t>
      </w:r>
      <w:r w:rsidRPr="008516B4">
        <w:rPr>
          <w:rFonts w:ascii="Times New Roman" w:hAnsi="Times New Roman" w:cs="Times New Roman"/>
          <w:i/>
          <w:iCs/>
        </w:rPr>
        <w:t>Real Patronato sobre Discapacidad</w:t>
      </w:r>
      <w:r w:rsidRPr="008516B4">
        <w:rPr>
          <w:rFonts w:ascii="Times New Roman" w:hAnsi="Times New Roman" w:cs="Times New Roman"/>
        </w:rPr>
        <w:t>.</w:t>
      </w:r>
    </w:p>
    <w:p w14:paraId="799C1FC9" w14:textId="77777777" w:rsidR="00667F32" w:rsidRPr="008516B4" w:rsidRDefault="00667F32" w:rsidP="008516B4">
      <w:pPr>
        <w:spacing w:line="240" w:lineRule="auto"/>
        <w:jc w:val="both"/>
        <w:rPr>
          <w:rFonts w:ascii="Times New Roman" w:hAnsi="Times New Roman" w:cs="Times New Roman"/>
        </w:rPr>
      </w:pPr>
      <w:r w:rsidRPr="008516B4">
        <w:rPr>
          <w:rFonts w:ascii="Times New Roman" w:hAnsi="Times New Roman" w:cs="Times New Roman"/>
        </w:rPr>
        <w:t>Reyna Lara, M. (2023). La importancia de las becas como una política pública en el desarrollo de la Educación. </w:t>
      </w:r>
      <w:r w:rsidRPr="008516B4">
        <w:rPr>
          <w:rFonts w:ascii="Times New Roman" w:hAnsi="Times New Roman" w:cs="Times New Roman"/>
          <w:i/>
          <w:iCs/>
        </w:rPr>
        <w:t>Revista CIEG</w:t>
      </w:r>
      <w:r w:rsidRPr="008516B4">
        <w:rPr>
          <w:rFonts w:ascii="Times New Roman" w:hAnsi="Times New Roman" w:cs="Times New Roman"/>
        </w:rPr>
        <w:t>, </w:t>
      </w:r>
      <w:r w:rsidRPr="008516B4">
        <w:rPr>
          <w:rFonts w:ascii="Times New Roman" w:hAnsi="Times New Roman" w:cs="Times New Roman"/>
          <w:i/>
          <w:iCs/>
        </w:rPr>
        <w:t>62</w:t>
      </w:r>
      <w:r w:rsidRPr="008516B4">
        <w:rPr>
          <w:rFonts w:ascii="Times New Roman" w:hAnsi="Times New Roman" w:cs="Times New Roman"/>
        </w:rPr>
        <w:t xml:space="preserve">, 1-11. </w:t>
      </w:r>
    </w:p>
    <w:p w14:paraId="5C13D017" w14:textId="3373A739" w:rsidR="002D1248" w:rsidRPr="008516B4" w:rsidRDefault="002D1248" w:rsidP="008516B4">
      <w:pPr>
        <w:spacing w:line="240" w:lineRule="auto"/>
        <w:jc w:val="both"/>
        <w:rPr>
          <w:rFonts w:ascii="Times New Roman" w:hAnsi="Times New Roman" w:cs="Times New Roman"/>
        </w:rPr>
      </w:pPr>
      <w:r w:rsidRPr="008516B4">
        <w:rPr>
          <w:rFonts w:ascii="Times New Roman" w:hAnsi="Times New Roman" w:cs="Times New Roman"/>
        </w:rPr>
        <w:t xml:space="preserve">Solorzano Salas, M. J. (2013). Espacios accesibles en la escuela inclusiva. Revista electrónica EDUCARE, 17(1), </w:t>
      </w:r>
      <w:hyperlink r:id="rId20" w:history="1">
        <w:r w:rsidRPr="008516B4">
          <w:rPr>
            <w:rStyle w:val="Hipervnculo"/>
            <w:rFonts w:ascii="Times New Roman" w:hAnsi="Times New Roman" w:cs="Times New Roman"/>
          </w:rPr>
          <w:t>https://www.scielo.sa.cr/pdf/ree/v17n1/a06v17n1</w:t>
        </w:r>
      </w:hyperlink>
      <w:r w:rsidRPr="008516B4">
        <w:rPr>
          <w:rFonts w:ascii="Times New Roman" w:hAnsi="Times New Roman" w:cs="Times New Roman"/>
        </w:rPr>
        <w:t xml:space="preserve"> </w:t>
      </w:r>
    </w:p>
    <w:p w14:paraId="422C6822" w14:textId="77777777" w:rsidR="002D1248" w:rsidRDefault="002D1248" w:rsidP="00667F32">
      <w:pPr>
        <w:ind w:left="709" w:hanging="709"/>
      </w:pPr>
    </w:p>
    <w:p w14:paraId="22142354" w14:textId="77777777" w:rsidR="00667F32" w:rsidRPr="00FC3CFB" w:rsidRDefault="00667F32" w:rsidP="00FC3CFB">
      <w:pPr>
        <w:spacing w:line="240" w:lineRule="auto"/>
        <w:jc w:val="both"/>
        <w:rPr>
          <w:rFonts w:ascii="Times New Roman" w:hAnsi="Times New Roman" w:cs="Times New Roman"/>
          <w:lang w:val="es-AR"/>
        </w:rPr>
      </w:pPr>
    </w:p>
    <w:p w14:paraId="7E83515B" w14:textId="1EDA5333"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21"/>
      <w:footerReference w:type="default" r:id="rId2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0AA36" w14:textId="77777777" w:rsidR="00A371AA" w:rsidRPr="00BA642E" w:rsidRDefault="00A371AA" w:rsidP="00C802F5">
      <w:pPr>
        <w:spacing w:after="0" w:line="240" w:lineRule="auto"/>
      </w:pPr>
      <w:r w:rsidRPr="00BA642E">
        <w:separator/>
      </w:r>
    </w:p>
  </w:endnote>
  <w:endnote w:type="continuationSeparator" w:id="0">
    <w:p w14:paraId="72473BD0" w14:textId="77777777" w:rsidR="00A371AA" w:rsidRPr="00BA642E" w:rsidRDefault="00A371A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0543E" w14:textId="77777777" w:rsidR="00A371AA" w:rsidRPr="00BA642E" w:rsidRDefault="00A371AA" w:rsidP="00C802F5">
      <w:pPr>
        <w:spacing w:after="0" w:line="240" w:lineRule="auto"/>
      </w:pPr>
      <w:r w:rsidRPr="00BA642E">
        <w:separator/>
      </w:r>
    </w:p>
  </w:footnote>
  <w:footnote w:type="continuationSeparator" w:id="0">
    <w:p w14:paraId="48DBF718" w14:textId="77777777" w:rsidR="00A371AA" w:rsidRPr="00BA642E" w:rsidRDefault="00A371AA"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59D"/>
    <w:multiLevelType w:val="hybridMultilevel"/>
    <w:tmpl w:val="D02A80B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B585A64"/>
    <w:multiLevelType w:val="hybridMultilevel"/>
    <w:tmpl w:val="18C6D3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B992383"/>
    <w:multiLevelType w:val="hybridMultilevel"/>
    <w:tmpl w:val="479A5D0A"/>
    <w:lvl w:ilvl="0" w:tplc="B6382906">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15:restartNumberingAfterBreak="0">
    <w:nsid w:val="110A54FA"/>
    <w:multiLevelType w:val="hybridMultilevel"/>
    <w:tmpl w:val="F07C863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52C5DEC"/>
    <w:multiLevelType w:val="hybridMultilevel"/>
    <w:tmpl w:val="766C6E9C"/>
    <w:lvl w:ilvl="0" w:tplc="1EAAA988">
      <w:start w:val="1"/>
      <w:numFmt w:val="low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5" w15:restartNumberingAfterBreak="0">
    <w:nsid w:val="7BB05E46"/>
    <w:multiLevelType w:val="hybridMultilevel"/>
    <w:tmpl w:val="21A6420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129393787">
    <w:abstractNumId w:val="0"/>
  </w:num>
  <w:num w:numId="2" w16cid:durableId="829322097">
    <w:abstractNumId w:val="4"/>
  </w:num>
  <w:num w:numId="3" w16cid:durableId="1995261342">
    <w:abstractNumId w:val="3"/>
  </w:num>
  <w:num w:numId="4" w16cid:durableId="923758504">
    <w:abstractNumId w:val="2"/>
  </w:num>
  <w:num w:numId="5" w16cid:durableId="875239929">
    <w:abstractNumId w:val="1"/>
  </w:num>
  <w:num w:numId="6" w16cid:durableId="1671516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6788"/>
    <w:rsid w:val="000658DB"/>
    <w:rsid w:val="00111D1C"/>
    <w:rsid w:val="001646B2"/>
    <w:rsid w:val="001816D6"/>
    <w:rsid w:val="00185F5E"/>
    <w:rsid w:val="00191561"/>
    <w:rsid w:val="001923DC"/>
    <w:rsid w:val="001C26A5"/>
    <w:rsid w:val="002327C3"/>
    <w:rsid w:val="002C0A3D"/>
    <w:rsid w:val="002D1248"/>
    <w:rsid w:val="00305556"/>
    <w:rsid w:val="00312392"/>
    <w:rsid w:val="00320698"/>
    <w:rsid w:val="00386F4C"/>
    <w:rsid w:val="003D6240"/>
    <w:rsid w:val="004040C0"/>
    <w:rsid w:val="0040482C"/>
    <w:rsid w:val="00410EE2"/>
    <w:rsid w:val="00417A38"/>
    <w:rsid w:val="004227F0"/>
    <w:rsid w:val="00437E9C"/>
    <w:rsid w:val="004422E0"/>
    <w:rsid w:val="004A595B"/>
    <w:rsid w:val="00527504"/>
    <w:rsid w:val="00550766"/>
    <w:rsid w:val="0058590B"/>
    <w:rsid w:val="0059475B"/>
    <w:rsid w:val="005A14CA"/>
    <w:rsid w:val="005F3B2E"/>
    <w:rsid w:val="00627B6C"/>
    <w:rsid w:val="00667F32"/>
    <w:rsid w:val="00691E44"/>
    <w:rsid w:val="00701F64"/>
    <w:rsid w:val="00720F5E"/>
    <w:rsid w:val="00724175"/>
    <w:rsid w:val="00740ED0"/>
    <w:rsid w:val="0077063B"/>
    <w:rsid w:val="007810D5"/>
    <w:rsid w:val="007B5B5F"/>
    <w:rsid w:val="007D233B"/>
    <w:rsid w:val="007D4AB5"/>
    <w:rsid w:val="007E1A5E"/>
    <w:rsid w:val="00804BED"/>
    <w:rsid w:val="00813F5F"/>
    <w:rsid w:val="00834CC2"/>
    <w:rsid w:val="00837600"/>
    <w:rsid w:val="0085070B"/>
    <w:rsid w:val="008516B4"/>
    <w:rsid w:val="008565E4"/>
    <w:rsid w:val="00864631"/>
    <w:rsid w:val="00876018"/>
    <w:rsid w:val="008F162D"/>
    <w:rsid w:val="00963F59"/>
    <w:rsid w:val="009C00A6"/>
    <w:rsid w:val="00A1139F"/>
    <w:rsid w:val="00A17247"/>
    <w:rsid w:val="00A1777D"/>
    <w:rsid w:val="00A371AA"/>
    <w:rsid w:val="00A610DF"/>
    <w:rsid w:val="00AA2328"/>
    <w:rsid w:val="00AB7015"/>
    <w:rsid w:val="00AC420F"/>
    <w:rsid w:val="00AC57BA"/>
    <w:rsid w:val="00B064DE"/>
    <w:rsid w:val="00B15882"/>
    <w:rsid w:val="00B217E9"/>
    <w:rsid w:val="00B412B2"/>
    <w:rsid w:val="00B52446"/>
    <w:rsid w:val="00B85DBF"/>
    <w:rsid w:val="00BA642E"/>
    <w:rsid w:val="00BC236F"/>
    <w:rsid w:val="00BC5C24"/>
    <w:rsid w:val="00BD20A6"/>
    <w:rsid w:val="00BE215C"/>
    <w:rsid w:val="00BF4816"/>
    <w:rsid w:val="00C0507C"/>
    <w:rsid w:val="00C14A20"/>
    <w:rsid w:val="00C50CC7"/>
    <w:rsid w:val="00C67B49"/>
    <w:rsid w:val="00C802F5"/>
    <w:rsid w:val="00C96B2C"/>
    <w:rsid w:val="00CB1285"/>
    <w:rsid w:val="00CC04C1"/>
    <w:rsid w:val="00CE2131"/>
    <w:rsid w:val="00CF10B8"/>
    <w:rsid w:val="00CF11F2"/>
    <w:rsid w:val="00D843EC"/>
    <w:rsid w:val="00D84457"/>
    <w:rsid w:val="00DA4005"/>
    <w:rsid w:val="00DB4DFE"/>
    <w:rsid w:val="00DE3286"/>
    <w:rsid w:val="00E12346"/>
    <w:rsid w:val="00E228A5"/>
    <w:rsid w:val="00E62905"/>
    <w:rsid w:val="00E77037"/>
    <w:rsid w:val="00E917AC"/>
    <w:rsid w:val="00E93BDD"/>
    <w:rsid w:val="00EA1B58"/>
    <w:rsid w:val="00EA3D2F"/>
    <w:rsid w:val="00EB1C9E"/>
    <w:rsid w:val="00ED1ACB"/>
    <w:rsid w:val="00EF0CB7"/>
    <w:rsid w:val="00EF5F0B"/>
    <w:rsid w:val="00EF6B1B"/>
    <w:rsid w:val="00F17D28"/>
    <w:rsid w:val="00F27BE7"/>
    <w:rsid w:val="00F95D16"/>
    <w:rsid w:val="00FA72C4"/>
    <w:rsid w:val="00FC3CFB"/>
    <w:rsid w:val="00FF49D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5A14C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redalyc.org/pdf/364/36448438007.pdf" TargetMode="External"/><Relationship Id="rId18" Type="http://schemas.openxmlformats.org/officeDocument/2006/relationships/hyperlink" Target="https://www.un.org/sustainabledevelopment/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franco.finocchiaro@uns.edu.ar" TargetMode="External"/><Relationship Id="rId12" Type="http://schemas.microsoft.com/office/2007/relationships/diagramDrawing" Target="diagrams/drawing1.xml"/><Relationship Id="rId17" Type="http://schemas.openxmlformats.org/officeDocument/2006/relationships/hyperlink" Target="https://dialnet.unirioja.es/servlet/articulo?codigo=8029962" TargetMode="External"/><Relationship Id="rId2" Type="http://schemas.openxmlformats.org/officeDocument/2006/relationships/styles" Target="styles.xml"/><Relationship Id="rId16" Type="http://schemas.openxmlformats.org/officeDocument/2006/relationships/hyperlink" Target="https://doi.org/10.19053/uptc.01227238.18014" TargetMode="External"/><Relationship Id="rId20" Type="http://schemas.openxmlformats.org/officeDocument/2006/relationships/hyperlink" Target="https://www.scielo.sa.cr/pdf/ree/v17n1/a06v17n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25074/07195532.15.378" TargetMode="Externa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www.redalyc.org/pdf/853/85352029009.pdf" TargetMode="Externa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doi.org/10.29101/crcs.v27i82.11120"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C38F3B-484B-43C5-BD3D-DD25B2ED4C38}" type="doc">
      <dgm:prSet loTypeId="urn:microsoft.com/office/officeart/2005/8/layout/chevron1" loCatId="process" qsTypeId="urn:microsoft.com/office/officeart/2005/8/quickstyle/simple1" qsCatId="simple" csTypeId="urn:microsoft.com/office/officeart/2005/8/colors/accent1_2" csCatId="accent1" phldr="1"/>
      <dgm:spPr/>
    </dgm:pt>
    <dgm:pt modelId="{2E6B05BC-B771-4367-800E-04FD8620723C}">
      <dgm:prSet phldrT="[Texto]"/>
      <dgm:spPr/>
      <dgm:t>
        <a:bodyPr/>
        <a:lstStyle/>
        <a:p>
          <a:r>
            <a:rPr lang="es-AR"/>
            <a:t>Acceso y contacto inicial</a:t>
          </a:r>
        </a:p>
      </dgm:t>
    </dgm:pt>
    <dgm:pt modelId="{4783B45F-7118-4F8D-BBAE-E64CFB3A56AD}" type="parTrans" cxnId="{9FF25F9B-018E-4AD4-8257-F78A76944F86}">
      <dgm:prSet/>
      <dgm:spPr/>
      <dgm:t>
        <a:bodyPr/>
        <a:lstStyle/>
        <a:p>
          <a:endParaRPr lang="es-AR"/>
        </a:p>
      </dgm:t>
    </dgm:pt>
    <dgm:pt modelId="{E57F0360-B7DD-4878-A55B-8D42DC593F25}" type="sibTrans" cxnId="{9FF25F9B-018E-4AD4-8257-F78A76944F86}">
      <dgm:prSet/>
      <dgm:spPr/>
      <dgm:t>
        <a:bodyPr/>
        <a:lstStyle/>
        <a:p>
          <a:endParaRPr lang="es-AR"/>
        </a:p>
      </dgm:t>
    </dgm:pt>
    <dgm:pt modelId="{3D6B8C17-BB26-42E0-9406-EC96004257BE}">
      <dgm:prSet phldrT="[Texto]"/>
      <dgm:spPr/>
      <dgm:t>
        <a:bodyPr/>
        <a:lstStyle/>
        <a:p>
          <a:r>
            <a:rPr lang="es-AR"/>
            <a:t>Seguimiento de trayectoria educativa</a:t>
          </a:r>
        </a:p>
      </dgm:t>
    </dgm:pt>
    <dgm:pt modelId="{BABD5569-794D-4920-9122-19B798D482CC}" type="parTrans" cxnId="{89BC1560-3C37-4DE6-98DC-11511ABD2C98}">
      <dgm:prSet/>
      <dgm:spPr/>
      <dgm:t>
        <a:bodyPr/>
        <a:lstStyle/>
        <a:p>
          <a:endParaRPr lang="es-AR"/>
        </a:p>
      </dgm:t>
    </dgm:pt>
    <dgm:pt modelId="{740CC6AD-9B04-4C7E-B0C4-6A2323B7741B}" type="sibTrans" cxnId="{89BC1560-3C37-4DE6-98DC-11511ABD2C98}">
      <dgm:prSet/>
      <dgm:spPr/>
      <dgm:t>
        <a:bodyPr/>
        <a:lstStyle/>
        <a:p>
          <a:endParaRPr lang="es-AR"/>
        </a:p>
      </dgm:t>
    </dgm:pt>
    <dgm:pt modelId="{60096D28-4D91-4C86-BDB9-76289FE95F57}">
      <dgm:prSet phldrT="[Texto]"/>
      <dgm:spPr/>
      <dgm:t>
        <a:bodyPr/>
        <a:lstStyle/>
        <a:p>
          <a:r>
            <a:rPr lang="es-AR"/>
            <a:t>Transición al empleo</a:t>
          </a:r>
        </a:p>
      </dgm:t>
    </dgm:pt>
    <dgm:pt modelId="{78671066-FE0B-44F5-835A-541BFC79F77A}" type="parTrans" cxnId="{C45F81C8-B550-4C60-BA4D-B89815FE1905}">
      <dgm:prSet/>
      <dgm:spPr/>
      <dgm:t>
        <a:bodyPr/>
        <a:lstStyle/>
        <a:p>
          <a:endParaRPr lang="es-AR"/>
        </a:p>
      </dgm:t>
    </dgm:pt>
    <dgm:pt modelId="{20188E65-C413-4A10-9D87-BA583C05825A}" type="sibTrans" cxnId="{C45F81C8-B550-4C60-BA4D-B89815FE1905}">
      <dgm:prSet/>
      <dgm:spPr/>
      <dgm:t>
        <a:bodyPr/>
        <a:lstStyle/>
        <a:p>
          <a:endParaRPr lang="es-AR"/>
        </a:p>
      </dgm:t>
    </dgm:pt>
    <dgm:pt modelId="{9A32FD64-8705-453C-B2A6-9C5EDC900B24}" type="pres">
      <dgm:prSet presAssocID="{FAC38F3B-484B-43C5-BD3D-DD25B2ED4C38}" presName="Name0" presStyleCnt="0">
        <dgm:presLayoutVars>
          <dgm:dir/>
          <dgm:animLvl val="lvl"/>
          <dgm:resizeHandles val="exact"/>
        </dgm:presLayoutVars>
      </dgm:prSet>
      <dgm:spPr/>
    </dgm:pt>
    <dgm:pt modelId="{62200ADB-EBC2-4417-9D3F-AC97A0A3B7CF}" type="pres">
      <dgm:prSet presAssocID="{2E6B05BC-B771-4367-800E-04FD8620723C}" presName="parTxOnly" presStyleLbl="node1" presStyleIdx="0" presStyleCnt="3">
        <dgm:presLayoutVars>
          <dgm:chMax val="0"/>
          <dgm:chPref val="0"/>
          <dgm:bulletEnabled val="1"/>
        </dgm:presLayoutVars>
      </dgm:prSet>
      <dgm:spPr/>
    </dgm:pt>
    <dgm:pt modelId="{6639B589-5557-42EE-AAD9-AD71D404C493}" type="pres">
      <dgm:prSet presAssocID="{E57F0360-B7DD-4878-A55B-8D42DC593F25}" presName="parTxOnlySpace" presStyleCnt="0"/>
      <dgm:spPr/>
    </dgm:pt>
    <dgm:pt modelId="{C51C4E35-05AB-4C78-9DE9-2220F827401E}" type="pres">
      <dgm:prSet presAssocID="{3D6B8C17-BB26-42E0-9406-EC96004257BE}" presName="parTxOnly" presStyleLbl="node1" presStyleIdx="1" presStyleCnt="3">
        <dgm:presLayoutVars>
          <dgm:chMax val="0"/>
          <dgm:chPref val="0"/>
          <dgm:bulletEnabled val="1"/>
        </dgm:presLayoutVars>
      </dgm:prSet>
      <dgm:spPr/>
    </dgm:pt>
    <dgm:pt modelId="{85AF05BC-DE13-4009-A133-C45DA1817753}" type="pres">
      <dgm:prSet presAssocID="{740CC6AD-9B04-4C7E-B0C4-6A2323B7741B}" presName="parTxOnlySpace" presStyleCnt="0"/>
      <dgm:spPr/>
    </dgm:pt>
    <dgm:pt modelId="{6819C635-F315-4325-BBEB-65B74B0E308F}" type="pres">
      <dgm:prSet presAssocID="{60096D28-4D91-4C86-BDB9-76289FE95F57}" presName="parTxOnly" presStyleLbl="node1" presStyleIdx="2" presStyleCnt="3">
        <dgm:presLayoutVars>
          <dgm:chMax val="0"/>
          <dgm:chPref val="0"/>
          <dgm:bulletEnabled val="1"/>
        </dgm:presLayoutVars>
      </dgm:prSet>
      <dgm:spPr/>
    </dgm:pt>
  </dgm:ptLst>
  <dgm:cxnLst>
    <dgm:cxn modelId="{2A83960D-D423-4F92-B64E-6782E5F67C70}" type="presOf" srcId="{FAC38F3B-484B-43C5-BD3D-DD25B2ED4C38}" destId="{9A32FD64-8705-453C-B2A6-9C5EDC900B24}" srcOrd="0" destOrd="0" presId="urn:microsoft.com/office/officeart/2005/8/layout/chevron1"/>
    <dgm:cxn modelId="{D763482E-AEEB-4091-A111-6BAC068A19E8}" type="presOf" srcId="{60096D28-4D91-4C86-BDB9-76289FE95F57}" destId="{6819C635-F315-4325-BBEB-65B74B0E308F}" srcOrd="0" destOrd="0" presId="urn:microsoft.com/office/officeart/2005/8/layout/chevron1"/>
    <dgm:cxn modelId="{775B7435-B562-4EB7-A894-2E0E9274C17A}" type="presOf" srcId="{2E6B05BC-B771-4367-800E-04FD8620723C}" destId="{62200ADB-EBC2-4417-9D3F-AC97A0A3B7CF}" srcOrd="0" destOrd="0" presId="urn:microsoft.com/office/officeart/2005/8/layout/chevron1"/>
    <dgm:cxn modelId="{89BC1560-3C37-4DE6-98DC-11511ABD2C98}" srcId="{FAC38F3B-484B-43C5-BD3D-DD25B2ED4C38}" destId="{3D6B8C17-BB26-42E0-9406-EC96004257BE}" srcOrd="1" destOrd="0" parTransId="{BABD5569-794D-4920-9122-19B798D482CC}" sibTransId="{740CC6AD-9B04-4C7E-B0C4-6A2323B7741B}"/>
    <dgm:cxn modelId="{27EDEB7D-0CF4-4080-81FA-395735D6CAA6}" type="presOf" srcId="{3D6B8C17-BB26-42E0-9406-EC96004257BE}" destId="{C51C4E35-05AB-4C78-9DE9-2220F827401E}" srcOrd="0" destOrd="0" presId="urn:microsoft.com/office/officeart/2005/8/layout/chevron1"/>
    <dgm:cxn modelId="{9FF25F9B-018E-4AD4-8257-F78A76944F86}" srcId="{FAC38F3B-484B-43C5-BD3D-DD25B2ED4C38}" destId="{2E6B05BC-B771-4367-800E-04FD8620723C}" srcOrd="0" destOrd="0" parTransId="{4783B45F-7118-4F8D-BBAE-E64CFB3A56AD}" sibTransId="{E57F0360-B7DD-4878-A55B-8D42DC593F25}"/>
    <dgm:cxn modelId="{C45F81C8-B550-4C60-BA4D-B89815FE1905}" srcId="{FAC38F3B-484B-43C5-BD3D-DD25B2ED4C38}" destId="{60096D28-4D91-4C86-BDB9-76289FE95F57}" srcOrd="2" destOrd="0" parTransId="{78671066-FE0B-44F5-835A-541BFC79F77A}" sibTransId="{20188E65-C413-4A10-9D87-BA583C05825A}"/>
    <dgm:cxn modelId="{06524FDD-64E3-4AD1-82B0-35DEAD662553}" type="presParOf" srcId="{9A32FD64-8705-453C-B2A6-9C5EDC900B24}" destId="{62200ADB-EBC2-4417-9D3F-AC97A0A3B7CF}" srcOrd="0" destOrd="0" presId="urn:microsoft.com/office/officeart/2005/8/layout/chevron1"/>
    <dgm:cxn modelId="{83E0B0A4-2A44-4989-8804-B3ED2F7F4327}" type="presParOf" srcId="{9A32FD64-8705-453C-B2A6-9C5EDC900B24}" destId="{6639B589-5557-42EE-AAD9-AD71D404C493}" srcOrd="1" destOrd="0" presId="urn:microsoft.com/office/officeart/2005/8/layout/chevron1"/>
    <dgm:cxn modelId="{4AB6A415-2DFB-4D35-9522-EB2AF587C833}" type="presParOf" srcId="{9A32FD64-8705-453C-B2A6-9C5EDC900B24}" destId="{C51C4E35-05AB-4C78-9DE9-2220F827401E}" srcOrd="2" destOrd="0" presId="urn:microsoft.com/office/officeart/2005/8/layout/chevron1"/>
    <dgm:cxn modelId="{12FDFF64-05A4-4797-8F57-275FC5DC185E}" type="presParOf" srcId="{9A32FD64-8705-453C-B2A6-9C5EDC900B24}" destId="{85AF05BC-DE13-4009-A133-C45DA1817753}" srcOrd="3" destOrd="0" presId="urn:microsoft.com/office/officeart/2005/8/layout/chevron1"/>
    <dgm:cxn modelId="{A67FB664-E23D-4756-8F0E-FB8B513ACD15}" type="presParOf" srcId="{9A32FD64-8705-453C-B2A6-9C5EDC900B24}" destId="{6819C635-F315-4325-BBEB-65B74B0E308F}" srcOrd="4"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200ADB-EBC2-4417-9D3F-AC97A0A3B7CF}">
      <dsp:nvSpPr>
        <dsp:cNvPr id="0" name=""/>
        <dsp:cNvSpPr/>
      </dsp:nvSpPr>
      <dsp:spPr>
        <a:xfrm>
          <a:off x="1607" y="0"/>
          <a:ext cx="1958280" cy="48503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s-AR" sz="1200" kern="1200"/>
            <a:t>Acceso y contacto inicial</a:t>
          </a:r>
        </a:p>
      </dsp:txBody>
      <dsp:txXfrm>
        <a:off x="244122" y="0"/>
        <a:ext cx="1473250" cy="485030"/>
      </dsp:txXfrm>
    </dsp:sp>
    <dsp:sp modelId="{C51C4E35-05AB-4C78-9DE9-2220F827401E}">
      <dsp:nvSpPr>
        <dsp:cNvPr id="0" name=""/>
        <dsp:cNvSpPr/>
      </dsp:nvSpPr>
      <dsp:spPr>
        <a:xfrm>
          <a:off x="1764059" y="0"/>
          <a:ext cx="1958280" cy="48503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s-AR" sz="1200" kern="1200"/>
            <a:t>Seguimiento de trayectoria educativa</a:t>
          </a:r>
        </a:p>
      </dsp:txBody>
      <dsp:txXfrm>
        <a:off x="2006574" y="0"/>
        <a:ext cx="1473250" cy="485030"/>
      </dsp:txXfrm>
    </dsp:sp>
    <dsp:sp modelId="{6819C635-F315-4325-BBEB-65B74B0E308F}">
      <dsp:nvSpPr>
        <dsp:cNvPr id="0" name=""/>
        <dsp:cNvSpPr/>
      </dsp:nvSpPr>
      <dsp:spPr>
        <a:xfrm>
          <a:off x="3526512" y="0"/>
          <a:ext cx="1958280" cy="48503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s-AR" sz="1200" kern="1200"/>
            <a:t>Transición al empleo</a:t>
          </a:r>
        </a:p>
      </dsp:txBody>
      <dsp:txXfrm>
        <a:off x="3769027" y="0"/>
        <a:ext cx="1473250" cy="4850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1128</TotalTime>
  <Pages>14</Pages>
  <Words>6390</Words>
  <Characters>35146</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Franco Finocchiaro</cp:lastModifiedBy>
  <cp:revision>82</cp:revision>
  <dcterms:created xsi:type="dcterms:W3CDTF">2026-03-14T03:50:00Z</dcterms:created>
  <dcterms:modified xsi:type="dcterms:W3CDTF">2026-06-29T00:29:00Z</dcterms:modified>
</cp:coreProperties>
</file>