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D1DC1" w14:textId="77777777" w:rsidR="008D696C" w:rsidRDefault="008D696C" w:rsidP="008D696C">
      <w:pPr>
        <w:jc w:val="center"/>
        <w:rPr>
          <w:rFonts w:ascii="Times New Roman" w:eastAsia="Times New Roman" w:hAnsi="Times New Roman" w:cs="Times New Roman"/>
          <w:b/>
          <w:bCs/>
        </w:rPr>
      </w:pPr>
      <w:r>
        <w:rPr>
          <w:rFonts w:ascii="Times New Roman" w:eastAsia="Times New Roman" w:hAnsi="Times New Roman" w:cs="Times New Roman"/>
          <w:b/>
          <w:bCs/>
        </w:rPr>
        <w:t xml:space="preserve">Estudiantes de ingeniería de la UTN Avellaneda. Circuitos educativos entre nivel medio y superior </w:t>
      </w:r>
    </w:p>
    <w:p w14:paraId="74FB5E3C" w14:textId="77777777" w:rsidR="008D696C" w:rsidRDefault="008D696C" w:rsidP="008D696C">
      <w:pPr>
        <w:jc w:val="center"/>
        <w:rPr>
          <w:rFonts w:ascii="Times New Roman" w:eastAsia="Times New Roman" w:hAnsi="Times New Roman" w:cs="Times New Roman"/>
        </w:rPr>
      </w:pPr>
    </w:p>
    <w:p w14:paraId="6A5B1DEE" w14:textId="77777777" w:rsidR="008D696C" w:rsidRDefault="008D696C" w:rsidP="008D696C">
      <w:pPr>
        <w:tabs>
          <w:tab w:val="center" w:pos="4252"/>
          <w:tab w:val="right" w:pos="8504"/>
        </w:tabs>
        <w:spacing w:after="0"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rPr>
        <w:t>Iavorski</w:t>
      </w:r>
      <w:proofErr w:type="spellEnd"/>
      <w:r>
        <w:rPr>
          <w:rFonts w:ascii="Times New Roman" w:eastAsia="Times New Roman" w:hAnsi="Times New Roman" w:cs="Times New Roman"/>
        </w:rPr>
        <w:t xml:space="preserve"> Losada Ivana 1</w:t>
      </w:r>
    </w:p>
    <w:p w14:paraId="4498104C" w14:textId="77777777" w:rsidR="008D696C" w:rsidRDefault="008D696C" w:rsidP="008D696C">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Laboratorio MIG UTN Avellaneda y Laboratorio MIG UNDAV 1</w:t>
      </w:r>
    </w:p>
    <w:p w14:paraId="18B60F79" w14:textId="77777777" w:rsidR="008D696C" w:rsidRDefault="008D696C" w:rsidP="008D696C">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iiavorski@fra.utn.edu.ar 1</w:t>
      </w:r>
    </w:p>
    <w:p w14:paraId="1B7C62F6" w14:textId="77777777" w:rsidR="008D696C" w:rsidRDefault="008D696C" w:rsidP="008D696C">
      <w:pPr>
        <w:spacing w:after="0" w:line="240" w:lineRule="auto"/>
        <w:jc w:val="right"/>
        <w:rPr>
          <w:rFonts w:ascii="Times New Roman" w:eastAsia="Times New Roman" w:hAnsi="Times New Roman" w:cs="Times New Roman"/>
        </w:rPr>
      </w:pPr>
    </w:p>
    <w:p w14:paraId="0DED2E38" w14:textId="77777777" w:rsidR="008D696C" w:rsidRDefault="008D696C" w:rsidP="008D696C">
      <w:pPr>
        <w:spacing w:after="0"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rPr>
        <w:t>Somma</w:t>
      </w:r>
      <w:proofErr w:type="spellEnd"/>
      <w:r>
        <w:rPr>
          <w:rFonts w:ascii="Times New Roman" w:eastAsia="Times New Roman" w:hAnsi="Times New Roman" w:cs="Times New Roman"/>
        </w:rPr>
        <w:t xml:space="preserve"> Lucila2</w:t>
      </w:r>
    </w:p>
    <w:p w14:paraId="5F12CC52" w14:textId="77777777" w:rsidR="008D696C" w:rsidRDefault="008D696C" w:rsidP="008D696C">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Laboratorio MIG UTN Avellaneda; Facultad de Ciencias Sociales – UBA; Instituto de Industria -UNGS 2</w:t>
      </w:r>
    </w:p>
    <w:p w14:paraId="6F35458B" w14:textId="77777777" w:rsidR="008D696C" w:rsidRDefault="008D696C" w:rsidP="008D696C">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lsomma@fra.utn.edu.ar 2</w:t>
      </w:r>
    </w:p>
    <w:p w14:paraId="69B9EAF1" w14:textId="77777777" w:rsidR="008D696C" w:rsidRDefault="008D696C" w:rsidP="008D696C">
      <w:pPr>
        <w:rPr>
          <w:rFonts w:ascii="Times New Roman" w:eastAsia="Times New Roman" w:hAnsi="Times New Roman" w:cs="Times New Roman"/>
        </w:rPr>
      </w:pPr>
    </w:p>
    <w:p w14:paraId="1C770CB9" w14:textId="77777777" w:rsidR="008D696C" w:rsidRDefault="008D696C" w:rsidP="008D696C">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Simone Vanina3</w:t>
      </w:r>
    </w:p>
    <w:p w14:paraId="1E2FE1A3" w14:textId="77777777" w:rsidR="008D696C" w:rsidRDefault="008D696C" w:rsidP="008D696C">
      <w:pPr>
        <w:spacing w:after="0" w:line="240" w:lineRule="auto"/>
        <w:jc w:val="right"/>
        <w:rPr>
          <w:rFonts w:ascii="Times New Roman" w:eastAsia="Times New Roman" w:hAnsi="Times New Roman" w:cs="Times New Roman"/>
          <w:highlight w:val="white"/>
        </w:rPr>
      </w:pPr>
      <w:r>
        <w:rPr>
          <w:rFonts w:ascii="Times New Roman" w:eastAsia="Times New Roman" w:hAnsi="Times New Roman" w:cs="Times New Roman"/>
          <w:highlight w:val="white"/>
        </w:rPr>
        <w:t>Laboratorio MIG UTN Avellaneda, IIGG Facultad de Ciencias Sociales -UBA 3</w:t>
      </w:r>
    </w:p>
    <w:p w14:paraId="2DEFE82F" w14:textId="77777777" w:rsidR="008D696C" w:rsidRDefault="008D696C" w:rsidP="008D696C">
      <w:pPr>
        <w:spacing w:after="0" w:line="240" w:lineRule="auto"/>
        <w:jc w:val="right"/>
        <w:rPr>
          <w:rFonts w:ascii="Times New Roman" w:eastAsia="Times New Roman" w:hAnsi="Times New Roman" w:cs="Times New Roman"/>
          <w:highlight w:val="white"/>
        </w:rPr>
      </w:pPr>
      <w:r>
        <w:rPr>
          <w:rFonts w:ascii="Times New Roman" w:eastAsia="Times New Roman" w:hAnsi="Times New Roman" w:cs="Times New Roman"/>
          <w:highlight w:val="white"/>
        </w:rPr>
        <w:t>vsimone@fra.utn.edu.ar 3</w:t>
      </w:r>
    </w:p>
    <w:p w14:paraId="67AB0EDD" w14:textId="77777777" w:rsidR="008D696C" w:rsidRDefault="008D696C" w:rsidP="008D696C">
      <w:pPr>
        <w:spacing w:after="0" w:line="240" w:lineRule="auto"/>
        <w:jc w:val="right"/>
        <w:rPr>
          <w:rFonts w:ascii="Times New Roman" w:eastAsia="Times New Roman" w:hAnsi="Times New Roman" w:cs="Times New Roman"/>
        </w:rPr>
      </w:pPr>
    </w:p>
    <w:p w14:paraId="2866328B" w14:textId="77777777" w:rsidR="008D696C" w:rsidRDefault="008D696C" w:rsidP="008D696C">
      <w:pPr>
        <w:tabs>
          <w:tab w:val="center" w:pos="4252"/>
          <w:tab w:val="right" w:pos="8504"/>
        </w:tabs>
        <w:spacing w:after="0" w:line="240" w:lineRule="auto"/>
        <w:rPr>
          <w:rFonts w:ascii="Times New Roman" w:eastAsia="Times New Roman" w:hAnsi="Times New Roman" w:cs="Times New Roman"/>
          <w:b/>
          <w:bCs/>
        </w:rPr>
      </w:pPr>
      <w:r>
        <w:rPr>
          <w:rFonts w:ascii="Times New Roman" w:eastAsia="Times New Roman" w:hAnsi="Times New Roman" w:cs="Times New Roman"/>
        </w:rPr>
        <w:tab/>
      </w:r>
    </w:p>
    <w:p w14:paraId="73ADB471" w14:textId="77777777" w:rsidR="008D696C" w:rsidRDefault="008D696C" w:rsidP="008D696C">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Resumen:</w:t>
      </w:r>
      <w:r>
        <w:rPr>
          <w:rFonts w:ascii="Times New Roman" w:eastAsia="Times New Roman" w:hAnsi="Times New Roman" w:cs="Times New Roman"/>
        </w:rPr>
        <w:t xml:space="preserve"> En las últimas décadas, las universidades nacionales han tenido como principal preocupación la búsqueda por ampliar el acceso a la educación superior con énfasis en la concepción de la democratización e inclusión educativa de sectores antes marginados. Esta situación ha planteado grandes desafíos para las instituciones, que, frente a la necesidad de diseñar políticas académicas de acompañamiento de trayectorias para el acceso y permanencia de un nuevo público, comienzan a indagar en las características, comportamientos, experiencias y expectativas de sus “nuevos” ingresantes. Por su parte, si bien cada generación se distingue por ejercer distintos modos de ser estudiante, las nuevas modalidades laborales y las aspiraciones de quienes egresan de las escuelas medias requieren de cierta flexibilidad organizacional y normativa que habilite la convivencia entre la vida universitaria, las responsabilidades familiares, el ocio y el trabajo. En este escenario, la presente ponencia, en el marco de un proyecto de investigación institucional, se propone dar continuidad al análisis que viene desarrollando el equipo del Laboratorio de Monitoreo de Inserción de Graduados/as sobre los recorridos académicos de los y las ingresantes de las seis carreras de ingeniería que se dictan en la Universidad Tecnológica Nacional – Avellaneda. Indagar en las escuelas medias de origen, el tipo de gestión, la titulación obtenida y su localización territorial permite identificar los circuitos educativos que favorecen o dificultan el tránsito del nivel medio al superior, medida a partir de los resultados en la trayectoria académica. Resulta de interés, además, analizar estos circuitos junto con las características socio económicas de dichos/as ingresantes y los antecedentes educativos y laborales de las familias para encontrar particularidades. Los datos obtenidos aportan a la gestión académica de la facultad a la hora de la toma de decisiones en pos de la construcción de vínculos y relaciones con los actores educativos de la región. La información proviene del procesamiento de los datos del sistema de gestión académica y la aplicación de un formulario </w:t>
      </w:r>
      <w:proofErr w:type="spellStart"/>
      <w:r>
        <w:rPr>
          <w:rFonts w:ascii="Times New Roman" w:eastAsia="Times New Roman" w:hAnsi="Times New Roman" w:cs="Times New Roman"/>
        </w:rPr>
        <w:t>autoadministrado</w:t>
      </w:r>
      <w:proofErr w:type="spellEnd"/>
      <w:r>
        <w:rPr>
          <w:rFonts w:ascii="Times New Roman" w:eastAsia="Times New Roman" w:hAnsi="Times New Roman" w:cs="Times New Roman"/>
        </w:rPr>
        <w:t xml:space="preserve"> que los y las aspirantes deben completar al momento de </w:t>
      </w:r>
      <w:r>
        <w:rPr>
          <w:rFonts w:ascii="Times New Roman" w:eastAsia="Times New Roman" w:hAnsi="Times New Roman" w:cs="Times New Roman"/>
        </w:rPr>
        <w:lastRenderedPageBreak/>
        <w:t>inscripción en alguna de las carreras dictadas, denominado “Encuesta permanente y obligatoria de aspirantes”. Para este trabajo se analizan particularmente las cohortes de ingresantes 2023 - 2024, en clave comparativa con los resultados obtenidos en un trabajo previo de seguimiento de las cohortes 2012 - 2016. Se espera así establecer continuidades y rupturas con respecto a los circuitos educativos y perfiles estudiantes ya conocidos, que inviten a formalizar o explorar los vínculos entre las escuelas de nivel medio y la UTN Avellaneda.</w:t>
      </w:r>
    </w:p>
    <w:p w14:paraId="69F04ADC" w14:textId="77777777" w:rsidR="008D696C" w:rsidRDefault="008D696C" w:rsidP="008D696C">
      <w:pPr>
        <w:spacing w:after="0" w:line="240" w:lineRule="auto"/>
        <w:jc w:val="both"/>
        <w:rPr>
          <w:rFonts w:ascii="Times New Roman" w:eastAsia="Times New Roman" w:hAnsi="Times New Roman" w:cs="Times New Roman"/>
        </w:rPr>
      </w:pPr>
    </w:p>
    <w:p w14:paraId="4274C4D8"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b/>
          <w:bCs/>
        </w:rPr>
        <w:t>Palabras clave:</w:t>
      </w:r>
      <w:r>
        <w:rPr>
          <w:rFonts w:ascii="Times New Roman" w:eastAsia="Times New Roman" w:hAnsi="Times New Roman" w:cs="Times New Roman"/>
        </w:rPr>
        <w:t xml:space="preserve"> Universidad, Ingeniería, Ingreso, Escuela media. </w:t>
      </w:r>
    </w:p>
    <w:p w14:paraId="14B07407" w14:textId="77777777" w:rsidR="008D696C" w:rsidRDefault="008D696C" w:rsidP="008D696C">
      <w:pPr>
        <w:spacing w:line="240" w:lineRule="auto"/>
        <w:rPr>
          <w:rFonts w:ascii="Times New Roman" w:eastAsia="Times New Roman" w:hAnsi="Times New Roman" w:cs="Times New Roman"/>
          <w:b/>
          <w:bCs/>
        </w:rPr>
      </w:pPr>
      <w:r>
        <w:rPr>
          <w:rFonts w:ascii="Times New Roman" w:eastAsia="Times New Roman" w:hAnsi="Times New Roman" w:cs="Times New Roman"/>
          <w:b/>
          <w:bCs/>
        </w:rPr>
        <w:t>Introducción</w:t>
      </w:r>
    </w:p>
    <w:p w14:paraId="505FF70D"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La transición entre la escuela secundaria y la universidad constituye un salto cualitativo de niveles donde la experiencia del primer año de carrera se torna clave para la permanencia o el abandono estudiantil (</w:t>
      </w:r>
      <w:proofErr w:type="spellStart"/>
      <w:r>
        <w:rPr>
          <w:rFonts w:ascii="Times New Roman" w:eastAsia="Times New Roman" w:hAnsi="Times New Roman" w:cs="Times New Roman"/>
        </w:rPr>
        <w:t>Tenti</w:t>
      </w:r>
      <w:proofErr w:type="spellEnd"/>
      <w:r>
        <w:rPr>
          <w:rFonts w:ascii="Times New Roman" w:eastAsia="Times New Roman" w:hAnsi="Times New Roman" w:cs="Times New Roman"/>
        </w:rPr>
        <w:t xml:space="preserve">, 1993; García de </w:t>
      </w:r>
      <w:proofErr w:type="spellStart"/>
      <w:r>
        <w:rPr>
          <w:rFonts w:ascii="Times New Roman" w:eastAsia="Times New Roman" w:hAnsi="Times New Roman" w:cs="Times New Roman"/>
        </w:rPr>
        <w:t>Fanelli</w:t>
      </w:r>
      <w:proofErr w:type="spellEnd"/>
      <w:r>
        <w:rPr>
          <w:rFonts w:ascii="Times New Roman" w:eastAsia="Times New Roman" w:hAnsi="Times New Roman" w:cs="Times New Roman"/>
        </w:rPr>
        <w:t>, 2007). En ese sentido diversas investigaciones analizan si la escuela secundaria actual cumple eficazmente con su función histórica propedéutica -orientada a garantizar los conocimientos y competencias necesarias para el acceso universitario- o si dicha finalidad se ha modificado para incorporar demandas emergentes (</w:t>
      </w:r>
      <w:proofErr w:type="spellStart"/>
      <w:r>
        <w:rPr>
          <w:rFonts w:ascii="Times New Roman" w:eastAsia="Times New Roman" w:hAnsi="Times New Roman" w:cs="Times New Roman"/>
        </w:rPr>
        <w:t>Juarros</w:t>
      </w:r>
      <w:proofErr w:type="spellEnd"/>
      <w:r>
        <w:rPr>
          <w:rFonts w:ascii="Times New Roman" w:eastAsia="Times New Roman" w:hAnsi="Times New Roman" w:cs="Times New Roman"/>
        </w:rPr>
        <w:t>, 2006). Asimismo, la literatura contemporánea aborda el impacto de la masificación de la matrícula del nivel secundario, pues este proceso de democratización e inclusión trajo consigo reconfiguraciones en torno a sus objetivos sociales, así como la necesidad de implementar reformas curriculares e institucionales (</w:t>
      </w:r>
      <w:proofErr w:type="spellStart"/>
      <w:r>
        <w:rPr>
          <w:rFonts w:ascii="Times New Roman" w:eastAsia="Times New Roman" w:hAnsi="Times New Roman" w:cs="Times New Roman"/>
        </w:rPr>
        <w:t>Ibarrolla</w:t>
      </w:r>
      <w:proofErr w:type="spellEnd"/>
      <w:r>
        <w:rPr>
          <w:rFonts w:ascii="Times New Roman" w:eastAsia="Times New Roman" w:hAnsi="Times New Roman" w:cs="Times New Roman"/>
        </w:rPr>
        <w:t xml:space="preserve"> y </w:t>
      </w:r>
      <w:proofErr w:type="spellStart"/>
      <w:r>
        <w:rPr>
          <w:rFonts w:ascii="Times New Roman" w:eastAsia="Times New Roman" w:hAnsi="Times New Roman" w:cs="Times New Roman"/>
        </w:rPr>
        <w:t>Gallart</w:t>
      </w:r>
      <w:proofErr w:type="spellEnd"/>
      <w:r>
        <w:rPr>
          <w:rFonts w:ascii="Times New Roman" w:eastAsia="Times New Roman" w:hAnsi="Times New Roman" w:cs="Times New Roman"/>
        </w:rPr>
        <w:t xml:space="preserve">, 1994; </w:t>
      </w:r>
      <w:proofErr w:type="spellStart"/>
      <w:r>
        <w:rPr>
          <w:rFonts w:ascii="Times New Roman" w:eastAsia="Times New Roman" w:hAnsi="Times New Roman" w:cs="Times New Roman"/>
        </w:rPr>
        <w:t>Terigi</w:t>
      </w:r>
      <w:proofErr w:type="spellEnd"/>
      <w:r>
        <w:rPr>
          <w:rFonts w:ascii="Times New Roman" w:eastAsia="Times New Roman" w:hAnsi="Times New Roman" w:cs="Times New Roman"/>
        </w:rPr>
        <w:t xml:space="preserve">, 2008; Acosta, 2012). </w:t>
      </w:r>
    </w:p>
    <w:p w14:paraId="0C9584A5" w14:textId="77777777" w:rsidR="008D696C" w:rsidRDefault="008D696C" w:rsidP="008D696C">
      <w:pPr>
        <w:spacing w:line="240" w:lineRule="auto"/>
        <w:jc w:val="both"/>
        <w:rPr>
          <w:rFonts w:ascii="Times New Roman" w:eastAsia="Times New Roman" w:hAnsi="Times New Roman" w:cs="Times New Roman"/>
          <w:shd w:val="clear" w:color="auto" w:fill="FFF2CC"/>
        </w:rPr>
      </w:pPr>
      <w:r>
        <w:rPr>
          <w:rFonts w:ascii="Times New Roman" w:eastAsia="Times New Roman" w:hAnsi="Times New Roman" w:cs="Times New Roman"/>
        </w:rPr>
        <w:t xml:space="preserve">Desde la expansión de la matrícula del nivel medio con su obligatoriedad se han generado nuevos procesos de fragmentación del nivel secundario que muestran diferentes expectativas, oportunidades de acceso al mercado de trabajo y de continuidad de los estudios superiores. Como correlato de procesos generales de aumento de la desigualdad y fragmentación social que vive Argentina de manera significativa desde la década del noventa, la tensión interna entre la función inclusiva y la eficacia preparatoria del nivel medio suele traducirse generalmente en una brecha cultural y cognitiva. Como señalan </w:t>
      </w:r>
      <w:proofErr w:type="spellStart"/>
      <w:r>
        <w:rPr>
          <w:rFonts w:ascii="Times New Roman" w:eastAsia="Times New Roman" w:hAnsi="Times New Roman" w:cs="Times New Roman"/>
        </w:rPr>
        <w:t>Tenti</w:t>
      </w:r>
      <w:proofErr w:type="spellEnd"/>
      <w:r>
        <w:rPr>
          <w:rFonts w:ascii="Times New Roman" w:eastAsia="Times New Roman" w:hAnsi="Times New Roman" w:cs="Times New Roman"/>
        </w:rPr>
        <w:t xml:space="preserve"> (1993) y García de </w:t>
      </w:r>
      <w:proofErr w:type="spellStart"/>
      <w:r>
        <w:rPr>
          <w:rFonts w:ascii="Times New Roman" w:eastAsia="Times New Roman" w:hAnsi="Times New Roman" w:cs="Times New Roman"/>
        </w:rPr>
        <w:t>Fanelli</w:t>
      </w:r>
      <w:proofErr w:type="spellEnd"/>
      <w:r>
        <w:rPr>
          <w:rFonts w:ascii="Times New Roman" w:eastAsia="Times New Roman" w:hAnsi="Times New Roman" w:cs="Times New Roman"/>
        </w:rPr>
        <w:t xml:space="preserve"> (2007), la falta de correspondencia entre el capital cultural de los/as egresados/as del nivel medio y las exigencias de la cultura académica universitaria profundiza la vulnerabilidad de los/as estudiantes que intentan ingresar a ella, consolidando al primer año como el principal filtro de exclusión del sistema de educación superior. Ante este escenario, las siguientes preguntas guían esta investigación: ¿cuáles son las características socio-educativas de estos/as estudiantes que ingresan a la universidad tecnológica? ¿De qué escuelas medias provienen? ¿La escuela de procedencia puede resultar un indicador (</w:t>
      </w:r>
      <w:r>
        <w:rPr>
          <w:rFonts w:ascii="Times New Roman" w:eastAsia="Times New Roman" w:hAnsi="Times New Roman" w:cs="Times New Roman"/>
          <w:i/>
          <w:iCs/>
        </w:rPr>
        <w:t>proxy</w:t>
      </w:r>
      <w:r>
        <w:rPr>
          <w:rFonts w:ascii="Times New Roman" w:eastAsia="Times New Roman" w:hAnsi="Times New Roman" w:cs="Times New Roman"/>
        </w:rPr>
        <w:t xml:space="preserve">) de trayectorias educativas diversas? y ¿qué resultados académicos se obtienen en los primeros años de la carrera universitaria?  </w:t>
      </w:r>
    </w:p>
    <w:p w14:paraId="5F0E5607"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aporte al análisis de la articulación entre ambos niveles educativos contempla la observación de los recorridos educativos a la luz de las características socio educativas y económicas de los y las ingresantes a una institución particular de la educación superior, la Facultad Regional Avellaneda de la Universidad Tecnológica Nacional, ubicada en la zona sur del conurbano bonaerense, lindera a la Ciudad Autónoma de Buenos Aires. El </w:t>
      </w:r>
      <w:r>
        <w:rPr>
          <w:rFonts w:ascii="Times New Roman" w:eastAsia="Times New Roman" w:hAnsi="Times New Roman" w:cs="Times New Roman"/>
        </w:rPr>
        <w:lastRenderedPageBreak/>
        <w:t xml:space="preserve">presente trabajo es resultado de las tareas de investigación que lleva adelante el Laboratorio de Monitoreo de Inserción de Graduados/as -Laboratorio MIG- sobre la población de estudiantes ingresantes en los años 2023 y 2024 de las seis carreras de ingeniería (civil, eléctrica, electrónica, industrial, mecánica y química) que se dictan en esta facultad. Se enmarca a su vez en el Proyecto de Investigación y Desarrollo UTN 562 “Estudiantes de ingeniería de la UTN Avellaneda. Descripción y seguimiento de la vida universitaria”. </w:t>
      </w:r>
    </w:p>
    <w:p w14:paraId="44072B33" w14:textId="77777777" w:rsidR="008D696C" w:rsidRDefault="008D696C" w:rsidP="008D696C">
      <w:p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Los datos obtenidos tienen como propósito aportar a la gestión académica de la facultad a la hora de la toma de decisiones en torno a la construcción de vínculos y relaciones con los actores educativos de la región. </w:t>
      </w:r>
      <w:r>
        <w:rPr>
          <w:rFonts w:ascii="Times New Roman" w:eastAsia="Times New Roman" w:hAnsi="Times New Roman" w:cs="Times New Roman"/>
          <w:color w:val="000000"/>
        </w:rPr>
        <w:t xml:space="preserve">A partir de estas contribuciones, la Secretaría Académica, los Departamentos de Carrera y las áreas de gestión cuentan con datos confiables sobre la población a la que dirigen los esfuerzos institucionales de retención y permanencia tanto en lo que </w:t>
      </w:r>
      <w:r>
        <w:rPr>
          <w:rFonts w:ascii="Times New Roman" w:eastAsia="Times New Roman" w:hAnsi="Times New Roman" w:cs="Times New Roman"/>
        </w:rPr>
        <w:t>refiere</w:t>
      </w:r>
      <w:r>
        <w:rPr>
          <w:rFonts w:ascii="Times New Roman" w:eastAsia="Times New Roman" w:hAnsi="Times New Roman" w:cs="Times New Roman"/>
          <w:color w:val="000000"/>
        </w:rPr>
        <w:t xml:space="preserve"> a los aspectos académicos como a las orientaciones vocacionales/profesionales, o los relacionados con la función de integración social.</w:t>
      </w:r>
    </w:p>
    <w:p w14:paraId="62112981"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información sobre los y las ingresantes 2023 y 2024 proviene del procesamiento de los datos del sistema de gestión académica y de la aplicación de un formulario </w:t>
      </w:r>
      <w:proofErr w:type="spellStart"/>
      <w:r>
        <w:rPr>
          <w:rFonts w:ascii="Times New Roman" w:eastAsia="Times New Roman" w:hAnsi="Times New Roman" w:cs="Times New Roman"/>
        </w:rPr>
        <w:t>autoadministrado</w:t>
      </w:r>
      <w:proofErr w:type="spellEnd"/>
      <w:r>
        <w:rPr>
          <w:rFonts w:ascii="Times New Roman" w:eastAsia="Times New Roman" w:hAnsi="Times New Roman" w:cs="Times New Roman"/>
        </w:rPr>
        <w:t xml:space="preserve"> que los y las estudiantes aspirantes deben completar cuando se inscriben en alguna de las carreras de ingeniería que se dictan en la UTN Avellaneda. El formulario es de carácter obligatorio ya que forma parte de los requisitos de inscripción, y su diseño y procesamiento está a cargo del Laboratorio MIG y el Laboratorio de Estadística. Del trabajo con ambas fuentes de información se obtienen datos de los/as ingresantes, datos familiares, de la formación previa al ingreso en la UTN y de la situación laboral y académica.</w:t>
      </w:r>
    </w:p>
    <w:p w14:paraId="47721BDF"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Para ingresar a las carreras de ingeniería en la UTN Avellaneda el requisito previo es la aprobación del Seminario Universitario. Este Seminario tiene un doble objetivo, por un lado, la adecuación de los conocimientos previos de los/as estudiantes a los requerimientos de las carreras y, por el otro, propiciar la adquisición de hábitos de estudio que sirvan como base efectiva para el aprendizaje en el nivel superior. Es el equivalente al curso de ingreso de otras universidades. En la UTN Avellaneda está formado por tres bloques temáticos: Orientación Universitaria, Matemática, y Física. Su cursado es híbrido y se ofrece en tres instancias por cada año lectivo: curso de invierno (agosto a noviembre), curso de verano (diciembre a marzo) y curso de otoño (abril a julio).</w:t>
      </w:r>
    </w:p>
    <w:p w14:paraId="7FA403F6" w14:textId="77777777" w:rsidR="008D696C" w:rsidRDefault="008D696C" w:rsidP="008D696C">
      <w:pPr>
        <w:spacing w:line="240" w:lineRule="auto"/>
        <w:rPr>
          <w:rFonts w:ascii="Times New Roman" w:eastAsia="Times New Roman" w:hAnsi="Times New Roman" w:cs="Times New Roman"/>
          <w:b/>
          <w:bCs/>
        </w:rPr>
      </w:pPr>
      <w:r>
        <w:rPr>
          <w:rFonts w:ascii="Times New Roman" w:eastAsia="Times New Roman" w:hAnsi="Times New Roman" w:cs="Times New Roman"/>
          <w:b/>
          <w:bCs/>
        </w:rPr>
        <w:t>Características sociodemográficas de los y las ingresantes 2023 -2024</w:t>
      </w:r>
    </w:p>
    <w:p w14:paraId="5238FF49"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Durante el período 2023-2024 ingresan un total de 655 estudiantes (288 en 2023 y 367 en 2024), registrándose un crecimiento interanual de 79 personas (alrededor de un 27% más). En estos dos años la especialidad con más inscriptos/as es Ingeniería Industrial, que concentra el 21% de la matrícula, seguida por Mecánica (19%) y Electrónica (18%). El resto de los y las ingresantes se distribuye entre Ingeniería Química con el 16%, e Ingeniería Civil e Ingeniería Eléctrica, que representan el 13% cada una.</w:t>
      </w:r>
    </w:p>
    <w:p w14:paraId="6FA6645D"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composición por edades revela una población mayoritariamente joven: el grupo de hasta 19 años concentra el 66% del total, evidenciando la continuidad inmediata de los estudios desde el egreso del nivel medio. Le sigue en importancia el grupo de 20 a 24 </w:t>
      </w:r>
      <w:r>
        <w:rPr>
          <w:rFonts w:ascii="Times New Roman" w:eastAsia="Times New Roman" w:hAnsi="Times New Roman" w:cs="Times New Roman"/>
        </w:rPr>
        <w:lastRenderedPageBreak/>
        <w:t>años con el 26% de la población, mientras que el 8% restante se distribuye equitativamente entre los rangos etarios de 25 a 29 años y 30 o más.</w:t>
      </w:r>
    </w:p>
    <w:p w14:paraId="5D65439D"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Históricamente, las carreras de ingeniería presentan una marcada predominancia masculina, una tendencia de la cual la UTN Avellaneda no resulta ajena, puesto que la tabla muestra que entre los/as 655 ingresantes del periodo 2023-2024 existe una fuerte mayoría masculina de 518 varones frente a 137 mujeres, lo que representa una tasa de feminidad de 26 puntos. Ingeniería Química lidera la inclusión femenina con una tasa de 86 puntos, en contraste con Ingeniería Eléctrica que registra la menor participación de mujeres con apenas unas 5 cada 100 varones.</w:t>
      </w:r>
    </w:p>
    <w:p w14:paraId="10DFB362" w14:textId="77777777" w:rsidR="008D696C" w:rsidRDefault="008D696C" w:rsidP="008D696C">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Tabla 1</w:t>
      </w:r>
    </w:p>
    <w:p w14:paraId="70F165CE" w14:textId="77777777" w:rsidR="008D696C" w:rsidRDefault="008D696C" w:rsidP="008D696C">
      <w:pPr>
        <w:spacing w:line="240" w:lineRule="auto"/>
        <w:jc w:val="both"/>
        <w:rPr>
          <w:rFonts w:ascii="Times New Roman" w:eastAsia="Times New Roman" w:hAnsi="Times New Roman" w:cs="Times New Roman"/>
          <w:i/>
          <w:iCs/>
        </w:rPr>
      </w:pPr>
      <w:r>
        <w:rPr>
          <w:rFonts w:ascii="Times New Roman" w:eastAsia="Times New Roman" w:hAnsi="Times New Roman" w:cs="Times New Roman"/>
          <w:i/>
          <w:iCs/>
        </w:rPr>
        <w:t>Distribución de ingresantes 2023-2024 por sexo y carrera (N=655)</w:t>
      </w:r>
    </w:p>
    <w:tbl>
      <w:tblPr>
        <w:tblW w:w="6860" w:type="dxa"/>
        <w:tblLayout w:type="fixed"/>
        <w:tblLook w:val="0400" w:firstRow="0" w:lastRow="0" w:firstColumn="0" w:lastColumn="0" w:noHBand="0" w:noVBand="1"/>
      </w:tblPr>
      <w:tblGrid>
        <w:gridCol w:w="1696"/>
        <w:gridCol w:w="1184"/>
        <w:gridCol w:w="1300"/>
        <w:gridCol w:w="1200"/>
        <w:gridCol w:w="1480"/>
      </w:tblGrid>
      <w:tr w:rsidR="008D696C" w14:paraId="084902F8" w14:textId="77777777" w:rsidTr="0031604E">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156082"/>
            <w:vAlign w:val="bottom"/>
          </w:tcPr>
          <w:p w14:paraId="77DB7A4E" w14:textId="77777777" w:rsidR="008D696C" w:rsidRPr="00CB64A4" w:rsidRDefault="008D696C" w:rsidP="0031604E">
            <w:pPr>
              <w:spacing w:after="0" w:line="240" w:lineRule="auto"/>
              <w:rPr>
                <w:rFonts w:ascii="Times New Roman" w:eastAsia="Times New Roman" w:hAnsi="Times New Roman" w:cs="Times New Roman"/>
                <w:color w:val="FFFFFF"/>
                <w:sz w:val="22"/>
                <w:szCs w:val="22"/>
              </w:rPr>
            </w:pPr>
            <w:r w:rsidRPr="00CB64A4">
              <w:rPr>
                <w:rFonts w:ascii="Times New Roman" w:eastAsia="Times New Roman" w:hAnsi="Times New Roman" w:cs="Times New Roman"/>
                <w:color w:val="FFFFFF"/>
                <w:sz w:val="22"/>
                <w:szCs w:val="22"/>
              </w:rPr>
              <w:t>Carrera</w:t>
            </w:r>
          </w:p>
        </w:tc>
        <w:tc>
          <w:tcPr>
            <w:tcW w:w="1184" w:type="dxa"/>
            <w:tcBorders>
              <w:top w:val="single" w:sz="4" w:space="0" w:color="000000"/>
              <w:left w:val="single" w:sz="4" w:space="0" w:color="000000"/>
              <w:bottom w:val="single" w:sz="4" w:space="0" w:color="000000"/>
              <w:right w:val="single" w:sz="4" w:space="0" w:color="000000"/>
            </w:tcBorders>
            <w:shd w:val="clear" w:color="auto" w:fill="156082"/>
            <w:vAlign w:val="bottom"/>
          </w:tcPr>
          <w:p w14:paraId="39F006E3" w14:textId="77777777" w:rsidR="008D696C" w:rsidRPr="00CB64A4" w:rsidRDefault="008D696C" w:rsidP="0031604E">
            <w:pPr>
              <w:spacing w:after="0" w:line="240" w:lineRule="auto"/>
              <w:rPr>
                <w:rFonts w:ascii="Times New Roman" w:eastAsia="Times New Roman" w:hAnsi="Times New Roman" w:cs="Times New Roman"/>
                <w:color w:val="FFFFFF"/>
                <w:sz w:val="22"/>
                <w:szCs w:val="22"/>
              </w:rPr>
            </w:pPr>
            <w:r w:rsidRPr="00CB64A4">
              <w:rPr>
                <w:rFonts w:ascii="Times New Roman" w:eastAsia="Times New Roman" w:hAnsi="Times New Roman" w:cs="Times New Roman"/>
                <w:color w:val="FFFFFF"/>
                <w:sz w:val="22"/>
                <w:szCs w:val="22"/>
              </w:rPr>
              <w:t>Femenino</w:t>
            </w:r>
          </w:p>
        </w:tc>
        <w:tc>
          <w:tcPr>
            <w:tcW w:w="1300" w:type="dxa"/>
            <w:tcBorders>
              <w:top w:val="single" w:sz="4" w:space="0" w:color="000000"/>
              <w:left w:val="single" w:sz="4" w:space="0" w:color="000000"/>
              <w:bottom w:val="single" w:sz="4" w:space="0" w:color="000000"/>
              <w:right w:val="single" w:sz="4" w:space="0" w:color="000000"/>
            </w:tcBorders>
            <w:shd w:val="clear" w:color="auto" w:fill="156082"/>
            <w:vAlign w:val="bottom"/>
          </w:tcPr>
          <w:p w14:paraId="4844F261" w14:textId="77777777" w:rsidR="008D696C" w:rsidRPr="00CB64A4" w:rsidRDefault="008D696C" w:rsidP="0031604E">
            <w:pPr>
              <w:spacing w:after="0" w:line="240" w:lineRule="auto"/>
              <w:rPr>
                <w:rFonts w:ascii="Times New Roman" w:eastAsia="Times New Roman" w:hAnsi="Times New Roman" w:cs="Times New Roman"/>
                <w:color w:val="FFFFFF"/>
                <w:sz w:val="22"/>
                <w:szCs w:val="22"/>
              </w:rPr>
            </w:pPr>
            <w:r w:rsidRPr="00CB64A4">
              <w:rPr>
                <w:rFonts w:ascii="Times New Roman" w:eastAsia="Times New Roman" w:hAnsi="Times New Roman" w:cs="Times New Roman"/>
                <w:color w:val="FFFFFF"/>
                <w:sz w:val="22"/>
                <w:szCs w:val="22"/>
              </w:rPr>
              <w:t>Masculino</w:t>
            </w:r>
          </w:p>
        </w:tc>
        <w:tc>
          <w:tcPr>
            <w:tcW w:w="1200" w:type="dxa"/>
            <w:tcBorders>
              <w:top w:val="single" w:sz="4" w:space="0" w:color="000000"/>
              <w:left w:val="single" w:sz="4" w:space="0" w:color="000000"/>
              <w:bottom w:val="single" w:sz="4" w:space="0" w:color="000000"/>
              <w:right w:val="single" w:sz="4" w:space="0" w:color="000000"/>
            </w:tcBorders>
            <w:shd w:val="clear" w:color="auto" w:fill="156082"/>
            <w:vAlign w:val="bottom"/>
          </w:tcPr>
          <w:p w14:paraId="18134AC2" w14:textId="77777777" w:rsidR="008D696C" w:rsidRPr="00CB64A4" w:rsidRDefault="008D696C" w:rsidP="0031604E">
            <w:pPr>
              <w:spacing w:after="0" w:line="240" w:lineRule="auto"/>
              <w:rPr>
                <w:rFonts w:ascii="Times New Roman" w:eastAsia="Times New Roman" w:hAnsi="Times New Roman" w:cs="Times New Roman"/>
                <w:color w:val="FFFFFF"/>
                <w:sz w:val="22"/>
                <w:szCs w:val="22"/>
              </w:rPr>
            </w:pPr>
            <w:r w:rsidRPr="00CB64A4">
              <w:rPr>
                <w:rFonts w:ascii="Times New Roman" w:eastAsia="Times New Roman" w:hAnsi="Times New Roman" w:cs="Times New Roman"/>
                <w:color w:val="FFFFFF"/>
                <w:sz w:val="22"/>
                <w:szCs w:val="22"/>
              </w:rPr>
              <w:t>Total</w:t>
            </w:r>
          </w:p>
        </w:tc>
        <w:tc>
          <w:tcPr>
            <w:tcW w:w="1480" w:type="dxa"/>
            <w:tcBorders>
              <w:top w:val="single" w:sz="4" w:space="0" w:color="000000"/>
              <w:left w:val="single" w:sz="4" w:space="0" w:color="000000"/>
              <w:bottom w:val="single" w:sz="4" w:space="0" w:color="000000"/>
              <w:right w:val="single" w:sz="4" w:space="0" w:color="000000"/>
            </w:tcBorders>
            <w:shd w:val="clear" w:color="auto" w:fill="156082"/>
            <w:vAlign w:val="bottom"/>
          </w:tcPr>
          <w:p w14:paraId="3727ADF3" w14:textId="77777777" w:rsidR="008D696C" w:rsidRPr="00CB64A4" w:rsidRDefault="008D696C" w:rsidP="0031604E">
            <w:pPr>
              <w:spacing w:after="0" w:line="240" w:lineRule="auto"/>
              <w:rPr>
                <w:rFonts w:ascii="Times New Roman" w:eastAsia="Times New Roman" w:hAnsi="Times New Roman" w:cs="Times New Roman"/>
                <w:color w:val="FFFFFF"/>
                <w:sz w:val="22"/>
                <w:szCs w:val="22"/>
                <w:shd w:val="clear" w:color="auto" w:fill="76A5AF"/>
              </w:rPr>
            </w:pPr>
            <w:r w:rsidRPr="00CB64A4">
              <w:rPr>
                <w:rFonts w:ascii="Times New Roman" w:eastAsia="Times New Roman" w:hAnsi="Times New Roman" w:cs="Times New Roman"/>
                <w:color w:val="EEECE1"/>
                <w:sz w:val="22"/>
                <w:szCs w:val="22"/>
              </w:rPr>
              <w:t xml:space="preserve">Tasa de feminidad por carrera </w:t>
            </w:r>
          </w:p>
        </w:tc>
      </w:tr>
      <w:tr w:rsidR="008D696C" w14:paraId="1FEB4A46" w14:textId="77777777" w:rsidTr="0031604E">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7403A6B4" w14:textId="77777777" w:rsidR="008D696C" w:rsidRPr="00CB64A4" w:rsidRDefault="008D696C" w:rsidP="0031604E">
            <w:pPr>
              <w:spacing w:after="0" w:line="240" w:lineRule="auto"/>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Ing. Mecánica</w:t>
            </w:r>
          </w:p>
        </w:tc>
        <w:tc>
          <w:tcPr>
            <w:tcW w:w="1184"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4B1F3396"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12</w:t>
            </w:r>
          </w:p>
        </w:tc>
        <w:tc>
          <w:tcPr>
            <w:tcW w:w="130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070AE66D"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111</w:t>
            </w:r>
          </w:p>
        </w:tc>
        <w:tc>
          <w:tcPr>
            <w:tcW w:w="120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48368A69"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123</w:t>
            </w:r>
          </w:p>
        </w:tc>
        <w:tc>
          <w:tcPr>
            <w:tcW w:w="148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6F68BB6D"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11</w:t>
            </w:r>
          </w:p>
        </w:tc>
      </w:tr>
      <w:tr w:rsidR="008D696C" w14:paraId="251F1B9E" w14:textId="77777777" w:rsidTr="0031604E">
        <w:trPr>
          <w:trHeight w:val="300"/>
        </w:trPr>
        <w:tc>
          <w:tcPr>
            <w:tcW w:w="1696" w:type="dxa"/>
            <w:tcBorders>
              <w:top w:val="single" w:sz="4" w:space="0" w:color="000000"/>
              <w:left w:val="single" w:sz="4" w:space="0" w:color="000000"/>
              <w:bottom w:val="single" w:sz="4" w:space="0" w:color="000000"/>
              <w:right w:val="single" w:sz="4" w:space="0" w:color="000000"/>
            </w:tcBorders>
            <w:vAlign w:val="bottom"/>
          </w:tcPr>
          <w:p w14:paraId="208D14B5" w14:textId="77777777" w:rsidR="008D696C" w:rsidRPr="00CB64A4" w:rsidRDefault="008D696C" w:rsidP="0031604E">
            <w:pPr>
              <w:spacing w:after="0" w:line="240" w:lineRule="auto"/>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Ing. Eléctrica</w:t>
            </w:r>
          </w:p>
        </w:tc>
        <w:tc>
          <w:tcPr>
            <w:tcW w:w="1184" w:type="dxa"/>
            <w:tcBorders>
              <w:top w:val="single" w:sz="4" w:space="0" w:color="000000"/>
              <w:left w:val="single" w:sz="4" w:space="0" w:color="000000"/>
              <w:bottom w:val="single" w:sz="4" w:space="0" w:color="000000"/>
              <w:right w:val="single" w:sz="4" w:space="0" w:color="000000"/>
            </w:tcBorders>
            <w:vAlign w:val="bottom"/>
          </w:tcPr>
          <w:p w14:paraId="5F601CD9"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4</w:t>
            </w:r>
          </w:p>
        </w:tc>
        <w:tc>
          <w:tcPr>
            <w:tcW w:w="1300" w:type="dxa"/>
            <w:tcBorders>
              <w:top w:val="single" w:sz="4" w:space="0" w:color="000000"/>
              <w:left w:val="single" w:sz="4" w:space="0" w:color="000000"/>
              <w:bottom w:val="single" w:sz="4" w:space="0" w:color="000000"/>
              <w:right w:val="single" w:sz="4" w:space="0" w:color="000000"/>
            </w:tcBorders>
            <w:vAlign w:val="bottom"/>
          </w:tcPr>
          <w:p w14:paraId="053F9A69"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83</w:t>
            </w:r>
          </w:p>
        </w:tc>
        <w:tc>
          <w:tcPr>
            <w:tcW w:w="1200" w:type="dxa"/>
            <w:tcBorders>
              <w:top w:val="single" w:sz="4" w:space="0" w:color="000000"/>
              <w:left w:val="single" w:sz="4" w:space="0" w:color="000000"/>
              <w:bottom w:val="single" w:sz="4" w:space="0" w:color="000000"/>
              <w:right w:val="single" w:sz="4" w:space="0" w:color="000000"/>
            </w:tcBorders>
            <w:vAlign w:val="bottom"/>
          </w:tcPr>
          <w:p w14:paraId="74135EFF"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87</w:t>
            </w:r>
          </w:p>
        </w:tc>
        <w:tc>
          <w:tcPr>
            <w:tcW w:w="1480" w:type="dxa"/>
            <w:tcBorders>
              <w:top w:val="single" w:sz="4" w:space="0" w:color="000000"/>
              <w:left w:val="single" w:sz="4" w:space="0" w:color="000000"/>
              <w:bottom w:val="single" w:sz="4" w:space="0" w:color="000000"/>
              <w:right w:val="single" w:sz="4" w:space="0" w:color="000000"/>
            </w:tcBorders>
            <w:vAlign w:val="bottom"/>
          </w:tcPr>
          <w:p w14:paraId="263046F6"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5</w:t>
            </w:r>
          </w:p>
        </w:tc>
      </w:tr>
      <w:tr w:rsidR="008D696C" w14:paraId="2041A6A7" w14:textId="77777777" w:rsidTr="0031604E">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3573447B" w14:textId="77777777" w:rsidR="008D696C" w:rsidRPr="00CB64A4" w:rsidRDefault="008D696C" w:rsidP="0031604E">
            <w:pPr>
              <w:spacing w:after="0" w:line="240" w:lineRule="auto"/>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Ing. Electrónica</w:t>
            </w:r>
          </w:p>
        </w:tc>
        <w:tc>
          <w:tcPr>
            <w:tcW w:w="1184"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2216F27C"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11</w:t>
            </w:r>
          </w:p>
        </w:tc>
        <w:tc>
          <w:tcPr>
            <w:tcW w:w="130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656143AE"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105</w:t>
            </w:r>
          </w:p>
        </w:tc>
        <w:tc>
          <w:tcPr>
            <w:tcW w:w="120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5F6E52BC"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116</w:t>
            </w:r>
          </w:p>
        </w:tc>
        <w:tc>
          <w:tcPr>
            <w:tcW w:w="148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2668DF0C"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10</w:t>
            </w:r>
          </w:p>
        </w:tc>
      </w:tr>
      <w:tr w:rsidR="008D696C" w14:paraId="5E7378F9" w14:textId="77777777" w:rsidTr="0031604E">
        <w:trPr>
          <w:trHeight w:val="300"/>
        </w:trPr>
        <w:tc>
          <w:tcPr>
            <w:tcW w:w="1696" w:type="dxa"/>
            <w:tcBorders>
              <w:top w:val="single" w:sz="4" w:space="0" w:color="000000"/>
              <w:left w:val="single" w:sz="4" w:space="0" w:color="000000"/>
              <w:bottom w:val="single" w:sz="4" w:space="0" w:color="000000"/>
              <w:right w:val="single" w:sz="4" w:space="0" w:color="000000"/>
            </w:tcBorders>
            <w:vAlign w:val="bottom"/>
          </w:tcPr>
          <w:p w14:paraId="11A31F99" w14:textId="77777777" w:rsidR="008D696C" w:rsidRPr="00CB64A4" w:rsidRDefault="008D696C" w:rsidP="0031604E">
            <w:pPr>
              <w:spacing w:after="0" w:line="240" w:lineRule="auto"/>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Ing. Civil</w:t>
            </w:r>
          </w:p>
        </w:tc>
        <w:tc>
          <w:tcPr>
            <w:tcW w:w="1184" w:type="dxa"/>
            <w:tcBorders>
              <w:top w:val="single" w:sz="4" w:space="0" w:color="000000"/>
              <w:left w:val="single" w:sz="4" w:space="0" w:color="000000"/>
              <w:bottom w:val="single" w:sz="4" w:space="0" w:color="000000"/>
              <w:right w:val="single" w:sz="4" w:space="0" w:color="000000"/>
            </w:tcBorders>
            <w:vAlign w:val="bottom"/>
          </w:tcPr>
          <w:p w14:paraId="39FFFCA3"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25</w:t>
            </w:r>
          </w:p>
        </w:tc>
        <w:tc>
          <w:tcPr>
            <w:tcW w:w="1300" w:type="dxa"/>
            <w:tcBorders>
              <w:top w:val="single" w:sz="4" w:space="0" w:color="000000"/>
              <w:left w:val="single" w:sz="4" w:space="0" w:color="000000"/>
              <w:bottom w:val="single" w:sz="4" w:space="0" w:color="000000"/>
              <w:right w:val="single" w:sz="4" w:space="0" w:color="000000"/>
            </w:tcBorders>
            <w:vAlign w:val="bottom"/>
          </w:tcPr>
          <w:p w14:paraId="2C8BBAB4"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63</w:t>
            </w:r>
          </w:p>
        </w:tc>
        <w:tc>
          <w:tcPr>
            <w:tcW w:w="1200" w:type="dxa"/>
            <w:tcBorders>
              <w:top w:val="single" w:sz="4" w:space="0" w:color="000000"/>
              <w:left w:val="single" w:sz="4" w:space="0" w:color="000000"/>
              <w:bottom w:val="single" w:sz="4" w:space="0" w:color="000000"/>
              <w:right w:val="single" w:sz="4" w:space="0" w:color="000000"/>
            </w:tcBorders>
            <w:vAlign w:val="bottom"/>
          </w:tcPr>
          <w:p w14:paraId="07865BCB"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88</w:t>
            </w:r>
          </w:p>
        </w:tc>
        <w:tc>
          <w:tcPr>
            <w:tcW w:w="1480" w:type="dxa"/>
            <w:tcBorders>
              <w:top w:val="single" w:sz="4" w:space="0" w:color="000000"/>
              <w:left w:val="single" w:sz="4" w:space="0" w:color="000000"/>
              <w:bottom w:val="single" w:sz="4" w:space="0" w:color="000000"/>
              <w:right w:val="single" w:sz="4" w:space="0" w:color="000000"/>
            </w:tcBorders>
            <w:vAlign w:val="bottom"/>
          </w:tcPr>
          <w:p w14:paraId="487C2A66"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40</w:t>
            </w:r>
          </w:p>
        </w:tc>
      </w:tr>
      <w:tr w:rsidR="008D696C" w14:paraId="67C41C00" w14:textId="77777777" w:rsidTr="0031604E">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0EF4D435" w14:textId="77777777" w:rsidR="008D696C" w:rsidRPr="00CB64A4" w:rsidRDefault="008D696C" w:rsidP="0031604E">
            <w:pPr>
              <w:spacing w:after="0" w:line="240" w:lineRule="auto"/>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Ing. Industrial</w:t>
            </w:r>
          </w:p>
        </w:tc>
        <w:tc>
          <w:tcPr>
            <w:tcW w:w="1184"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617DB05F"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36</w:t>
            </w:r>
          </w:p>
        </w:tc>
        <w:tc>
          <w:tcPr>
            <w:tcW w:w="130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2DE4126A"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99</w:t>
            </w:r>
          </w:p>
        </w:tc>
        <w:tc>
          <w:tcPr>
            <w:tcW w:w="120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21A3478C"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135</w:t>
            </w:r>
          </w:p>
        </w:tc>
        <w:tc>
          <w:tcPr>
            <w:tcW w:w="148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0FFC93F0"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36</w:t>
            </w:r>
          </w:p>
        </w:tc>
      </w:tr>
      <w:tr w:rsidR="008D696C" w14:paraId="1C8C4361" w14:textId="77777777" w:rsidTr="0031604E">
        <w:trPr>
          <w:trHeight w:val="300"/>
        </w:trPr>
        <w:tc>
          <w:tcPr>
            <w:tcW w:w="1696" w:type="dxa"/>
            <w:tcBorders>
              <w:top w:val="single" w:sz="4" w:space="0" w:color="000000"/>
              <w:left w:val="single" w:sz="4" w:space="0" w:color="000000"/>
              <w:bottom w:val="single" w:sz="4" w:space="0" w:color="000000"/>
              <w:right w:val="single" w:sz="4" w:space="0" w:color="000000"/>
            </w:tcBorders>
            <w:vAlign w:val="bottom"/>
          </w:tcPr>
          <w:p w14:paraId="69732695" w14:textId="77777777" w:rsidR="008D696C" w:rsidRPr="00CB64A4" w:rsidRDefault="008D696C" w:rsidP="0031604E">
            <w:pPr>
              <w:spacing w:after="0" w:line="240" w:lineRule="auto"/>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Ing. Química</w:t>
            </w:r>
          </w:p>
        </w:tc>
        <w:tc>
          <w:tcPr>
            <w:tcW w:w="1184" w:type="dxa"/>
            <w:tcBorders>
              <w:top w:val="single" w:sz="4" w:space="0" w:color="000000"/>
              <w:left w:val="single" w:sz="4" w:space="0" w:color="000000"/>
              <w:bottom w:val="single" w:sz="4" w:space="0" w:color="000000"/>
              <w:right w:val="single" w:sz="4" w:space="0" w:color="000000"/>
            </w:tcBorders>
            <w:vAlign w:val="bottom"/>
          </w:tcPr>
          <w:p w14:paraId="019C0244"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49</w:t>
            </w:r>
          </w:p>
        </w:tc>
        <w:tc>
          <w:tcPr>
            <w:tcW w:w="1300" w:type="dxa"/>
            <w:tcBorders>
              <w:top w:val="single" w:sz="4" w:space="0" w:color="000000"/>
              <w:left w:val="single" w:sz="4" w:space="0" w:color="000000"/>
              <w:bottom w:val="single" w:sz="4" w:space="0" w:color="000000"/>
              <w:right w:val="single" w:sz="4" w:space="0" w:color="000000"/>
            </w:tcBorders>
            <w:vAlign w:val="bottom"/>
          </w:tcPr>
          <w:p w14:paraId="590F9FE7"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57</w:t>
            </w:r>
          </w:p>
        </w:tc>
        <w:tc>
          <w:tcPr>
            <w:tcW w:w="1200" w:type="dxa"/>
            <w:tcBorders>
              <w:top w:val="single" w:sz="4" w:space="0" w:color="000000"/>
              <w:left w:val="single" w:sz="4" w:space="0" w:color="000000"/>
              <w:bottom w:val="single" w:sz="4" w:space="0" w:color="000000"/>
              <w:right w:val="single" w:sz="4" w:space="0" w:color="000000"/>
            </w:tcBorders>
            <w:vAlign w:val="bottom"/>
          </w:tcPr>
          <w:p w14:paraId="47763969"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106</w:t>
            </w:r>
          </w:p>
        </w:tc>
        <w:tc>
          <w:tcPr>
            <w:tcW w:w="1480" w:type="dxa"/>
            <w:tcBorders>
              <w:top w:val="single" w:sz="4" w:space="0" w:color="000000"/>
              <w:left w:val="single" w:sz="4" w:space="0" w:color="000000"/>
              <w:bottom w:val="single" w:sz="4" w:space="0" w:color="000000"/>
              <w:right w:val="single" w:sz="4" w:space="0" w:color="000000"/>
            </w:tcBorders>
            <w:vAlign w:val="bottom"/>
          </w:tcPr>
          <w:p w14:paraId="1D8543F1"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86</w:t>
            </w:r>
          </w:p>
        </w:tc>
      </w:tr>
      <w:tr w:rsidR="008D696C" w14:paraId="20880333" w14:textId="77777777" w:rsidTr="0031604E">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4C019703" w14:textId="77777777" w:rsidR="008D696C" w:rsidRPr="00CB64A4" w:rsidRDefault="008D696C" w:rsidP="0031604E">
            <w:pPr>
              <w:spacing w:after="0" w:line="240" w:lineRule="auto"/>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Total</w:t>
            </w:r>
          </w:p>
        </w:tc>
        <w:tc>
          <w:tcPr>
            <w:tcW w:w="1184"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740B1F76"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137</w:t>
            </w:r>
          </w:p>
        </w:tc>
        <w:tc>
          <w:tcPr>
            <w:tcW w:w="130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69C2D5BF"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518</w:t>
            </w:r>
          </w:p>
        </w:tc>
        <w:tc>
          <w:tcPr>
            <w:tcW w:w="120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728EDF2B"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655</w:t>
            </w:r>
          </w:p>
        </w:tc>
        <w:tc>
          <w:tcPr>
            <w:tcW w:w="148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6E146C34" w14:textId="77777777" w:rsidR="008D696C" w:rsidRPr="00CB64A4" w:rsidRDefault="008D696C" w:rsidP="0031604E">
            <w:pPr>
              <w:spacing w:after="0" w:line="240" w:lineRule="auto"/>
              <w:jc w:val="right"/>
              <w:rPr>
                <w:rFonts w:ascii="Times New Roman" w:eastAsia="Times New Roman" w:hAnsi="Times New Roman" w:cs="Times New Roman"/>
                <w:color w:val="000000"/>
                <w:sz w:val="22"/>
                <w:szCs w:val="22"/>
              </w:rPr>
            </w:pPr>
            <w:r w:rsidRPr="00CB64A4">
              <w:rPr>
                <w:rFonts w:ascii="Times New Roman" w:eastAsia="Times New Roman" w:hAnsi="Times New Roman" w:cs="Times New Roman"/>
                <w:color w:val="000000"/>
                <w:sz w:val="22"/>
                <w:szCs w:val="22"/>
              </w:rPr>
              <w:t>26</w:t>
            </w:r>
          </w:p>
        </w:tc>
      </w:tr>
    </w:tbl>
    <w:p w14:paraId="1CEF7C31" w14:textId="77777777" w:rsidR="008D696C" w:rsidRDefault="008D696C" w:rsidP="008D696C">
      <w:pPr>
        <w:spacing w:line="240" w:lineRule="auto"/>
        <w:jc w:val="both"/>
        <w:rPr>
          <w:rFonts w:ascii="Times New Roman" w:eastAsia="Times New Roman" w:hAnsi="Times New Roman" w:cs="Times New Roman"/>
        </w:rPr>
      </w:pPr>
    </w:p>
    <w:p w14:paraId="2A7C3447"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Se trata de personas solteras (97%), siendo menores los casos que declaran estar casados/as o unidos/as, y los que están en esta condición son casi todos varones, sólo una mujer se registra como casada. </w:t>
      </w:r>
    </w:p>
    <w:p w14:paraId="79EE3E6A"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El 90% ha nacido en el Área Metropolitana de Buenos Aires, le siguen los/as que nacieron en otros partidos de la provincia de Buenos Aires. Es significativamente menor el porcentaje de ingresantes que nacieron en otras provincias u otros países limítrofes (Gráfico 1). Asimismo, el 94% reside en el Gran Buenos Aires, y los partidos de Quilmes (27%) y Avellaneda (19%) ubicados en la zona de influencia de la Facultad son los que aportan el mayor volumen de población estudiantil (Gráfico 2).</w:t>
      </w:r>
    </w:p>
    <w:p w14:paraId="43DD524F" w14:textId="77777777" w:rsidR="008D696C" w:rsidRDefault="008D696C" w:rsidP="008D696C">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Algunos datos sobre las familias de origen </w:t>
      </w:r>
    </w:p>
    <w:p w14:paraId="1CAB6676"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70% de los padres y de las madres han nacido en el AMBA: un 52% en el Gran Buenos Aires y el 18% restante en la Ciudad Autónoma de Buenos Aires. Le siguen en importancia los padres y las madres que han nacido en otras provincias, un 11% y un 12% respectivamente. El resto han migrado del interior de la provincia de Buenos Aires o de otros países, en especial de países limítrofes. </w:t>
      </w:r>
    </w:p>
    <w:p w14:paraId="76867476"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cuanto a la situación laboral de los padres, la gran mayoría se encuentra trabajando, representando el 82% de los casos. Por el contrario, un porcentaje marginal del 3% está </w:t>
      </w:r>
      <w:r>
        <w:rPr>
          <w:rFonts w:ascii="Times New Roman" w:eastAsia="Times New Roman" w:hAnsi="Times New Roman" w:cs="Times New Roman"/>
        </w:rPr>
        <w:lastRenderedPageBreak/>
        <w:t>desempleado, mientras que un 5% se mantiene en condición de inactividad laboral, (el 10% restante se compone de padres que han fallecido o de quienes no se tiene información/contacto). Respecto de las madres se observa que la mayoría también se encuentra ocupada (70%). Sin embargo, a diferencia de los padres, la inactividad laboral en este grupo es significativamente mayor, alcanzando el 17%. Esta categoría además de estar compuesta por jubiladas y/o pensionadas, responde en mayor medida a mujeres dedicadas en exclusividad a tareas del hogar y de cuidado no remuneradas, lo que evidencia su rol en la reproducción de la fuerza de trabajo. Por último, la tasa de desocupación activa se sitúa en el 7%, superando a la de los padres por cuatro puntos porcentuales. El resto de los casos no corresponde porque hay madres fallecidas o se desconoce su actividad/situación.</w:t>
      </w:r>
    </w:p>
    <w:p w14:paraId="1F2ECA88" w14:textId="77777777" w:rsidR="008D696C" w:rsidRDefault="008D696C" w:rsidP="008D696C">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Gráfico 1</w:t>
      </w:r>
    </w:p>
    <w:p w14:paraId="611C7A07" w14:textId="77777777" w:rsidR="008D696C" w:rsidRDefault="008D696C" w:rsidP="008D696C">
      <w:pPr>
        <w:spacing w:line="240" w:lineRule="auto"/>
        <w:jc w:val="both"/>
        <w:rPr>
          <w:rFonts w:ascii="Times New Roman" w:eastAsia="Times New Roman" w:hAnsi="Times New Roman" w:cs="Times New Roman"/>
          <w:i/>
          <w:iCs/>
        </w:rPr>
      </w:pPr>
      <w:r>
        <w:rPr>
          <w:rFonts w:ascii="Times New Roman" w:eastAsia="Times New Roman" w:hAnsi="Times New Roman" w:cs="Times New Roman"/>
          <w:i/>
          <w:iCs/>
        </w:rPr>
        <w:t>Distribución de ingresantes 2023-2024 por lugar de nacimiento (N=655)</w:t>
      </w:r>
      <w:r>
        <w:rPr>
          <w:noProof/>
          <w:lang w:val="es-AR" w:eastAsia="es-AR"/>
        </w:rPr>
        <w:drawing>
          <wp:anchor distT="0" distB="0" distL="0" distR="0" simplePos="0" relativeHeight="251659264" behindDoc="0" locked="0" layoutInCell="1" hidden="0" allowOverlap="1" wp14:anchorId="0B1BD265" wp14:editId="456321BE">
            <wp:simplePos x="0" y="0"/>
            <wp:positionH relativeFrom="column">
              <wp:posOffset>0</wp:posOffset>
            </wp:positionH>
            <wp:positionV relativeFrom="paragraph">
              <wp:posOffset>267320</wp:posOffset>
            </wp:positionV>
            <wp:extent cx="4063512" cy="2080518"/>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t="15105"/>
                    <a:stretch>
                      <a:fillRect/>
                    </a:stretch>
                  </pic:blipFill>
                  <pic:spPr>
                    <a:xfrm>
                      <a:off x="0" y="0"/>
                      <a:ext cx="4063512" cy="2080518"/>
                    </a:xfrm>
                    <a:prstGeom prst="rect">
                      <a:avLst/>
                    </a:prstGeom>
                    <a:ln/>
                  </pic:spPr>
                </pic:pic>
              </a:graphicData>
            </a:graphic>
          </wp:anchor>
        </w:drawing>
      </w:r>
    </w:p>
    <w:p w14:paraId="1C824858" w14:textId="77777777" w:rsidR="008D696C" w:rsidRDefault="008D696C" w:rsidP="008D696C">
      <w:pPr>
        <w:spacing w:line="240" w:lineRule="auto"/>
        <w:jc w:val="both"/>
        <w:rPr>
          <w:rFonts w:ascii="Times New Roman" w:eastAsia="Times New Roman" w:hAnsi="Times New Roman" w:cs="Times New Roman"/>
          <w:i/>
          <w:iCs/>
        </w:rPr>
      </w:pPr>
    </w:p>
    <w:p w14:paraId="4D1E1DBA" w14:textId="77777777" w:rsidR="008D696C" w:rsidRDefault="008D696C" w:rsidP="008D696C">
      <w:pPr>
        <w:spacing w:line="240" w:lineRule="auto"/>
        <w:jc w:val="both"/>
        <w:rPr>
          <w:rFonts w:ascii="Times New Roman" w:eastAsia="Times New Roman" w:hAnsi="Times New Roman" w:cs="Times New Roman"/>
          <w:i/>
          <w:iCs/>
        </w:rPr>
      </w:pPr>
    </w:p>
    <w:p w14:paraId="17674688" w14:textId="77777777" w:rsidR="008D696C" w:rsidRDefault="008D696C" w:rsidP="008D696C">
      <w:pPr>
        <w:spacing w:line="240" w:lineRule="auto"/>
        <w:jc w:val="both"/>
        <w:rPr>
          <w:rFonts w:ascii="Times New Roman" w:eastAsia="Times New Roman" w:hAnsi="Times New Roman" w:cs="Times New Roman"/>
          <w:i/>
          <w:iCs/>
        </w:rPr>
      </w:pPr>
    </w:p>
    <w:p w14:paraId="7009A0B3" w14:textId="77777777" w:rsidR="008D696C" w:rsidRDefault="008D696C" w:rsidP="008D696C">
      <w:pPr>
        <w:spacing w:line="240" w:lineRule="auto"/>
        <w:rPr>
          <w:rFonts w:ascii="Times New Roman" w:eastAsia="Times New Roman" w:hAnsi="Times New Roman" w:cs="Times New Roman"/>
          <w:i/>
          <w:iCs/>
        </w:rPr>
      </w:pPr>
    </w:p>
    <w:p w14:paraId="3C66F64D" w14:textId="77777777" w:rsidR="008D696C" w:rsidRDefault="008D696C" w:rsidP="008D696C">
      <w:pPr>
        <w:spacing w:line="240" w:lineRule="auto"/>
        <w:rPr>
          <w:rFonts w:ascii="Times New Roman" w:eastAsia="Times New Roman" w:hAnsi="Times New Roman" w:cs="Times New Roman"/>
          <w:i/>
          <w:iCs/>
        </w:rPr>
      </w:pPr>
    </w:p>
    <w:p w14:paraId="5503CACD" w14:textId="77777777" w:rsidR="008D696C" w:rsidRDefault="008D696C" w:rsidP="008D696C">
      <w:pPr>
        <w:spacing w:line="240" w:lineRule="auto"/>
        <w:rPr>
          <w:rFonts w:ascii="Times New Roman" w:eastAsia="Times New Roman" w:hAnsi="Times New Roman" w:cs="Times New Roman"/>
          <w:i/>
          <w:iCs/>
        </w:rPr>
      </w:pPr>
    </w:p>
    <w:p w14:paraId="0D880AB8" w14:textId="77777777" w:rsidR="008D696C" w:rsidRDefault="008D696C" w:rsidP="008D696C">
      <w:pPr>
        <w:spacing w:line="240" w:lineRule="auto"/>
        <w:jc w:val="both"/>
        <w:rPr>
          <w:rFonts w:ascii="Times New Roman" w:eastAsia="Times New Roman" w:hAnsi="Times New Roman" w:cs="Times New Roman"/>
          <w:b/>
          <w:bCs/>
        </w:rPr>
      </w:pPr>
    </w:p>
    <w:p w14:paraId="370FEC11" w14:textId="77777777" w:rsidR="008D696C" w:rsidRDefault="008D696C" w:rsidP="008D696C">
      <w:pPr>
        <w:spacing w:line="240" w:lineRule="auto"/>
        <w:jc w:val="both"/>
        <w:rPr>
          <w:rFonts w:ascii="Times New Roman" w:eastAsia="Times New Roman" w:hAnsi="Times New Roman" w:cs="Times New Roman"/>
          <w:b/>
          <w:bCs/>
        </w:rPr>
      </w:pPr>
    </w:p>
    <w:p w14:paraId="78E01CFE" w14:textId="77777777" w:rsidR="008D696C" w:rsidRDefault="008D696C" w:rsidP="008D696C">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Gráfico 2</w:t>
      </w:r>
    </w:p>
    <w:p w14:paraId="48C52DCA" w14:textId="77777777" w:rsidR="008D696C" w:rsidRDefault="008D696C" w:rsidP="008D696C">
      <w:pPr>
        <w:spacing w:line="240" w:lineRule="auto"/>
        <w:jc w:val="both"/>
        <w:rPr>
          <w:rFonts w:ascii="Times New Roman" w:eastAsia="Times New Roman" w:hAnsi="Times New Roman" w:cs="Times New Roman"/>
          <w:i/>
          <w:iCs/>
        </w:rPr>
      </w:pPr>
      <w:r>
        <w:rPr>
          <w:rFonts w:ascii="Times New Roman" w:eastAsia="Times New Roman" w:hAnsi="Times New Roman" w:cs="Times New Roman"/>
          <w:i/>
          <w:iCs/>
        </w:rPr>
        <w:t>Distribución de ingresantes 2023-2024 por lugar de residencia (N=655)</w:t>
      </w:r>
    </w:p>
    <w:p w14:paraId="4F7A7F6A" w14:textId="77777777" w:rsidR="008D696C" w:rsidRDefault="008D696C" w:rsidP="008D696C">
      <w:pPr>
        <w:spacing w:line="240" w:lineRule="auto"/>
        <w:jc w:val="both"/>
        <w:rPr>
          <w:rFonts w:ascii="Times New Roman" w:eastAsia="Times New Roman" w:hAnsi="Times New Roman" w:cs="Times New Roman"/>
          <w:b/>
          <w:bCs/>
        </w:rPr>
      </w:pPr>
      <w:r>
        <w:rPr>
          <w:noProof/>
          <w:lang w:val="es-AR" w:eastAsia="es-AR"/>
        </w:rPr>
        <w:drawing>
          <wp:anchor distT="0" distB="0" distL="0" distR="0" simplePos="0" relativeHeight="251660288" behindDoc="0" locked="0" layoutInCell="1" hidden="0" allowOverlap="1" wp14:anchorId="07124095" wp14:editId="62443D56">
            <wp:simplePos x="0" y="0"/>
            <wp:positionH relativeFrom="margin">
              <wp:align>left</wp:align>
            </wp:positionH>
            <wp:positionV relativeFrom="paragraph">
              <wp:posOffset>33655</wp:posOffset>
            </wp:positionV>
            <wp:extent cx="3848100" cy="2495550"/>
            <wp:effectExtent l="0" t="0" r="0" b="0"/>
            <wp:wrapSquare wrapText="bothSides" distT="0" distB="0" distL="0" distR="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t="16499"/>
                    <a:stretch>
                      <a:fillRect/>
                    </a:stretch>
                  </pic:blipFill>
                  <pic:spPr>
                    <a:xfrm>
                      <a:off x="0" y="0"/>
                      <a:ext cx="3848100" cy="2495550"/>
                    </a:xfrm>
                    <a:prstGeom prst="rect">
                      <a:avLst/>
                    </a:prstGeom>
                    <a:ln/>
                  </pic:spPr>
                </pic:pic>
              </a:graphicData>
            </a:graphic>
            <wp14:sizeRelH relativeFrom="margin">
              <wp14:pctWidth>0</wp14:pctWidth>
            </wp14:sizeRelH>
            <wp14:sizeRelV relativeFrom="margin">
              <wp14:pctHeight>0</wp14:pctHeight>
            </wp14:sizeRelV>
          </wp:anchor>
        </w:drawing>
      </w:r>
    </w:p>
    <w:p w14:paraId="2976E7F7" w14:textId="77777777" w:rsidR="008D696C" w:rsidRDefault="008D696C" w:rsidP="008D696C">
      <w:pPr>
        <w:spacing w:line="240" w:lineRule="auto"/>
        <w:jc w:val="both"/>
        <w:rPr>
          <w:rFonts w:ascii="Times New Roman" w:eastAsia="Times New Roman" w:hAnsi="Times New Roman" w:cs="Times New Roman"/>
          <w:b/>
          <w:bCs/>
        </w:rPr>
      </w:pPr>
    </w:p>
    <w:p w14:paraId="51ADBC21" w14:textId="77777777" w:rsidR="008D696C" w:rsidRDefault="008D696C" w:rsidP="008D696C">
      <w:pPr>
        <w:spacing w:line="240" w:lineRule="auto"/>
        <w:jc w:val="both"/>
        <w:rPr>
          <w:rFonts w:ascii="Times New Roman" w:eastAsia="Times New Roman" w:hAnsi="Times New Roman" w:cs="Times New Roman"/>
          <w:b/>
          <w:bCs/>
        </w:rPr>
      </w:pPr>
    </w:p>
    <w:p w14:paraId="1117302F" w14:textId="77777777" w:rsidR="008D696C" w:rsidRDefault="008D696C" w:rsidP="008D696C">
      <w:pPr>
        <w:spacing w:line="240" w:lineRule="auto"/>
        <w:jc w:val="both"/>
        <w:rPr>
          <w:rFonts w:ascii="Times New Roman" w:eastAsia="Times New Roman" w:hAnsi="Times New Roman" w:cs="Times New Roman"/>
          <w:b/>
          <w:bCs/>
        </w:rPr>
      </w:pPr>
    </w:p>
    <w:p w14:paraId="41A027A8" w14:textId="77777777" w:rsidR="008D696C" w:rsidRDefault="008D696C" w:rsidP="008D696C">
      <w:pPr>
        <w:spacing w:line="240" w:lineRule="auto"/>
        <w:jc w:val="both"/>
        <w:rPr>
          <w:rFonts w:ascii="Times New Roman" w:eastAsia="Times New Roman" w:hAnsi="Times New Roman" w:cs="Times New Roman"/>
          <w:b/>
          <w:bCs/>
        </w:rPr>
      </w:pPr>
    </w:p>
    <w:p w14:paraId="381E34CB" w14:textId="77777777" w:rsidR="008D696C" w:rsidRDefault="008D696C" w:rsidP="008D696C">
      <w:pPr>
        <w:spacing w:line="240" w:lineRule="auto"/>
        <w:jc w:val="both"/>
        <w:rPr>
          <w:rFonts w:ascii="Times New Roman" w:eastAsia="Times New Roman" w:hAnsi="Times New Roman" w:cs="Times New Roman"/>
          <w:b/>
          <w:bCs/>
        </w:rPr>
      </w:pPr>
    </w:p>
    <w:p w14:paraId="79DC24A3" w14:textId="77777777" w:rsidR="008D696C" w:rsidRDefault="008D696C" w:rsidP="008D696C">
      <w:pPr>
        <w:spacing w:line="240" w:lineRule="auto"/>
        <w:jc w:val="both"/>
        <w:rPr>
          <w:rFonts w:ascii="Times New Roman" w:eastAsia="Times New Roman" w:hAnsi="Times New Roman" w:cs="Times New Roman"/>
          <w:b/>
          <w:bCs/>
        </w:rPr>
      </w:pPr>
    </w:p>
    <w:p w14:paraId="0D7679B4" w14:textId="77777777" w:rsidR="008D696C" w:rsidRDefault="008D696C" w:rsidP="008D696C">
      <w:pPr>
        <w:spacing w:line="240" w:lineRule="auto"/>
        <w:jc w:val="both"/>
        <w:rPr>
          <w:rFonts w:ascii="Times New Roman" w:eastAsia="Times New Roman" w:hAnsi="Times New Roman" w:cs="Times New Roman"/>
          <w:b/>
          <w:bCs/>
        </w:rPr>
      </w:pPr>
    </w:p>
    <w:p w14:paraId="1527A4DE" w14:textId="77777777" w:rsidR="008D696C" w:rsidRDefault="008D696C" w:rsidP="008D696C">
      <w:pPr>
        <w:spacing w:line="240" w:lineRule="auto"/>
        <w:jc w:val="both"/>
        <w:rPr>
          <w:rFonts w:ascii="Times New Roman" w:eastAsia="Times New Roman" w:hAnsi="Times New Roman" w:cs="Times New Roman"/>
        </w:rPr>
      </w:pPr>
    </w:p>
    <w:p w14:paraId="2CEC8E26"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Respecto a la situación laboral de los/as progenitores que trabajan, se observa una distribución homogénea entre padres y madres. La mayoría se desempeña bajo relación de dependencia como empleados/as obreros/as con aportes jubilatorios (57% y 58% respectivamente). Esta paridad se replica en las demás categorías: el empleo no registrado (empleados/as obreros/as sin descuento jubilatorio) abarca al 7% de los padres y al 8% de las madres, mientras que la posición de dueños/as o patrones/as representa el 4% y el 3% respectivamente. Por su parte, el trabajo por cuenta propia constituye la segunda categoría más relevante, concentrando al 27% de los padres y al 26% de las madres. Finalmente, la condición de trabajador/a familiar sin remuneración fija registra un 5% para ambos casos. Así, el entorno familiar suele estar caracterizado por el empleo formal, la estabilidad económica y la protección laboral.</w:t>
      </w:r>
    </w:p>
    <w:p w14:paraId="0A1615CF"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esta línea se registra que al momento de la inscripción al Seminario Universitario la mayoría (70%) de la cohorte 2023 menciona al aporte de su familia como fuente principal de ingresos, un 4% corresponde a becas y el 26% restante al trabajo o renta personal. Las mismas proporciones se mantienen para la cohorte 2024, con un leve ascenso de quienes perciben becas (7%) y descenso de quienes se mantienen con su trabajo o renta personal (24%) (Anuarios Estadísticos UTN Avellaneda Serie Ingresantes 2023 y 2024).   </w:t>
      </w:r>
    </w:p>
    <w:p w14:paraId="0C4F5D0D" w14:textId="77777777" w:rsidR="008D696C" w:rsidRDefault="008D696C" w:rsidP="008D696C">
      <w:pPr>
        <w:spacing w:line="240" w:lineRule="auto"/>
        <w:jc w:val="both"/>
        <w:rPr>
          <w:rFonts w:ascii="Times New Roman" w:eastAsia="Times New Roman" w:hAnsi="Times New Roman" w:cs="Times New Roman"/>
          <w:b/>
          <w:bCs/>
        </w:rPr>
      </w:pPr>
      <w:r>
        <w:rPr>
          <w:rFonts w:ascii="Times New Roman" w:eastAsia="Times New Roman" w:hAnsi="Times New Roman" w:cs="Times New Roman"/>
        </w:rPr>
        <w:t xml:space="preserve">En cuanto al nivel de educativo de la familia de origen se observa que la mayoría de los padres y las madres se concentra en secundario completo, los niveles superiores son los que le siguen en importancia, a saber, el terciario incompleto, completo y los niveles universitarios. Hogares donde los padres y las madres cuentan con estudios superiores, generan una ventaja comparativa para los/as ingresantes al iniciar su carrera profesional respecto de quienes son primera generación de estudiantes universitarios/as. Este contexto no solo les aporta cierta estabilidad económica para transitar los momentos de estudio, sino que fundamentalmente les transfiere saberes, códigos y experiencias clave para el ámbito universitario. Se aclara que el total de población es de 649, ya que los pocos casos faltantes corresponden a ingresantes que declaran no tener esa información. </w:t>
      </w:r>
    </w:p>
    <w:p w14:paraId="5BB16DB3" w14:textId="77777777" w:rsidR="008D696C" w:rsidRDefault="008D696C" w:rsidP="008D696C">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Gráfico 3</w:t>
      </w:r>
    </w:p>
    <w:p w14:paraId="40CA4BC9" w14:textId="77777777" w:rsidR="008D696C" w:rsidRDefault="008D696C" w:rsidP="008D696C">
      <w:pPr>
        <w:spacing w:line="240" w:lineRule="auto"/>
        <w:jc w:val="both"/>
        <w:rPr>
          <w:rFonts w:ascii="Times New Roman" w:eastAsia="Times New Roman" w:hAnsi="Times New Roman" w:cs="Times New Roman"/>
          <w:i/>
          <w:iCs/>
        </w:rPr>
      </w:pPr>
      <w:r>
        <w:rPr>
          <w:rFonts w:ascii="Times New Roman" w:eastAsia="Times New Roman" w:hAnsi="Times New Roman" w:cs="Times New Roman"/>
          <w:i/>
          <w:iCs/>
        </w:rPr>
        <w:t>Máximo nivel educativo alcanzado de padre y madre de los y las ingresantes (n=649)</w:t>
      </w:r>
    </w:p>
    <w:p w14:paraId="2BCA3D1B" w14:textId="77777777" w:rsidR="008D696C" w:rsidRDefault="008D696C" w:rsidP="008D696C">
      <w:pPr>
        <w:spacing w:line="240" w:lineRule="auto"/>
        <w:rPr>
          <w:rFonts w:ascii="Times New Roman" w:eastAsia="Times New Roman" w:hAnsi="Times New Roman" w:cs="Times New Roman"/>
        </w:rPr>
      </w:pPr>
      <w:r>
        <w:rPr>
          <w:noProof/>
          <w:lang w:val="es-AR" w:eastAsia="es-AR"/>
        </w:rPr>
        <w:drawing>
          <wp:inline distT="0" distB="0" distL="0" distR="0" wp14:anchorId="6EF208B2" wp14:editId="5644898D">
            <wp:extent cx="3810000" cy="2371725"/>
            <wp:effectExtent l="0" t="0" r="0" b="9525"/>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810000" cy="2371725"/>
                    </a:xfrm>
                    <a:prstGeom prst="rect">
                      <a:avLst/>
                    </a:prstGeom>
                    <a:ln/>
                  </pic:spPr>
                </pic:pic>
              </a:graphicData>
            </a:graphic>
          </wp:inline>
        </w:drawing>
      </w:r>
    </w:p>
    <w:p w14:paraId="0896FB8B"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En este sentido es apreciable visibilizar el dato que arroja que el 59% de las madres y/o padres han cursado en el nivel superior, aunque no lo hayan completado (Tabla 2). Se reconstruye esta información para obtener aproximaciones al clima educativo del hogar y su posible incidencia en las trayectorias académicas de los/as jóvenes que aspiran al cursado del nivel superior. Como se observa, una parte importante de la población que ha aprobado el Seminario Universitario proviene de hogares cuyos progenitores han tenido experiencias en la formación universitaria (23%), dato que daría cuenta de altas probabilidades de permanecer en el nivel. En cambio, como indica la literatura y estudios recientes en el país, los y las estudiantes universitarios/as de primera generación tienen mayor probabilidad de abandonar sus estudios, aun controlando otras variables como el nivel socioeconómico de los hogares y los antecedentes educativos (García </w:t>
      </w:r>
      <w:proofErr w:type="spellStart"/>
      <w:r>
        <w:rPr>
          <w:rFonts w:ascii="Times New Roman" w:eastAsia="Times New Roman" w:hAnsi="Times New Roman" w:cs="Times New Roman"/>
        </w:rPr>
        <w:t>Fanelli</w:t>
      </w:r>
      <w:proofErr w:type="spellEnd"/>
      <w:r>
        <w:rPr>
          <w:rFonts w:ascii="Times New Roman" w:eastAsia="Times New Roman" w:hAnsi="Times New Roman" w:cs="Times New Roman"/>
        </w:rPr>
        <w:t>, 2025).</w:t>
      </w:r>
    </w:p>
    <w:p w14:paraId="233CC8F5" w14:textId="77777777" w:rsidR="008D696C" w:rsidRDefault="008D696C" w:rsidP="008D696C">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Tabla 2</w:t>
      </w:r>
    </w:p>
    <w:p w14:paraId="6DF62117" w14:textId="77777777" w:rsidR="008D696C" w:rsidRDefault="008D696C" w:rsidP="008D696C">
      <w:pPr>
        <w:spacing w:line="240" w:lineRule="auto"/>
        <w:jc w:val="both"/>
        <w:rPr>
          <w:rFonts w:ascii="Times New Roman" w:eastAsia="Times New Roman" w:hAnsi="Times New Roman" w:cs="Times New Roman"/>
          <w:i/>
          <w:iCs/>
        </w:rPr>
      </w:pPr>
      <w:r>
        <w:rPr>
          <w:rFonts w:ascii="Times New Roman" w:eastAsia="Times New Roman" w:hAnsi="Times New Roman" w:cs="Times New Roman"/>
          <w:i/>
          <w:iCs/>
        </w:rPr>
        <w:t>Distribución de ingresantes según si madre y/o padre cursaron en el nivel superior (N=655)</w:t>
      </w:r>
    </w:p>
    <w:tbl>
      <w:tblPr>
        <w:tblW w:w="7340" w:type="dxa"/>
        <w:tblLayout w:type="fixed"/>
        <w:tblLook w:val="0400" w:firstRow="0" w:lastRow="0" w:firstColumn="0" w:lastColumn="0" w:noHBand="0" w:noVBand="1"/>
      </w:tblPr>
      <w:tblGrid>
        <w:gridCol w:w="4733"/>
        <w:gridCol w:w="1410"/>
        <w:gridCol w:w="1197"/>
      </w:tblGrid>
      <w:tr w:rsidR="008D696C" w14:paraId="775358F5" w14:textId="77777777" w:rsidTr="0031604E">
        <w:trPr>
          <w:trHeight w:val="300"/>
        </w:trPr>
        <w:tc>
          <w:tcPr>
            <w:tcW w:w="4733" w:type="dxa"/>
            <w:tcBorders>
              <w:top w:val="single" w:sz="4" w:space="0" w:color="000000"/>
              <w:left w:val="single" w:sz="4" w:space="0" w:color="000000"/>
              <w:bottom w:val="single" w:sz="4" w:space="0" w:color="000000"/>
              <w:right w:val="single" w:sz="4" w:space="0" w:color="000000"/>
            </w:tcBorders>
            <w:shd w:val="clear" w:color="auto" w:fill="156082"/>
            <w:vAlign w:val="bottom"/>
          </w:tcPr>
          <w:p w14:paraId="16605124" w14:textId="77777777" w:rsidR="008D696C" w:rsidRPr="00CB64A4" w:rsidRDefault="008D696C" w:rsidP="0031604E">
            <w:pPr>
              <w:spacing w:after="0" w:line="240" w:lineRule="auto"/>
              <w:rPr>
                <w:rFonts w:ascii="Times New Roman" w:eastAsia="Times New Roman" w:hAnsi="Times New Roman" w:cs="Times New Roman"/>
                <w:color w:val="FFFFFF"/>
                <w:sz w:val="22"/>
                <w:szCs w:val="22"/>
              </w:rPr>
            </w:pPr>
            <w:r w:rsidRPr="00CB64A4">
              <w:rPr>
                <w:rFonts w:ascii="Times New Roman" w:eastAsia="Times New Roman" w:hAnsi="Times New Roman" w:cs="Times New Roman"/>
                <w:color w:val="FFFFFF"/>
                <w:sz w:val="22"/>
                <w:szCs w:val="22"/>
              </w:rPr>
              <w:t xml:space="preserve">Madre y/o padre cursaron en el nivel superior </w:t>
            </w:r>
          </w:p>
        </w:tc>
        <w:tc>
          <w:tcPr>
            <w:tcW w:w="1410" w:type="dxa"/>
            <w:tcBorders>
              <w:top w:val="single" w:sz="4" w:space="0" w:color="000000"/>
              <w:left w:val="single" w:sz="4" w:space="0" w:color="000000"/>
              <w:bottom w:val="single" w:sz="4" w:space="0" w:color="000000"/>
              <w:right w:val="single" w:sz="4" w:space="0" w:color="000000"/>
            </w:tcBorders>
            <w:shd w:val="clear" w:color="auto" w:fill="156082"/>
            <w:vAlign w:val="bottom"/>
          </w:tcPr>
          <w:p w14:paraId="08158735" w14:textId="77777777" w:rsidR="008D696C" w:rsidRPr="00CB64A4" w:rsidRDefault="008D696C" w:rsidP="0031604E">
            <w:pPr>
              <w:spacing w:after="0" w:line="240" w:lineRule="auto"/>
              <w:rPr>
                <w:rFonts w:ascii="Times New Roman" w:eastAsia="Times New Roman" w:hAnsi="Times New Roman" w:cs="Times New Roman"/>
                <w:color w:val="FFFFFF"/>
                <w:sz w:val="22"/>
                <w:szCs w:val="22"/>
              </w:rPr>
            </w:pPr>
            <w:r w:rsidRPr="00CB64A4">
              <w:rPr>
                <w:rFonts w:ascii="Times New Roman" w:eastAsia="Times New Roman" w:hAnsi="Times New Roman" w:cs="Times New Roman"/>
                <w:color w:val="FFFFFF"/>
                <w:sz w:val="22"/>
                <w:szCs w:val="22"/>
              </w:rPr>
              <w:t>Frecuencia</w:t>
            </w:r>
          </w:p>
        </w:tc>
        <w:tc>
          <w:tcPr>
            <w:tcW w:w="1197" w:type="dxa"/>
            <w:tcBorders>
              <w:top w:val="single" w:sz="4" w:space="0" w:color="000000"/>
              <w:left w:val="single" w:sz="4" w:space="0" w:color="000000"/>
              <w:bottom w:val="single" w:sz="4" w:space="0" w:color="000000"/>
              <w:right w:val="single" w:sz="4" w:space="0" w:color="000000"/>
            </w:tcBorders>
            <w:shd w:val="clear" w:color="auto" w:fill="156082"/>
            <w:vAlign w:val="bottom"/>
          </w:tcPr>
          <w:p w14:paraId="3CF0A76A" w14:textId="77777777" w:rsidR="008D696C" w:rsidRPr="00CB64A4" w:rsidRDefault="008D696C" w:rsidP="0031604E">
            <w:pPr>
              <w:spacing w:after="0" w:line="240" w:lineRule="auto"/>
              <w:rPr>
                <w:rFonts w:ascii="Times New Roman" w:eastAsia="Times New Roman" w:hAnsi="Times New Roman" w:cs="Times New Roman"/>
                <w:color w:val="FFFFFF"/>
                <w:sz w:val="22"/>
                <w:szCs w:val="22"/>
              </w:rPr>
            </w:pPr>
            <w:r w:rsidRPr="00CB64A4">
              <w:rPr>
                <w:rFonts w:ascii="Times New Roman" w:eastAsia="Times New Roman" w:hAnsi="Times New Roman" w:cs="Times New Roman"/>
                <w:color w:val="FFFFFF"/>
                <w:sz w:val="22"/>
                <w:szCs w:val="22"/>
              </w:rPr>
              <w:t>Porcentaje</w:t>
            </w:r>
          </w:p>
        </w:tc>
      </w:tr>
      <w:tr w:rsidR="008D696C" w14:paraId="6D8BCA4A" w14:textId="77777777" w:rsidTr="0031604E">
        <w:trPr>
          <w:trHeight w:val="300"/>
        </w:trPr>
        <w:tc>
          <w:tcPr>
            <w:tcW w:w="4733" w:type="dxa"/>
            <w:tcBorders>
              <w:top w:val="single" w:sz="4" w:space="0" w:color="000000"/>
              <w:left w:val="single" w:sz="4" w:space="0" w:color="000000"/>
              <w:bottom w:val="single" w:sz="4" w:space="0" w:color="000000"/>
              <w:right w:val="single" w:sz="4" w:space="0" w:color="000000"/>
            </w:tcBorders>
            <w:shd w:val="clear" w:color="auto" w:fill="C0E6F5"/>
          </w:tcPr>
          <w:p w14:paraId="5388ABD5" w14:textId="77777777" w:rsidR="008D696C" w:rsidRPr="00CB64A4" w:rsidRDefault="008D696C" w:rsidP="0031604E">
            <w:pPr>
              <w:spacing w:after="0" w:line="240" w:lineRule="auto"/>
              <w:ind w:firstLine="220"/>
              <w:rPr>
                <w:rFonts w:ascii="Times New Roman" w:eastAsia="Times New Roman" w:hAnsi="Times New Roman" w:cs="Times New Roman"/>
                <w:color w:val="0A0A0A"/>
                <w:sz w:val="22"/>
                <w:szCs w:val="22"/>
              </w:rPr>
            </w:pPr>
            <w:r w:rsidRPr="00CB64A4">
              <w:rPr>
                <w:rFonts w:ascii="Times New Roman" w:eastAsia="Times New Roman" w:hAnsi="Times New Roman" w:cs="Times New Roman"/>
                <w:color w:val="0A0A0A"/>
                <w:sz w:val="22"/>
                <w:szCs w:val="22"/>
              </w:rPr>
              <w:t>Sí</w:t>
            </w:r>
          </w:p>
        </w:tc>
        <w:tc>
          <w:tcPr>
            <w:tcW w:w="1410" w:type="dxa"/>
            <w:tcBorders>
              <w:top w:val="single" w:sz="4" w:space="0" w:color="000000"/>
              <w:left w:val="single" w:sz="4" w:space="0" w:color="000000"/>
              <w:bottom w:val="single" w:sz="4" w:space="0" w:color="000000"/>
              <w:right w:val="single" w:sz="4" w:space="0" w:color="000000"/>
            </w:tcBorders>
            <w:shd w:val="clear" w:color="auto" w:fill="C0E6F5"/>
          </w:tcPr>
          <w:p w14:paraId="3D34FBE5" w14:textId="77777777" w:rsidR="008D696C" w:rsidRPr="00CB64A4" w:rsidRDefault="008D696C" w:rsidP="0031604E">
            <w:pPr>
              <w:spacing w:after="0" w:line="240" w:lineRule="auto"/>
              <w:ind w:firstLine="220"/>
              <w:jc w:val="right"/>
              <w:rPr>
                <w:rFonts w:ascii="Times New Roman" w:eastAsia="Times New Roman" w:hAnsi="Times New Roman" w:cs="Times New Roman"/>
                <w:color w:val="0A0A0A"/>
                <w:sz w:val="22"/>
                <w:szCs w:val="22"/>
              </w:rPr>
            </w:pPr>
            <w:r w:rsidRPr="00CB64A4">
              <w:rPr>
                <w:rFonts w:ascii="Times New Roman" w:eastAsia="Times New Roman" w:hAnsi="Times New Roman" w:cs="Times New Roman"/>
                <w:color w:val="0A0A0A"/>
                <w:sz w:val="22"/>
                <w:szCs w:val="22"/>
              </w:rPr>
              <w:t>384</w:t>
            </w:r>
          </w:p>
        </w:tc>
        <w:tc>
          <w:tcPr>
            <w:tcW w:w="1197" w:type="dxa"/>
            <w:tcBorders>
              <w:top w:val="single" w:sz="4" w:space="0" w:color="000000"/>
              <w:left w:val="single" w:sz="4" w:space="0" w:color="000000"/>
              <w:bottom w:val="single" w:sz="4" w:space="0" w:color="000000"/>
              <w:right w:val="single" w:sz="4" w:space="0" w:color="000000"/>
            </w:tcBorders>
            <w:shd w:val="clear" w:color="auto" w:fill="C0E6F5"/>
          </w:tcPr>
          <w:p w14:paraId="34B06126" w14:textId="77777777" w:rsidR="008D696C" w:rsidRPr="00CB64A4" w:rsidRDefault="008D696C" w:rsidP="0031604E">
            <w:pPr>
              <w:spacing w:after="0" w:line="240" w:lineRule="auto"/>
              <w:jc w:val="right"/>
              <w:rPr>
                <w:rFonts w:ascii="Times New Roman" w:eastAsia="Times New Roman" w:hAnsi="Times New Roman" w:cs="Times New Roman"/>
                <w:color w:val="0A0A0A"/>
                <w:sz w:val="22"/>
                <w:szCs w:val="22"/>
              </w:rPr>
            </w:pPr>
            <w:r w:rsidRPr="00CB64A4">
              <w:rPr>
                <w:rFonts w:ascii="Times New Roman" w:eastAsia="Times New Roman" w:hAnsi="Times New Roman" w:cs="Times New Roman"/>
                <w:color w:val="0A0A0A"/>
                <w:sz w:val="22"/>
                <w:szCs w:val="22"/>
              </w:rPr>
              <w:t>59%</w:t>
            </w:r>
          </w:p>
        </w:tc>
      </w:tr>
      <w:tr w:rsidR="008D696C" w14:paraId="3E2002AC" w14:textId="77777777" w:rsidTr="0031604E">
        <w:trPr>
          <w:trHeight w:val="300"/>
        </w:trPr>
        <w:tc>
          <w:tcPr>
            <w:tcW w:w="4733" w:type="dxa"/>
            <w:tcBorders>
              <w:top w:val="single" w:sz="4" w:space="0" w:color="000000"/>
              <w:left w:val="single" w:sz="4" w:space="0" w:color="000000"/>
              <w:bottom w:val="single" w:sz="4" w:space="0" w:color="000000"/>
              <w:right w:val="single" w:sz="4" w:space="0" w:color="000000"/>
            </w:tcBorders>
          </w:tcPr>
          <w:p w14:paraId="26DC70C5" w14:textId="77777777" w:rsidR="008D696C" w:rsidRPr="00CB64A4" w:rsidRDefault="008D696C" w:rsidP="0031604E">
            <w:pPr>
              <w:spacing w:after="0" w:line="240" w:lineRule="auto"/>
              <w:ind w:firstLine="220"/>
              <w:rPr>
                <w:rFonts w:ascii="Times New Roman" w:eastAsia="Times New Roman" w:hAnsi="Times New Roman" w:cs="Times New Roman"/>
                <w:color w:val="0A0A0A"/>
                <w:sz w:val="22"/>
                <w:szCs w:val="22"/>
              </w:rPr>
            </w:pPr>
            <w:r w:rsidRPr="00CB64A4">
              <w:rPr>
                <w:rFonts w:ascii="Times New Roman" w:eastAsia="Times New Roman" w:hAnsi="Times New Roman" w:cs="Times New Roman"/>
                <w:color w:val="0A0A0A"/>
                <w:sz w:val="22"/>
                <w:szCs w:val="22"/>
              </w:rPr>
              <w:t>No</w:t>
            </w:r>
          </w:p>
        </w:tc>
        <w:tc>
          <w:tcPr>
            <w:tcW w:w="1410" w:type="dxa"/>
            <w:tcBorders>
              <w:top w:val="single" w:sz="4" w:space="0" w:color="000000"/>
              <w:left w:val="single" w:sz="4" w:space="0" w:color="000000"/>
              <w:bottom w:val="single" w:sz="4" w:space="0" w:color="000000"/>
              <w:right w:val="single" w:sz="4" w:space="0" w:color="000000"/>
            </w:tcBorders>
          </w:tcPr>
          <w:p w14:paraId="71DF0104" w14:textId="77777777" w:rsidR="008D696C" w:rsidRPr="00CB64A4" w:rsidRDefault="008D696C" w:rsidP="0031604E">
            <w:pPr>
              <w:spacing w:after="0" w:line="240" w:lineRule="auto"/>
              <w:ind w:firstLine="220"/>
              <w:jc w:val="right"/>
              <w:rPr>
                <w:rFonts w:ascii="Times New Roman" w:eastAsia="Times New Roman" w:hAnsi="Times New Roman" w:cs="Times New Roman"/>
                <w:color w:val="0A0A0A"/>
                <w:sz w:val="22"/>
                <w:szCs w:val="22"/>
              </w:rPr>
            </w:pPr>
            <w:r w:rsidRPr="00CB64A4">
              <w:rPr>
                <w:rFonts w:ascii="Times New Roman" w:eastAsia="Times New Roman" w:hAnsi="Times New Roman" w:cs="Times New Roman"/>
                <w:color w:val="0A0A0A"/>
                <w:sz w:val="22"/>
                <w:szCs w:val="22"/>
              </w:rPr>
              <w:t>271</w:t>
            </w:r>
          </w:p>
        </w:tc>
        <w:tc>
          <w:tcPr>
            <w:tcW w:w="1197" w:type="dxa"/>
            <w:tcBorders>
              <w:top w:val="single" w:sz="4" w:space="0" w:color="000000"/>
              <w:left w:val="single" w:sz="4" w:space="0" w:color="000000"/>
              <w:bottom w:val="single" w:sz="4" w:space="0" w:color="000000"/>
              <w:right w:val="single" w:sz="4" w:space="0" w:color="000000"/>
            </w:tcBorders>
          </w:tcPr>
          <w:p w14:paraId="1336F349" w14:textId="77777777" w:rsidR="008D696C" w:rsidRPr="00CB64A4" w:rsidRDefault="008D696C" w:rsidP="0031604E">
            <w:pPr>
              <w:spacing w:after="0" w:line="240" w:lineRule="auto"/>
              <w:jc w:val="right"/>
              <w:rPr>
                <w:rFonts w:ascii="Times New Roman" w:eastAsia="Times New Roman" w:hAnsi="Times New Roman" w:cs="Times New Roman"/>
                <w:color w:val="0A0A0A"/>
                <w:sz w:val="22"/>
                <w:szCs w:val="22"/>
              </w:rPr>
            </w:pPr>
            <w:r w:rsidRPr="00CB64A4">
              <w:rPr>
                <w:rFonts w:ascii="Times New Roman" w:eastAsia="Times New Roman" w:hAnsi="Times New Roman" w:cs="Times New Roman"/>
                <w:color w:val="0A0A0A"/>
                <w:sz w:val="22"/>
                <w:szCs w:val="22"/>
              </w:rPr>
              <w:t>41%</w:t>
            </w:r>
          </w:p>
        </w:tc>
      </w:tr>
      <w:tr w:rsidR="008D696C" w14:paraId="25DC7A5B" w14:textId="77777777" w:rsidTr="0031604E">
        <w:trPr>
          <w:trHeight w:val="300"/>
        </w:trPr>
        <w:tc>
          <w:tcPr>
            <w:tcW w:w="4733" w:type="dxa"/>
            <w:tcBorders>
              <w:top w:val="single" w:sz="4" w:space="0" w:color="000000"/>
              <w:left w:val="single" w:sz="4" w:space="0" w:color="000000"/>
              <w:bottom w:val="single" w:sz="4" w:space="0" w:color="000000"/>
              <w:right w:val="single" w:sz="4" w:space="0" w:color="000000"/>
            </w:tcBorders>
            <w:shd w:val="clear" w:color="auto" w:fill="C0E6F5"/>
          </w:tcPr>
          <w:p w14:paraId="6D136170" w14:textId="77777777" w:rsidR="008D696C" w:rsidRPr="00CB64A4" w:rsidRDefault="008D696C" w:rsidP="0031604E">
            <w:pPr>
              <w:spacing w:after="0" w:line="240" w:lineRule="auto"/>
              <w:ind w:firstLine="220"/>
              <w:rPr>
                <w:rFonts w:ascii="Times New Roman" w:eastAsia="Times New Roman" w:hAnsi="Times New Roman" w:cs="Times New Roman"/>
                <w:color w:val="0A0A0A"/>
                <w:sz w:val="22"/>
                <w:szCs w:val="22"/>
              </w:rPr>
            </w:pPr>
            <w:r w:rsidRPr="00CB64A4">
              <w:rPr>
                <w:rFonts w:ascii="Times New Roman" w:eastAsia="Times New Roman" w:hAnsi="Times New Roman" w:cs="Times New Roman"/>
                <w:color w:val="0A0A0A"/>
                <w:sz w:val="22"/>
                <w:szCs w:val="22"/>
              </w:rPr>
              <w:t>Total</w:t>
            </w:r>
          </w:p>
        </w:tc>
        <w:tc>
          <w:tcPr>
            <w:tcW w:w="1410" w:type="dxa"/>
            <w:tcBorders>
              <w:top w:val="single" w:sz="4" w:space="0" w:color="000000"/>
              <w:left w:val="single" w:sz="4" w:space="0" w:color="000000"/>
              <w:bottom w:val="single" w:sz="4" w:space="0" w:color="000000"/>
              <w:right w:val="single" w:sz="4" w:space="0" w:color="000000"/>
            </w:tcBorders>
            <w:shd w:val="clear" w:color="auto" w:fill="C0E6F5"/>
          </w:tcPr>
          <w:p w14:paraId="1B8E078A" w14:textId="77777777" w:rsidR="008D696C" w:rsidRPr="00CB64A4" w:rsidRDefault="008D696C" w:rsidP="0031604E">
            <w:pPr>
              <w:spacing w:after="0" w:line="240" w:lineRule="auto"/>
              <w:ind w:firstLine="220"/>
              <w:jc w:val="right"/>
              <w:rPr>
                <w:rFonts w:ascii="Times New Roman" w:eastAsia="Times New Roman" w:hAnsi="Times New Roman" w:cs="Times New Roman"/>
                <w:color w:val="0A0A0A"/>
                <w:sz w:val="22"/>
                <w:szCs w:val="22"/>
              </w:rPr>
            </w:pPr>
            <w:r w:rsidRPr="00CB64A4">
              <w:rPr>
                <w:rFonts w:ascii="Times New Roman" w:eastAsia="Times New Roman" w:hAnsi="Times New Roman" w:cs="Times New Roman"/>
                <w:color w:val="0A0A0A"/>
                <w:sz w:val="22"/>
                <w:szCs w:val="22"/>
              </w:rPr>
              <w:t>655</w:t>
            </w:r>
          </w:p>
        </w:tc>
        <w:tc>
          <w:tcPr>
            <w:tcW w:w="1197" w:type="dxa"/>
            <w:tcBorders>
              <w:top w:val="single" w:sz="4" w:space="0" w:color="000000"/>
              <w:left w:val="single" w:sz="4" w:space="0" w:color="000000"/>
              <w:bottom w:val="single" w:sz="4" w:space="0" w:color="000000"/>
              <w:right w:val="single" w:sz="4" w:space="0" w:color="000000"/>
            </w:tcBorders>
            <w:shd w:val="clear" w:color="auto" w:fill="C0E6F5"/>
          </w:tcPr>
          <w:p w14:paraId="32C40ABB" w14:textId="77777777" w:rsidR="008D696C" w:rsidRPr="00CB64A4" w:rsidRDefault="008D696C" w:rsidP="0031604E">
            <w:pPr>
              <w:spacing w:after="0" w:line="240" w:lineRule="auto"/>
              <w:jc w:val="right"/>
              <w:rPr>
                <w:rFonts w:ascii="Times New Roman" w:eastAsia="Times New Roman" w:hAnsi="Times New Roman" w:cs="Times New Roman"/>
                <w:color w:val="0A0A0A"/>
                <w:sz w:val="22"/>
                <w:szCs w:val="22"/>
              </w:rPr>
            </w:pPr>
            <w:r w:rsidRPr="00CB64A4">
              <w:rPr>
                <w:rFonts w:ascii="Times New Roman" w:eastAsia="Times New Roman" w:hAnsi="Times New Roman" w:cs="Times New Roman"/>
                <w:color w:val="0A0A0A"/>
                <w:sz w:val="22"/>
                <w:szCs w:val="22"/>
              </w:rPr>
              <w:t>100%</w:t>
            </w:r>
          </w:p>
        </w:tc>
      </w:tr>
    </w:tbl>
    <w:p w14:paraId="164EC768" w14:textId="77777777" w:rsidR="008D696C" w:rsidRDefault="008D696C" w:rsidP="008D696C">
      <w:pPr>
        <w:spacing w:line="240" w:lineRule="auto"/>
        <w:jc w:val="both"/>
        <w:rPr>
          <w:rFonts w:ascii="Times New Roman" w:eastAsia="Times New Roman" w:hAnsi="Times New Roman" w:cs="Times New Roman"/>
          <w:b/>
          <w:bCs/>
        </w:rPr>
      </w:pPr>
    </w:p>
    <w:p w14:paraId="6744AC28" w14:textId="77777777" w:rsidR="008D696C" w:rsidRDefault="008D696C" w:rsidP="008D696C">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Las escuelas de procedencia</w:t>
      </w:r>
    </w:p>
    <w:p w14:paraId="508D7065"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Históricamente los/as ingresantes a la UTN solían anotarse en la institución luego de finalizar estudios medios en escuelas técnicas. Sin embargo, en las últimas décadas esta situación se modifica consolidando la matrícula de ingresantes con titulaciones no técnicas. Por ejemplo, para estos casos se registra que el 44% (285) hizo su secundario en escuelas no técnicas. Por otro lado, los/as que registran titulaciones técnicas tienen la particularidad de ser otorgadas en su mayoría por escuelas de gestión pública, a diferencia de los no técnicos quienes provienen de escuelas de gestión privada. La oferta de escuelas técnicas en los partidos de la zona de influencia de la Facultad se concentra en pocos establecimientos -respecto de la oferta de las otras modalidades-. En algunos distritos, como Avellaneda y Quilmes, no existe oferta de escuelas medias técnicas de gestión privada.</w:t>
      </w:r>
    </w:p>
    <w:p w14:paraId="5D1DA1D0" w14:textId="77777777" w:rsidR="008D696C" w:rsidRDefault="008D696C" w:rsidP="008D696C">
      <w:pPr>
        <w:spacing w:line="240" w:lineRule="auto"/>
        <w:jc w:val="both"/>
        <w:rPr>
          <w:rFonts w:ascii="Times New Roman" w:eastAsia="Times New Roman" w:hAnsi="Times New Roman" w:cs="Times New Roman"/>
          <w:highlight w:val="cyan"/>
        </w:rPr>
      </w:pPr>
      <w:r>
        <w:rPr>
          <w:rFonts w:ascii="Times New Roman" w:eastAsia="Times New Roman" w:hAnsi="Times New Roman" w:cs="Times New Roman"/>
        </w:rPr>
        <w:t xml:space="preserve">Al dar cuenta del tipo de titulación y la carrera de ingeniería en la que ingresan se observa que quienes poseen titulaciones técnicas se concentran en las especialidades de Eléctrica y Electrónica, mientras que entre aquellos que tienen titulaciones no técnicas predominan los/as ingresantes a Ingeniería Química e Ingeniería Industrial (Gráfico 4). </w:t>
      </w:r>
    </w:p>
    <w:p w14:paraId="54D5A192"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Una de las principales inquietudes que guía la investigación radica en el análisis de los recorridos universitarios de los/as 655 estudiantes según sus instituciones educativas de origen. El objetivo es conocer las escuelas medias de procedencia, identificarlas y caracterizarlas según la cantidad de ingresantes que aportan y si mantienen o no continuidad en el tiempo. </w:t>
      </w:r>
    </w:p>
    <w:p w14:paraId="22A4454B" w14:textId="77777777" w:rsidR="008D696C" w:rsidRDefault="008D696C" w:rsidP="008D696C">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Gráfico 4</w:t>
      </w:r>
    </w:p>
    <w:p w14:paraId="13030D44" w14:textId="77777777" w:rsidR="008D696C" w:rsidRDefault="008D696C" w:rsidP="008D696C">
      <w:pPr>
        <w:spacing w:line="240" w:lineRule="auto"/>
        <w:jc w:val="both"/>
        <w:rPr>
          <w:rFonts w:ascii="Times New Roman" w:eastAsia="Times New Roman" w:hAnsi="Times New Roman" w:cs="Times New Roman"/>
          <w:i/>
          <w:iCs/>
        </w:rPr>
      </w:pPr>
      <w:r>
        <w:rPr>
          <w:rFonts w:ascii="Times New Roman" w:eastAsia="Times New Roman" w:hAnsi="Times New Roman" w:cs="Times New Roman"/>
          <w:i/>
          <w:iCs/>
        </w:rPr>
        <w:t>Distribución porcentual de ingresantes 2023-2024 según tipo de título secundario por carrera (N=655)</w:t>
      </w:r>
    </w:p>
    <w:p w14:paraId="772093F6" w14:textId="77777777" w:rsidR="008D696C" w:rsidRDefault="008D696C" w:rsidP="008D696C">
      <w:pPr>
        <w:spacing w:line="240" w:lineRule="auto"/>
        <w:rPr>
          <w:rFonts w:ascii="Times New Roman" w:eastAsia="Times New Roman" w:hAnsi="Times New Roman" w:cs="Times New Roman"/>
        </w:rPr>
      </w:pPr>
      <w:r>
        <w:rPr>
          <w:rFonts w:ascii="Times New Roman" w:eastAsia="Times New Roman" w:hAnsi="Times New Roman" w:cs="Times New Roman"/>
          <w:noProof/>
          <w:lang w:val="es-AR" w:eastAsia="es-AR"/>
        </w:rPr>
        <w:drawing>
          <wp:inline distT="114300" distB="114300" distL="114300" distR="114300" wp14:anchorId="1E5DCDDA" wp14:editId="0FAEDFB1">
            <wp:extent cx="4075430" cy="2390775"/>
            <wp:effectExtent l="0" t="0" r="1270" b="9525"/>
            <wp:docPr id="3" name="image1.png" descr="Gráfico"/>
            <wp:cNvGraphicFramePr/>
            <a:graphic xmlns:a="http://schemas.openxmlformats.org/drawingml/2006/main">
              <a:graphicData uri="http://schemas.openxmlformats.org/drawingml/2006/picture">
                <pic:pic xmlns:pic="http://schemas.openxmlformats.org/drawingml/2006/picture">
                  <pic:nvPicPr>
                    <pic:cNvPr id="0" name="image1.png" descr="Gráfico"/>
                    <pic:cNvPicPr preferRelativeResize="0"/>
                  </pic:nvPicPr>
                  <pic:blipFill>
                    <a:blip r:embed="rId9"/>
                    <a:srcRect/>
                    <a:stretch>
                      <a:fillRect/>
                    </a:stretch>
                  </pic:blipFill>
                  <pic:spPr>
                    <a:xfrm>
                      <a:off x="0" y="0"/>
                      <a:ext cx="4075703" cy="2390935"/>
                    </a:xfrm>
                    <a:prstGeom prst="rect">
                      <a:avLst/>
                    </a:prstGeom>
                    <a:ln/>
                  </pic:spPr>
                </pic:pic>
              </a:graphicData>
            </a:graphic>
          </wp:inline>
        </w:drawing>
      </w:r>
    </w:p>
    <w:p w14:paraId="37D92F4A"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indagación sobre la población de estudiantes comienza en el 2008, año en el que el Laboratorio MIG releva mediante un operativo censal un total de 923 casos de estudiantes de todas las carreras y cohortes de la facultad (Simone et. al., 2009). Posteriormente en los años 2012-2013, en el marco del PID-FRA 826/12 CD se retoma el estudio anterior sobre la población de estudiantes para hacer el seguimiento de casos pertenecientes a la cohorte de estudiantes ingresantes del año 2007 (Simone et. al., 2013; </w:t>
      </w:r>
      <w:proofErr w:type="spellStart"/>
      <w:r>
        <w:rPr>
          <w:rFonts w:ascii="Times New Roman" w:eastAsia="Times New Roman" w:hAnsi="Times New Roman" w:cs="Times New Roman"/>
        </w:rPr>
        <w:t>Somma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Iavorski</w:t>
      </w:r>
      <w:proofErr w:type="spellEnd"/>
      <w:r>
        <w:rPr>
          <w:rFonts w:ascii="Times New Roman" w:eastAsia="Times New Roman" w:hAnsi="Times New Roman" w:cs="Times New Roman"/>
        </w:rPr>
        <w:t xml:space="preserve">, 2015). En los años 2015-2016 se continúa el trabajo a partir del seguimiento de estudiantes con mayores dificultades en el avance de la carrera de grado (proyecto PID-UTN 3519 “Seguimiento de alumnos por cohorte de ingreso: modalidades de cursada, dificultades de avance en los estudios y su vinculación con el mundo laboral”). Esta última investigación permitió conocer los itinerarios educativos y laborales de los/as estudiantes durante los primeros cinco años de cursada en la institución, las motivaciones de sus interrupciones y prolongaciones de carrera, los obstáculos para el avance de sus estudios, las acciones y estrategias llevadas adelante para la combinación de estudio y trabajo, las percepciones sobre el régimen universitario, el uso de los dispositivos institucionales, las reflexiones y autoevaluaciones de esos recorridos (Rio y </w:t>
      </w:r>
      <w:proofErr w:type="spellStart"/>
      <w:r>
        <w:rPr>
          <w:rFonts w:ascii="Times New Roman" w:eastAsia="Times New Roman" w:hAnsi="Times New Roman" w:cs="Times New Roman"/>
        </w:rPr>
        <w:t>Somma</w:t>
      </w:r>
      <w:proofErr w:type="spellEnd"/>
      <w:r>
        <w:rPr>
          <w:rFonts w:ascii="Times New Roman" w:eastAsia="Times New Roman" w:hAnsi="Times New Roman" w:cs="Times New Roman"/>
        </w:rPr>
        <w:t>, 2016). Así, en el año 2018 se decide iniciar una nueva línea de investigación que dé cuenta de los modos de articulación entre la secundaria y la universidad, y el primer año como etapa crítica y determinante del abandono o permanencia en los estudios superiores. Esta investigación indaga las escuelas secundarias de donde provienen los/as ingresantes y las características de dicha oferta educativa en la zona de influencia de la facultad. Se trata de 410 escuelas medias, lo que da cuenta de una gran variedad de instituciones educativas de origen que van contribuyendo con ingresantes a la Facultad. Dado que la lista es muy extensa, en ese momento se elabora un ranking de instituciones medias y se trabaja con las cincuenta que mayor cantidad de ingresantes aportan (</w:t>
      </w:r>
      <w:proofErr w:type="spellStart"/>
      <w:r>
        <w:rPr>
          <w:rFonts w:ascii="Times New Roman" w:eastAsia="Times New Roman" w:hAnsi="Times New Roman" w:cs="Times New Roman"/>
        </w:rPr>
        <w:t>Somma</w:t>
      </w:r>
      <w:proofErr w:type="spellEnd"/>
      <w:r>
        <w:rPr>
          <w:rFonts w:ascii="Times New Roman" w:eastAsia="Times New Roman" w:hAnsi="Times New Roman" w:cs="Times New Roman"/>
        </w:rPr>
        <w:t xml:space="preserve"> et al., 2021).</w:t>
      </w:r>
    </w:p>
    <w:p w14:paraId="21F80B84" w14:textId="77777777" w:rsidR="008D696C" w:rsidRDefault="008D696C" w:rsidP="008D696C">
      <w:pPr>
        <w:spacing w:line="240" w:lineRule="auto"/>
        <w:jc w:val="both"/>
        <w:rPr>
          <w:rFonts w:ascii="Times New Roman" w:eastAsia="Times New Roman" w:hAnsi="Times New Roman" w:cs="Times New Roman"/>
          <w:b/>
          <w:bCs/>
          <w:shd w:val="clear" w:color="auto" w:fill="FFF2CC"/>
        </w:rPr>
      </w:pPr>
      <w:r>
        <w:rPr>
          <w:rFonts w:ascii="Times New Roman" w:eastAsia="Times New Roman" w:hAnsi="Times New Roman" w:cs="Times New Roman"/>
        </w:rPr>
        <w:lastRenderedPageBreak/>
        <w:t xml:space="preserve">Para el presente trabajo, en consonancia con los estudios anteriores, lo primero que se registra es la cantidad de escuelas de procedencia y se continúa el estudio de aquellas localizadas en el territorio nacional. El número total es de 235, lo que indica que la relación entre estudiantes y escuelas se caracteriza por una dispersión significativa, en particular para el caso de las escuelas no técnicas. Éstas últimas suman 183, mientras las técnicas registradas son 52. Es importante aclarar que la mayoría de estas escuelas se ubican en la provincia de Buenos Aires y la Ciudad de Buenos Aires. </w:t>
      </w:r>
    </w:p>
    <w:p w14:paraId="43DE946E"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Al indagar sobre la locación de las escuelas se obtiene que el partido de Quilmes es el que concentra la mayor proporción de casos, el 30% de escuelas radican allí. Una explicación se puede encontrar en el hecho de que la sede principal de la Facultad es el campus de Villa Domínico, localidad de Avellaneda, lindera al municipio de Quilmes. En segundo lugar, pero con el 14% de los casos están las escuelas del municipio de Avellaneda, luego se encuentran el resto de los distritos que también forman parte de la zona de influencia de la facultad: Lomas de Zamora (10%), Lanús (9%), Ciudad Autónoma de Buenos Aires (8%), Berazategui (8%), Almirante Brown (7%) y Florencio Varela (7%). Un número muy reducido de escuelas se encuentran en otras zonas del conurbano bonaerense, y menos del 1% estudió en escuelas secundarias de otras provincias. </w:t>
      </w:r>
    </w:p>
    <w:p w14:paraId="4CF112C2"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 distribución de ingresantes según el partido de residencia y el partido de ubicación de la escuela revela una gran coincidencia en algunos distritos. Esto indicaría en principio que los/as jóvenes no realizan grandes trayectos entre la escuela y el hogar. El primer partido donde se observa un alto nivel de coincidencia es el de Quilmes con un 87% de retención de la matrícula de estudiantes residentes, siguen en importancia Florencio Varela en un 80%, Berazategui y Lomas de Zamora con el 74% y Almirante Brown con un 71% de coincidencia. Para el caso de Avellaneda, la coincidencia es del 59% y para Esteban Echeverría es del 46%. Al rastrear a los/as estudiantes pertenecientes a estos dos últimos distritos, se evidencia que los/as residentes de Avellaneda cursaron sus estudios mayoritariamente en la Ciudad Autónoma de Buenos Aires (CABA) y en Quilmes, mientras que los de Esteban Echeverría lo hicieron en Lomas de Zamora. Esta movilidad se despliega hacia partidos o localidades adyacentes. El análisis de este cruce de variables busca mostrar las posibilidades de retención en el partido de residencia y la existencia de una oferta educativa secundaria que cumple o no con las expectativas de las familias y estudiantes. La movilidad hacia otros distritos puede explicarse por búsquedas de determinadas ofertas y/o instituciones particulares que no se garantizan en el lugar donde se vive. De todos modos, hay que hacer la salvedad de que se trata de trayectos cortos hacia distritos linderos.   </w:t>
      </w:r>
    </w:p>
    <w:p w14:paraId="57696B4D" w14:textId="119EAAED"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último, antes de avanzar en la relación entre las escuelas de procedencia y los resultados académicos, se decide analizar la vinculación entre los títulos secundarios técnicos obtenidos por la población que ingresa y la carrera de ingeniería a la cual se inscriben (Tabla 3), entendiendo que su correspondencia permite sostener la existencia de un proyecto vocacional que se va construyendo desde el inicio de la educación media y que contribuye a la permanencia en los primeros años de la carrera más allá de los resultados académicos obtenidos (Simone, et. al, 2024). Debido al crecimiento y la diversidad de títulos emitidos por las escuelas no técnicas, y a la dificultad de establecer </w:t>
      </w:r>
      <w:r>
        <w:rPr>
          <w:rFonts w:ascii="Times New Roman" w:eastAsia="Times New Roman" w:hAnsi="Times New Roman" w:cs="Times New Roman"/>
        </w:rPr>
        <w:lastRenderedPageBreak/>
        <w:t>una asociación directa entre un título bachiller y una carrera tecnológica, se decide trabajar sólo con las titulaciones de las escuelas técnicas. Al respecto de las titulaciones técnicas cabe</w:t>
      </w:r>
      <w:r w:rsidR="002927DB">
        <w:rPr>
          <w:rFonts w:ascii="Times New Roman" w:eastAsia="Times New Roman" w:hAnsi="Times New Roman" w:cs="Times New Roman"/>
        </w:rPr>
        <w:t xml:space="preserve"> aclarar dos cosas: por un lado,</w:t>
      </w:r>
      <w:r>
        <w:rPr>
          <w:rFonts w:ascii="Times New Roman" w:eastAsia="Times New Roman" w:hAnsi="Times New Roman" w:cs="Times New Roman"/>
        </w:rPr>
        <w:t xml:space="preserve"> </w:t>
      </w:r>
      <w:r w:rsidR="002927DB">
        <w:rPr>
          <w:rFonts w:ascii="Times New Roman" w:eastAsia="Times New Roman" w:hAnsi="Times New Roman" w:cs="Times New Roman"/>
        </w:rPr>
        <w:t>que,</w:t>
      </w:r>
      <w:r>
        <w:rPr>
          <w:rFonts w:ascii="Times New Roman" w:eastAsia="Times New Roman" w:hAnsi="Times New Roman" w:cs="Times New Roman"/>
        </w:rPr>
        <w:t xml:space="preserve"> a los fines estadísticos, se muestran agrupadas según su orientación principal, por el otro que los títulos emitidos se corresponden a la oferta de escuelas pertenecientes a la zona de influencia de la Facultad, ya caracterizada previamente. </w:t>
      </w:r>
    </w:p>
    <w:p w14:paraId="0246461D"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Los datos evidencian en algunos casos una fuerte correspondencia entre la formación técnica y la elección de la especialidad de ingeniería elegida. El 88% de los Maestros Mayores de Obras opta por Ingeniería Civil, y el 86% de quienes cursaron tecnicaturas en Química, en Medio Ambiente o Tecnología de los Alimentos elige Ingeniería Química. Por su parte, Ingeniería Electrónica capta a la mayoría de los/as técnicos/as Electrónicos (66%) y </w:t>
      </w:r>
      <w:proofErr w:type="spellStart"/>
      <w:r>
        <w:rPr>
          <w:rFonts w:ascii="Times New Roman" w:eastAsia="Times New Roman" w:hAnsi="Times New Roman" w:cs="Times New Roman"/>
        </w:rPr>
        <w:t>Aviónicos</w:t>
      </w:r>
      <w:proofErr w:type="spellEnd"/>
      <w:r>
        <w:rPr>
          <w:rFonts w:ascii="Times New Roman" w:eastAsia="Times New Roman" w:hAnsi="Times New Roman" w:cs="Times New Roman"/>
        </w:rPr>
        <w:t xml:space="preserve"> (63%). Las especialidades de Eléctrica y Mecánica se nutren de un 66% y 69% respectivamente de los/as estudiantes de las tecnicaturas en Mecánica, Automotores, Electromecánica y Electricidad. En contraste, Ingeniería Industrial presenta el perfil más diversificado, atrayendo a una variedad más amplia de especialidades secundarias, con cierta preponderancia de los/as técnicos/as Aeronáuticos/as.</w:t>
      </w:r>
    </w:p>
    <w:p w14:paraId="5CFC718B" w14:textId="77777777" w:rsidR="008D696C" w:rsidRDefault="008D696C" w:rsidP="008D696C">
      <w:pPr>
        <w:spacing w:line="240" w:lineRule="auto"/>
        <w:rPr>
          <w:rFonts w:ascii="Times New Roman" w:eastAsia="Times New Roman" w:hAnsi="Times New Roman" w:cs="Times New Roman"/>
          <w:b/>
          <w:bCs/>
        </w:rPr>
      </w:pPr>
      <w:r>
        <w:rPr>
          <w:rFonts w:ascii="Times New Roman" w:eastAsia="Times New Roman" w:hAnsi="Times New Roman" w:cs="Times New Roman"/>
          <w:b/>
          <w:bCs/>
        </w:rPr>
        <w:t>Tabla 3</w:t>
      </w:r>
    </w:p>
    <w:p w14:paraId="5B9CC560" w14:textId="77777777" w:rsidR="008D696C" w:rsidRDefault="008D696C" w:rsidP="008D696C">
      <w:pPr>
        <w:spacing w:line="240" w:lineRule="auto"/>
        <w:rPr>
          <w:rFonts w:ascii="Times New Roman" w:eastAsia="Times New Roman" w:hAnsi="Times New Roman" w:cs="Times New Roman"/>
          <w:i/>
          <w:iCs/>
        </w:rPr>
      </w:pPr>
      <w:r>
        <w:rPr>
          <w:rFonts w:ascii="Times New Roman" w:eastAsia="Times New Roman" w:hAnsi="Times New Roman" w:cs="Times New Roman"/>
          <w:i/>
          <w:iCs/>
        </w:rPr>
        <w:t>Distribución porcentual de ingresantes por títulos secundarios técnicos obtenidos según la especialidad de la ingeniería elegida (n=366).</w:t>
      </w:r>
    </w:p>
    <w:tbl>
      <w:tblPr>
        <w:tblW w:w="855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Look w:val="04A0" w:firstRow="1" w:lastRow="0" w:firstColumn="1" w:lastColumn="0" w:noHBand="0" w:noVBand="1"/>
      </w:tblPr>
      <w:tblGrid>
        <w:gridCol w:w="1035"/>
        <w:gridCol w:w="1170"/>
        <w:gridCol w:w="1035"/>
        <w:gridCol w:w="750"/>
        <w:gridCol w:w="900"/>
        <w:gridCol w:w="855"/>
        <w:gridCol w:w="1140"/>
        <w:gridCol w:w="1050"/>
        <w:gridCol w:w="615"/>
      </w:tblGrid>
      <w:tr w:rsidR="008D696C" w14:paraId="70458FE2" w14:textId="77777777" w:rsidTr="0031604E">
        <w:trPr>
          <w:trHeight w:val="1331"/>
        </w:trPr>
        <w:tc>
          <w:tcPr>
            <w:tcW w:w="1035" w:type="dxa"/>
            <w:shd w:val="clear" w:color="auto" w:fill="A4C2F4"/>
            <w:vAlign w:val="center"/>
          </w:tcPr>
          <w:p w14:paraId="284CE997"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Carrera</w:t>
            </w:r>
          </w:p>
        </w:tc>
        <w:tc>
          <w:tcPr>
            <w:tcW w:w="1170" w:type="dxa"/>
            <w:shd w:val="clear" w:color="auto" w:fill="A4C2F4"/>
            <w:vAlign w:val="center"/>
          </w:tcPr>
          <w:p w14:paraId="29AA070B"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Mecánico / Mecánico Industrial / Automotores</w:t>
            </w:r>
          </w:p>
        </w:tc>
        <w:tc>
          <w:tcPr>
            <w:tcW w:w="1035" w:type="dxa"/>
            <w:shd w:val="clear" w:color="auto" w:fill="A4C2F4"/>
            <w:vAlign w:val="center"/>
          </w:tcPr>
          <w:p w14:paraId="7ADD0BE1"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Electromecánico / Mecánico Electricista / Eléctrico</w:t>
            </w:r>
          </w:p>
        </w:tc>
        <w:tc>
          <w:tcPr>
            <w:tcW w:w="750" w:type="dxa"/>
            <w:shd w:val="clear" w:color="auto" w:fill="A4C2F4"/>
            <w:vAlign w:val="center"/>
          </w:tcPr>
          <w:p w14:paraId="0D1DC39B"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Electrónico</w:t>
            </w:r>
          </w:p>
        </w:tc>
        <w:tc>
          <w:tcPr>
            <w:tcW w:w="900" w:type="dxa"/>
            <w:shd w:val="clear" w:color="auto" w:fill="A4C2F4"/>
            <w:vAlign w:val="center"/>
          </w:tcPr>
          <w:p w14:paraId="49E5D75E" w14:textId="77777777" w:rsidR="008D696C" w:rsidRDefault="008D696C" w:rsidP="0031604E">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Aviónico</w:t>
            </w:r>
            <w:proofErr w:type="spellEnd"/>
          </w:p>
        </w:tc>
        <w:tc>
          <w:tcPr>
            <w:tcW w:w="855" w:type="dxa"/>
            <w:shd w:val="clear" w:color="auto" w:fill="A4C2F4"/>
            <w:vAlign w:val="center"/>
          </w:tcPr>
          <w:p w14:paraId="1184049F"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Maestro Mayor de Obras</w:t>
            </w:r>
          </w:p>
        </w:tc>
        <w:tc>
          <w:tcPr>
            <w:tcW w:w="1140" w:type="dxa"/>
            <w:shd w:val="clear" w:color="auto" w:fill="A4C2F4"/>
            <w:vAlign w:val="center"/>
          </w:tcPr>
          <w:p w14:paraId="10B20894"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Aeronáutico</w:t>
            </w:r>
          </w:p>
        </w:tc>
        <w:tc>
          <w:tcPr>
            <w:tcW w:w="1050" w:type="dxa"/>
            <w:shd w:val="clear" w:color="auto" w:fill="A4C2F4"/>
            <w:vAlign w:val="center"/>
          </w:tcPr>
          <w:p w14:paraId="18FFCDD1"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Químico / Medio Ambiente / Tecnología de los Alimentos</w:t>
            </w:r>
          </w:p>
        </w:tc>
        <w:tc>
          <w:tcPr>
            <w:tcW w:w="615" w:type="dxa"/>
            <w:shd w:val="clear" w:color="auto" w:fill="A4C2F4"/>
            <w:vAlign w:val="center"/>
          </w:tcPr>
          <w:p w14:paraId="2887794F"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Otros</w:t>
            </w:r>
          </w:p>
        </w:tc>
      </w:tr>
      <w:tr w:rsidR="008D696C" w14:paraId="4CAE7955" w14:textId="77777777" w:rsidTr="0031604E">
        <w:trPr>
          <w:trHeight w:val="255"/>
        </w:trPr>
        <w:tc>
          <w:tcPr>
            <w:tcW w:w="1035" w:type="dxa"/>
            <w:shd w:val="clear" w:color="auto" w:fill="C9DAF8"/>
          </w:tcPr>
          <w:p w14:paraId="37ADB62E"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Ing. Mecánica</w:t>
            </w:r>
          </w:p>
        </w:tc>
        <w:tc>
          <w:tcPr>
            <w:tcW w:w="1170" w:type="dxa"/>
            <w:shd w:val="clear" w:color="auto" w:fill="CCCCCC"/>
          </w:tcPr>
          <w:p w14:paraId="1E32DDE7"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43%</w:t>
            </w:r>
          </w:p>
        </w:tc>
        <w:tc>
          <w:tcPr>
            <w:tcW w:w="1035" w:type="dxa"/>
          </w:tcPr>
          <w:p w14:paraId="20779C92"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23%</w:t>
            </w:r>
          </w:p>
        </w:tc>
        <w:tc>
          <w:tcPr>
            <w:tcW w:w="750" w:type="dxa"/>
          </w:tcPr>
          <w:p w14:paraId="27BE429D"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900" w:type="dxa"/>
          </w:tcPr>
          <w:p w14:paraId="490E5601"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855" w:type="dxa"/>
          </w:tcPr>
          <w:p w14:paraId="46063D74"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40" w:type="dxa"/>
          </w:tcPr>
          <w:p w14:paraId="787063DA"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41%</w:t>
            </w:r>
          </w:p>
        </w:tc>
        <w:tc>
          <w:tcPr>
            <w:tcW w:w="1050" w:type="dxa"/>
          </w:tcPr>
          <w:p w14:paraId="0AB3A4CD"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615" w:type="dxa"/>
          </w:tcPr>
          <w:p w14:paraId="28C5F0AA"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29%</w:t>
            </w:r>
          </w:p>
        </w:tc>
      </w:tr>
      <w:tr w:rsidR="008D696C" w14:paraId="051FB51F" w14:textId="77777777" w:rsidTr="0031604E">
        <w:trPr>
          <w:trHeight w:val="255"/>
        </w:trPr>
        <w:tc>
          <w:tcPr>
            <w:tcW w:w="1035" w:type="dxa"/>
            <w:shd w:val="clear" w:color="auto" w:fill="C9DAF8"/>
          </w:tcPr>
          <w:p w14:paraId="5C7187F8"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Ing. Eléctrica</w:t>
            </w:r>
          </w:p>
        </w:tc>
        <w:tc>
          <w:tcPr>
            <w:tcW w:w="1170" w:type="dxa"/>
          </w:tcPr>
          <w:p w14:paraId="0A7A29FC"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29%</w:t>
            </w:r>
          </w:p>
        </w:tc>
        <w:tc>
          <w:tcPr>
            <w:tcW w:w="1035" w:type="dxa"/>
            <w:shd w:val="clear" w:color="auto" w:fill="CCCCCC"/>
          </w:tcPr>
          <w:p w14:paraId="0BA969D0"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40%</w:t>
            </w:r>
          </w:p>
        </w:tc>
        <w:tc>
          <w:tcPr>
            <w:tcW w:w="750" w:type="dxa"/>
          </w:tcPr>
          <w:p w14:paraId="7D4D0C0D"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900" w:type="dxa"/>
          </w:tcPr>
          <w:p w14:paraId="0FD45778"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855" w:type="dxa"/>
          </w:tcPr>
          <w:p w14:paraId="602C5D1A"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40" w:type="dxa"/>
          </w:tcPr>
          <w:p w14:paraId="20FC855D"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050" w:type="dxa"/>
          </w:tcPr>
          <w:p w14:paraId="12950F3D"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615" w:type="dxa"/>
          </w:tcPr>
          <w:p w14:paraId="7B765173"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r>
      <w:tr w:rsidR="008D696C" w14:paraId="337CBA69" w14:textId="77777777" w:rsidTr="0031604E">
        <w:trPr>
          <w:trHeight w:val="255"/>
        </w:trPr>
        <w:tc>
          <w:tcPr>
            <w:tcW w:w="1035" w:type="dxa"/>
            <w:shd w:val="clear" w:color="auto" w:fill="C9DAF8"/>
          </w:tcPr>
          <w:p w14:paraId="2C7421FB"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Ing. Electrónica</w:t>
            </w:r>
          </w:p>
        </w:tc>
        <w:tc>
          <w:tcPr>
            <w:tcW w:w="1170" w:type="dxa"/>
          </w:tcPr>
          <w:p w14:paraId="7E486B1A"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1035" w:type="dxa"/>
          </w:tcPr>
          <w:p w14:paraId="3B41CB3E"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750" w:type="dxa"/>
            <w:shd w:val="clear" w:color="auto" w:fill="B7B7B7"/>
          </w:tcPr>
          <w:p w14:paraId="661EDAAB"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66%</w:t>
            </w:r>
          </w:p>
        </w:tc>
        <w:tc>
          <w:tcPr>
            <w:tcW w:w="900" w:type="dxa"/>
            <w:shd w:val="clear" w:color="auto" w:fill="B7B7B7"/>
          </w:tcPr>
          <w:p w14:paraId="48B7C775"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63%</w:t>
            </w:r>
          </w:p>
        </w:tc>
        <w:tc>
          <w:tcPr>
            <w:tcW w:w="855" w:type="dxa"/>
          </w:tcPr>
          <w:p w14:paraId="4D6BBE93"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140" w:type="dxa"/>
          </w:tcPr>
          <w:p w14:paraId="397AFCE5"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050" w:type="dxa"/>
          </w:tcPr>
          <w:p w14:paraId="3E44C1D2"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615" w:type="dxa"/>
          </w:tcPr>
          <w:p w14:paraId="6ECC6CF4"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29%</w:t>
            </w:r>
          </w:p>
        </w:tc>
      </w:tr>
      <w:tr w:rsidR="008D696C" w14:paraId="6D203C6B" w14:textId="77777777" w:rsidTr="0031604E">
        <w:trPr>
          <w:trHeight w:val="255"/>
        </w:trPr>
        <w:tc>
          <w:tcPr>
            <w:tcW w:w="1035" w:type="dxa"/>
            <w:shd w:val="clear" w:color="auto" w:fill="C9DAF8"/>
          </w:tcPr>
          <w:p w14:paraId="53082C07"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Ing. Civil</w:t>
            </w:r>
          </w:p>
        </w:tc>
        <w:tc>
          <w:tcPr>
            <w:tcW w:w="1170" w:type="dxa"/>
          </w:tcPr>
          <w:p w14:paraId="7B8DF93B"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35" w:type="dxa"/>
          </w:tcPr>
          <w:p w14:paraId="109F53D5"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750" w:type="dxa"/>
          </w:tcPr>
          <w:p w14:paraId="4B5FCE8C"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900" w:type="dxa"/>
          </w:tcPr>
          <w:p w14:paraId="3583A53B"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855" w:type="dxa"/>
            <w:shd w:val="clear" w:color="auto" w:fill="999999"/>
          </w:tcPr>
          <w:p w14:paraId="16669025"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88%</w:t>
            </w:r>
          </w:p>
        </w:tc>
        <w:tc>
          <w:tcPr>
            <w:tcW w:w="1140" w:type="dxa"/>
          </w:tcPr>
          <w:p w14:paraId="77B48865"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050" w:type="dxa"/>
          </w:tcPr>
          <w:p w14:paraId="63E18A4B"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615" w:type="dxa"/>
          </w:tcPr>
          <w:p w14:paraId="5E8345F9"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8D696C" w14:paraId="24A3DE0D" w14:textId="77777777" w:rsidTr="0031604E">
        <w:trPr>
          <w:trHeight w:val="255"/>
        </w:trPr>
        <w:tc>
          <w:tcPr>
            <w:tcW w:w="1035" w:type="dxa"/>
            <w:shd w:val="clear" w:color="auto" w:fill="C9DAF8"/>
          </w:tcPr>
          <w:p w14:paraId="08BAC258"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Ing. Industrial</w:t>
            </w:r>
          </w:p>
        </w:tc>
        <w:tc>
          <w:tcPr>
            <w:tcW w:w="1170" w:type="dxa"/>
          </w:tcPr>
          <w:p w14:paraId="7FBE6BFA"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1035" w:type="dxa"/>
          </w:tcPr>
          <w:p w14:paraId="474156FF"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750" w:type="dxa"/>
          </w:tcPr>
          <w:p w14:paraId="30B3542C"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900" w:type="dxa"/>
          </w:tcPr>
          <w:p w14:paraId="6AB0E629"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855" w:type="dxa"/>
          </w:tcPr>
          <w:p w14:paraId="1F7AAC5B"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140" w:type="dxa"/>
            <w:shd w:val="clear" w:color="auto" w:fill="CCCCCC"/>
          </w:tcPr>
          <w:p w14:paraId="4032E365"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45%</w:t>
            </w:r>
          </w:p>
        </w:tc>
        <w:tc>
          <w:tcPr>
            <w:tcW w:w="1050" w:type="dxa"/>
            <w:tcBorders>
              <w:bottom w:val="single" w:sz="4" w:space="0" w:color="CCCCCC"/>
            </w:tcBorders>
          </w:tcPr>
          <w:p w14:paraId="7B4A6657"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615" w:type="dxa"/>
          </w:tcPr>
          <w:p w14:paraId="704510D6"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r>
      <w:tr w:rsidR="008D696C" w14:paraId="09EC6864" w14:textId="77777777" w:rsidTr="0031604E">
        <w:trPr>
          <w:trHeight w:val="255"/>
        </w:trPr>
        <w:tc>
          <w:tcPr>
            <w:tcW w:w="1035" w:type="dxa"/>
            <w:shd w:val="clear" w:color="auto" w:fill="C9DAF8"/>
          </w:tcPr>
          <w:p w14:paraId="3D8A5963"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Ing. Química</w:t>
            </w:r>
          </w:p>
        </w:tc>
        <w:tc>
          <w:tcPr>
            <w:tcW w:w="1170" w:type="dxa"/>
          </w:tcPr>
          <w:p w14:paraId="7F93FB6F"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35" w:type="dxa"/>
          </w:tcPr>
          <w:p w14:paraId="6B21D4AC"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750" w:type="dxa"/>
          </w:tcPr>
          <w:p w14:paraId="0BE8B45D"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900" w:type="dxa"/>
          </w:tcPr>
          <w:p w14:paraId="795BFA38"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855" w:type="dxa"/>
          </w:tcPr>
          <w:p w14:paraId="589B3D83"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40" w:type="dxa"/>
            <w:tcBorders>
              <w:right w:val="single" w:sz="4" w:space="0" w:color="CCCCCC"/>
            </w:tcBorders>
          </w:tcPr>
          <w:p w14:paraId="5693BE81"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050" w:type="dxa"/>
            <w:tcBorders>
              <w:top w:val="single" w:sz="4" w:space="0" w:color="CCCCCC"/>
              <w:left w:val="single" w:sz="4" w:space="0" w:color="CCCCCC"/>
              <w:bottom w:val="single" w:sz="4" w:space="0" w:color="CCCCCC"/>
              <w:right w:val="single" w:sz="4" w:space="0" w:color="CCCCCC"/>
            </w:tcBorders>
            <w:shd w:val="clear" w:color="auto" w:fill="999999"/>
          </w:tcPr>
          <w:p w14:paraId="7D0034A0"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86%</w:t>
            </w:r>
          </w:p>
        </w:tc>
        <w:tc>
          <w:tcPr>
            <w:tcW w:w="615" w:type="dxa"/>
            <w:tcBorders>
              <w:left w:val="single" w:sz="4" w:space="0" w:color="CCCCCC"/>
            </w:tcBorders>
          </w:tcPr>
          <w:p w14:paraId="0BEFCF32" w14:textId="77777777" w:rsidR="008D696C" w:rsidRDefault="008D696C" w:rsidP="0031604E">
            <w:pPr>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r>
    </w:tbl>
    <w:p w14:paraId="4D6D72C8" w14:textId="77777777" w:rsidR="008D696C" w:rsidRDefault="008D696C" w:rsidP="008D696C">
      <w:pPr>
        <w:spacing w:line="240" w:lineRule="auto"/>
        <w:jc w:val="both"/>
        <w:rPr>
          <w:rFonts w:ascii="Times New Roman" w:eastAsia="Times New Roman" w:hAnsi="Times New Roman" w:cs="Times New Roman"/>
        </w:rPr>
      </w:pPr>
    </w:p>
    <w:p w14:paraId="7AD9542B"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En esta instancia se decide profundizar en el análisis a partir de la identificación de las escuelas medias que mayor cantidad de ingresantes 2023-2024 a la UTN Avellaneda </w:t>
      </w:r>
      <w:r>
        <w:rPr>
          <w:rFonts w:ascii="Times New Roman" w:eastAsia="Times New Roman" w:hAnsi="Times New Roman" w:cs="Times New Roman"/>
        </w:rPr>
        <w:lastRenderedPageBreak/>
        <w:t>aportan y la situación académica de estos/as estudiantes al finalizar los primeros dos ciclos lectivos correspondientes. Con el objetivo de detectar la presencia de circuitos educativos más o menos consolidados se utiliza como marco de referencia el ranking de instituciones anteriormente construido para las poblaciones de estudiantes que ingresaron entre 2012 y 2016 a la Facultad (</w:t>
      </w:r>
      <w:proofErr w:type="spellStart"/>
      <w:r>
        <w:rPr>
          <w:rFonts w:ascii="Times New Roman" w:eastAsia="Times New Roman" w:hAnsi="Times New Roman" w:cs="Times New Roman"/>
        </w:rPr>
        <w:t>Somma</w:t>
      </w:r>
      <w:proofErr w:type="spellEnd"/>
      <w:r>
        <w:rPr>
          <w:rFonts w:ascii="Times New Roman" w:eastAsia="Times New Roman" w:hAnsi="Times New Roman" w:cs="Times New Roman"/>
        </w:rPr>
        <w:t>, et al. 2021).</w:t>
      </w:r>
    </w:p>
    <w:p w14:paraId="7E7EFCF0" w14:textId="77777777" w:rsidR="008D696C" w:rsidRDefault="008D696C" w:rsidP="008D696C">
      <w:pPr>
        <w:spacing w:before="280" w:after="280" w:line="240" w:lineRule="auto"/>
        <w:jc w:val="both"/>
        <w:rPr>
          <w:rFonts w:ascii="Times New Roman" w:eastAsia="Times New Roman" w:hAnsi="Times New Roman" w:cs="Times New Roman"/>
          <w:b/>
          <w:bCs/>
        </w:rPr>
      </w:pPr>
      <w:r>
        <w:rPr>
          <w:rFonts w:ascii="Times New Roman" w:eastAsia="Times New Roman" w:hAnsi="Times New Roman" w:cs="Times New Roman"/>
          <w:b/>
          <w:bCs/>
        </w:rPr>
        <w:t>Estabilidad y heterogeneidad en la procedencia escolar: la conformación de tres grupos de escuelas</w:t>
      </w:r>
    </w:p>
    <w:p w14:paraId="68BA8530"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En este ranking se destacan las 26 principales escuelas secundarias de origen, ordenadas según el número de estudiantes provenientes de cada institución, y se realiza la comparación con el resultado del ranking obtenido del análisis de las cohortes 2012-2016 (Tabla 4). Para facilitar la lectura se señala con color violeta las escuelas que subieron en el ranking, con celeste las que bajaron y con gris se distinguen las escuelas no técnicas.</w:t>
      </w:r>
    </w:p>
    <w:p w14:paraId="569461F8" w14:textId="77777777" w:rsidR="008D696C" w:rsidRDefault="008D696C" w:rsidP="008D696C">
      <w:pPr>
        <w:spacing w:before="280" w:after="280" w:line="240" w:lineRule="auto"/>
        <w:jc w:val="both"/>
        <w:rPr>
          <w:rFonts w:ascii="Times New Roman" w:eastAsia="Times New Roman" w:hAnsi="Times New Roman" w:cs="Times New Roman"/>
          <w:b/>
          <w:bCs/>
        </w:rPr>
      </w:pPr>
      <w:r>
        <w:rPr>
          <w:rFonts w:ascii="Times New Roman" w:eastAsia="Times New Roman" w:hAnsi="Times New Roman" w:cs="Times New Roman"/>
          <w:b/>
          <w:bCs/>
        </w:rPr>
        <w:t>Tabla 4</w:t>
      </w:r>
    </w:p>
    <w:p w14:paraId="157F57A4" w14:textId="77777777" w:rsidR="008D696C" w:rsidRDefault="008D696C" w:rsidP="008D696C">
      <w:pPr>
        <w:widowControl w:val="0"/>
        <w:spacing w:before="280" w:after="280" w:line="240" w:lineRule="auto"/>
        <w:jc w:val="both"/>
        <w:rPr>
          <w:rFonts w:ascii="Times New Roman" w:eastAsia="Times New Roman" w:hAnsi="Times New Roman" w:cs="Times New Roman"/>
          <w:i/>
          <w:iCs/>
        </w:rPr>
      </w:pPr>
      <w:r>
        <w:rPr>
          <w:rFonts w:ascii="Times New Roman" w:eastAsia="Times New Roman" w:hAnsi="Times New Roman" w:cs="Times New Roman"/>
          <w:i/>
          <w:iCs/>
        </w:rPr>
        <w:t>Ranking de instituciones de educación secundaria según volumen de ingresantes 2023-2024 a la UTN Avellaneda.</w:t>
      </w:r>
    </w:p>
    <w:tbl>
      <w:tblPr>
        <w:tblW w:w="8505" w:type="dxa"/>
        <w:tblLayout w:type="fixed"/>
        <w:tblLook w:val="0400" w:firstRow="0" w:lastRow="0" w:firstColumn="0" w:lastColumn="0" w:noHBand="0" w:noVBand="1"/>
      </w:tblPr>
      <w:tblGrid>
        <w:gridCol w:w="1020"/>
        <w:gridCol w:w="1050"/>
        <w:gridCol w:w="5220"/>
        <w:gridCol w:w="1215"/>
      </w:tblGrid>
      <w:tr w:rsidR="008D696C" w14:paraId="3A55C6EB"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5151DB4F" w14:textId="77777777" w:rsidR="008D696C" w:rsidRDefault="008D696C" w:rsidP="0031604E">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Cohortes 2012-2016</w:t>
            </w:r>
          </w:p>
        </w:tc>
        <w:tc>
          <w:tcPr>
            <w:tcW w:w="1050" w:type="dxa"/>
            <w:tcBorders>
              <w:top w:val="single" w:sz="4" w:space="0" w:color="000000"/>
              <w:left w:val="single" w:sz="4" w:space="0" w:color="000000"/>
              <w:bottom w:val="single" w:sz="4" w:space="0" w:color="000000"/>
              <w:right w:val="single" w:sz="4" w:space="0" w:color="000000"/>
            </w:tcBorders>
            <w:vAlign w:val="bottom"/>
          </w:tcPr>
          <w:p w14:paraId="4C575066" w14:textId="77777777" w:rsidR="008D696C" w:rsidRDefault="008D696C" w:rsidP="0031604E">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Cohortes 2023-2024</w:t>
            </w:r>
          </w:p>
        </w:tc>
        <w:tc>
          <w:tcPr>
            <w:tcW w:w="5220" w:type="dxa"/>
            <w:tcBorders>
              <w:top w:val="single" w:sz="4" w:space="0" w:color="000000"/>
              <w:left w:val="single" w:sz="4" w:space="0" w:color="000000"/>
              <w:bottom w:val="single" w:sz="4" w:space="0" w:color="000000"/>
              <w:right w:val="single" w:sz="4" w:space="0" w:color="000000"/>
            </w:tcBorders>
            <w:vAlign w:val="center"/>
          </w:tcPr>
          <w:p w14:paraId="4CB425B5" w14:textId="77777777" w:rsidR="008D696C" w:rsidRDefault="008D696C" w:rsidP="0031604E">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Nombre de la Escuela Media y localidad </w:t>
            </w:r>
          </w:p>
        </w:tc>
        <w:tc>
          <w:tcPr>
            <w:tcW w:w="1215" w:type="dxa"/>
            <w:tcBorders>
              <w:top w:val="single" w:sz="4" w:space="0" w:color="000000"/>
              <w:left w:val="single" w:sz="4" w:space="0" w:color="000000"/>
              <w:bottom w:val="single" w:sz="4" w:space="0" w:color="000000"/>
              <w:right w:val="single" w:sz="4" w:space="0" w:color="000000"/>
            </w:tcBorders>
            <w:vAlign w:val="bottom"/>
          </w:tcPr>
          <w:p w14:paraId="361763A0" w14:textId="77777777" w:rsidR="008D696C" w:rsidRDefault="008D696C" w:rsidP="0031604E">
            <w:pPr>
              <w:spacing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Cantidad de ingresantes 2023-2024</w:t>
            </w:r>
          </w:p>
        </w:tc>
      </w:tr>
      <w:tr w:rsidR="008D696C" w14:paraId="452BE277"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07BCFE64"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1º</w:t>
            </w:r>
          </w:p>
        </w:tc>
        <w:tc>
          <w:tcPr>
            <w:tcW w:w="1050" w:type="dxa"/>
            <w:tcBorders>
              <w:top w:val="single" w:sz="4" w:space="0" w:color="000000"/>
              <w:left w:val="single" w:sz="4" w:space="0" w:color="000000"/>
              <w:bottom w:val="single" w:sz="4" w:space="0" w:color="000000"/>
              <w:right w:val="single" w:sz="4" w:space="0" w:color="000000"/>
            </w:tcBorders>
            <w:vAlign w:val="bottom"/>
          </w:tcPr>
          <w:p w14:paraId="7877EDB5"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1º</w:t>
            </w:r>
          </w:p>
        </w:tc>
        <w:tc>
          <w:tcPr>
            <w:tcW w:w="5220" w:type="dxa"/>
            <w:tcBorders>
              <w:top w:val="single" w:sz="4" w:space="0" w:color="000000"/>
              <w:left w:val="single" w:sz="4" w:space="0" w:color="000000"/>
              <w:bottom w:val="single" w:sz="4" w:space="0" w:color="000000"/>
              <w:right w:val="single" w:sz="4" w:space="0" w:color="000000"/>
            </w:tcBorders>
            <w:vAlign w:val="bottom"/>
          </w:tcPr>
          <w:p w14:paraId="2BE73F7A"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E.E.T. Nº 7 "Taller Regional Quilmes" (IMPA) - Quilmes</w:t>
            </w:r>
          </w:p>
        </w:tc>
        <w:tc>
          <w:tcPr>
            <w:tcW w:w="1215" w:type="dxa"/>
            <w:tcBorders>
              <w:top w:val="single" w:sz="4" w:space="0" w:color="000000"/>
              <w:left w:val="single" w:sz="4" w:space="0" w:color="000000"/>
              <w:bottom w:val="single" w:sz="4" w:space="0" w:color="000000"/>
              <w:right w:val="single" w:sz="4" w:space="0" w:color="000000"/>
            </w:tcBorders>
            <w:vAlign w:val="bottom"/>
          </w:tcPr>
          <w:p w14:paraId="617AF593"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r>
      <w:tr w:rsidR="008D696C" w14:paraId="7E78B91E"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3F9BD5CF"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50" w:type="dxa"/>
            <w:tcBorders>
              <w:top w:val="single" w:sz="4" w:space="0" w:color="000000"/>
              <w:left w:val="single" w:sz="4" w:space="0" w:color="000000"/>
              <w:bottom w:val="single" w:sz="4" w:space="0" w:color="000000"/>
              <w:right w:val="single" w:sz="4" w:space="0" w:color="000000"/>
            </w:tcBorders>
            <w:vAlign w:val="bottom"/>
          </w:tcPr>
          <w:p w14:paraId="58663339"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220" w:type="dxa"/>
            <w:tcBorders>
              <w:top w:val="single" w:sz="4" w:space="0" w:color="000000"/>
              <w:left w:val="single" w:sz="4" w:space="0" w:color="000000"/>
              <w:bottom w:val="single" w:sz="4" w:space="0" w:color="000000"/>
              <w:right w:val="single" w:sz="4" w:space="0" w:color="000000"/>
            </w:tcBorders>
            <w:vAlign w:val="bottom"/>
          </w:tcPr>
          <w:p w14:paraId="63C8076B"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E.E.T. Nº 2 "Paula Albarracín de Sarmiento" (El Chaparral) - Quilmes</w:t>
            </w:r>
          </w:p>
        </w:tc>
        <w:tc>
          <w:tcPr>
            <w:tcW w:w="1215" w:type="dxa"/>
            <w:tcBorders>
              <w:top w:val="single" w:sz="4" w:space="0" w:color="000000"/>
              <w:left w:val="single" w:sz="4" w:space="0" w:color="000000"/>
              <w:bottom w:val="single" w:sz="4" w:space="0" w:color="000000"/>
              <w:right w:val="single" w:sz="4" w:space="0" w:color="000000"/>
            </w:tcBorders>
            <w:vAlign w:val="bottom"/>
          </w:tcPr>
          <w:p w14:paraId="0BD17B6D"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r>
      <w:tr w:rsidR="008D696C" w14:paraId="6E17450B"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shd w:val="clear" w:color="auto" w:fill="EAD1DC"/>
            <w:vAlign w:val="bottom"/>
          </w:tcPr>
          <w:p w14:paraId="7862C0C3"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050" w:type="dxa"/>
            <w:tcBorders>
              <w:top w:val="single" w:sz="4" w:space="0" w:color="000000"/>
              <w:left w:val="single" w:sz="4" w:space="0" w:color="000000"/>
              <w:bottom w:val="single" w:sz="4" w:space="0" w:color="000000"/>
              <w:right w:val="single" w:sz="4" w:space="0" w:color="000000"/>
            </w:tcBorders>
            <w:shd w:val="clear" w:color="auto" w:fill="EAD1DC"/>
            <w:vAlign w:val="bottom"/>
          </w:tcPr>
          <w:p w14:paraId="7F89E542"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220" w:type="dxa"/>
            <w:tcBorders>
              <w:top w:val="single" w:sz="4" w:space="0" w:color="000000"/>
              <w:left w:val="single" w:sz="4" w:space="0" w:color="000000"/>
              <w:bottom w:val="single" w:sz="4" w:space="0" w:color="000000"/>
              <w:right w:val="single" w:sz="4" w:space="0" w:color="000000"/>
            </w:tcBorders>
            <w:shd w:val="clear" w:color="auto" w:fill="EAD1DC"/>
            <w:vAlign w:val="bottom"/>
          </w:tcPr>
          <w:p w14:paraId="682D0EE2"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Instituto Técnico 13 de Julio - CABA</w:t>
            </w:r>
          </w:p>
        </w:tc>
        <w:tc>
          <w:tcPr>
            <w:tcW w:w="1215" w:type="dxa"/>
            <w:tcBorders>
              <w:top w:val="single" w:sz="4" w:space="0" w:color="000000"/>
              <w:left w:val="single" w:sz="4" w:space="0" w:color="000000"/>
              <w:bottom w:val="single" w:sz="4" w:space="0" w:color="000000"/>
              <w:right w:val="single" w:sz="4" w:space="0" w:color="000000"/>
            </w:tcBorders>
            <w:vAlign w:val="bottom"/>
          </w:tcPr>
          <w:p w14:paraId="23A0E253"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rsidR="008D696C" w14:paraId="21686EFF"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0DC0AE5C"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50" w:type="dxa"/>
            <w:tcBorders>
              <w:top w:val="single" w:sz="4" w:space="0" w:color="000000"/>
              <w:left w:val="single" w:sz="4" w:space="0" w:color="000000"/>
              <w:bottom w:val="single" w:sz="4" w:space="0" w:color="000000"/>
              <w:right w:val="single" w:sz="4" w:space="0" w:color="000000"/>
            </w:tcBorders>
            <w:vAlign w:val="bottom"/>
          </w:tcPr>
          <w:p w14:paraId="33EDC089"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220" w:type="dxa"/>
            <w:tcBorders>
              <w:top w:val="single" w:sz="4" w:space="0" w:color="000000"/>
              <w:left w:val="single" w:sz="4" w:space="0" w:color="000000"/>
              <w:bottom w:val="single" w:sz="4" w:space="0" w:color="000000"/>
              <w:right w:val="single" w:sz="4" w:space="0" w:color="000000"/>
            </w:tcBorders>
            <w:vAlign w:val="bottom"/>
          </w:tcPr>
          <w:p w14:paraId="43001BB0"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E.E.T. Nº 9 "Prof. Antonio José Rodríguez" - Lanús</w:t>
            </w:r>
          </w:p>
        </w:tc>
        <w:tc>
          <w:tcPr>
            <w:tcW w:w="1215" w:type="dxa"/>
            <w:tcBorders>
              <w:top w:val="single" w:sz="4" w:space="0" w:color="000000"/>
              <w:left w:val="single" w:sz="4" w:space="0" w:color="000000"/>
              <w:bottom w:val="single" w:sz="4" w:space="0" w:color="000000"/>
              <w:right w:val="single" w:sz="4" w:space="0" w:color="000000"/>
            </w:tcBorders>
            <w:vAlign w:val="bottom"/>
          </w:tcPr>
          <w:p w14:paraId="7633198F"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8D696C" w14:paraId="10C044F7"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shd w:val="clear" w:color="auto" w:fill="EAD1DC"/>
            <w:vAlign w:val="bottom"/>
          </w:tcPr>
          <w:p w14:paraId="3E7703C7"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050" w:type="dxa"/>
            <w:tcBorders>
              <w:top w:val="single" w:sz="4" w:space="0" w:color="000000"/>
              <w:left w:val="single" w:sz="4" w:space="0" w:color="000000"/>
              <w:bottom w:val="single" w:sz="4" w:space="0" w:color="000000"/>
              <w:right w:val="single" w:sz="4" w:space="0" w:color="000000"/>
            </w:tcBorders>
            <w:shd w:val="clear" w:color="auto" w:fill="EAD1DC"/>
            <w:vAlign w:val="bottom"/>
          </w:tcPr>
          <w:p w14:paraId="76D8CCA5"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5220" w:type="dxa"/>
            <w:tcBorders>
              <w:top w:val="single" w:sz="4" w:space="0" w:color="000000"/>
              <w:left w:val="single" w:sz="4" w:space="0" w:color="000000"/>
              <w:bottom w:val="single" w:sz="4" w:space="0" w:color="000000"/>
              <w:right w:val="single" w:sz="4" w:space="0" w:color="000000"/>
            </w:tcBorders>
            <w:shd w:val="clear" w:color="auto" w:fill="EAD1DC"/>
            <w:vAlign w:val="bottom"/>
          </w:tcPr>
          <w:p w14:paraId="762FD099"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E.E.T. Nº 5 "Dr. Salvador </w:t>
            </w:r>
            <w:proofErr w:type="spellStart"/>
            <w:r>
              <w:rPr>
                <w:rFonts w:ascii="Times New Roman" w:eastAsia="Times New Roman" w:hAnsi="Times New Roman" w:cs="Times New Roman"/>
                <w:sz w:val="20"/>
                <w:szCs w:val="20"/>
              </w:rPr>
              <w:t>Debenedetti</w:t>
            </w:r>
            <w:proofErr w:type="spellEnd"/>
            <w:r>
              <w:rPr>
                <w:rFonts w:ascii="Times New Roman" w:eastAsia="Times New Roman" w:hAnsi="Times New Roman" w:cs="Times New Roman"/>
                <w:sz w:val="20"/>
                <w:szCs w:val="20"/>
              </w:rPr>
              <w:t xml:space="preserve">" (ex </w:t>
            </w:r>
            <w:proofErr w:type="spellStart"/>
            <w:r>
              <w:rPr>
                <w:rFonts w:ascii="Times New Roman" w:eastAsia="Times New Roman" w:hAnsi="Times New Roman" w:cs="Times New Roman"/>
                <w:sz w:val="20"/>
                <w:szCs w:val="20"/>
              </w:rPr>
              <w:t>Palaá</w:t>
            </w:r>
            <w:proofErr w:type="spellEnd"/>
            <w:r>
              <w:rPr>
                <w:rFonts w:ascii="Times New Roman" w:eastAsia="Times New Roman" w:hAnsi="Times New Roman" w:cs="Times New Roman"/>
                <w:sz w:val="20"/>
                <w:szCs w:val="20"/>
              </w:rPr>
              <w:t>) - Avellaneda</w:t>
            </w:r>
          </w:p>
        </w:tc>
        <w:tc>
          <w:tcPr>
            <w:tcW w:w="1215" w:type="dxa"/>
            <w:tcBorders>
              <w:top w:val="single" w:sz="4" w:space="0" w:color="000000"/>
              <w:left w:val="single" w:sz="4" w:space="0" w:color="000000"/>
              <w:bottom w:val="single" w:sz="4" w:space="0" w:color="000000"/>
              <w:right w:val="single" w:sz="4" w:space="0" w:color="000000"/>
            </w:tcBorders>
            <w:vAlign w:val="bottom"/>
          </w:tcPr>
          <w:p w14:paraId="236264C3"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8D696C" w14:paraId="5F653044"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3B226D14"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050" w:type="dxa"/>
            <w:tcBorders>
              <w:top w:val="single" w:sz="4" w:space="0" w:color="000000"/>
              <w:left w:val="single" w:sz="4" w:space="0" w:color="000000"/>
              <w:bottom w:val="single" w:sz="4" w:space="0" w:color="000000"/>
              <w:right w:val="single" w:sz="4" w:space="0" w:color="000000"/>
            </w:tcBorders>
            <w:vAlign w:val="bottom"/>
          </w:tcPr>
          <w:p w14:paraId="32BF7EB2"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5220" w:type="dxa"/>
            <w:tcBorders>
              <w:top w:val="single" w:sz="4" w:space="0" w:color="000000"/>
              <w:left w:val="single" w:sz="4" w:space="0" w:color="000000"/>
              <w:bottom w:val="single" w:sz="4" w:space="0" w:color="000000"/>
              <w:right w:val="single" w:sz="4" w:space="0" w:color="000000"/>
            </w:tcBorders>
            <w:vAlign w:val="bottom"/>
          </w:tcPr>
          <w:p w14:paraId="776C31C0"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E.E.T. Nº 4 "Gral. Enrique </w:t>
            </w:r>
            <w:proofErr w:type="spellStart"/>
            <w:r>
              <w:rPr>
                <w:rFonts w:ascii="Times New Roman" w:eastAsia="Times New Roman" w:hAnsi="Times New Roman" w:cs="Times New Roman"/>
                <w:sz w:val="20"/>
                <w:szCs w:val="20"/>
              </w:rPr>
              <w:t>Mosconi</w:t>
            </w:r>
            <w:proofErr w:type="spellEnd"/>
            <w:r>
              <w:rPr>
                <w:rFonts w:ascii="Times New Roman" w:eastAsia="Times New Roman" w:hAnsi="Times New Roman" w:cs="Times New Roman"/>
                <w:sz w:val="20"/>
                <w:szCs w:val="20"/>
              </w:rPr>
              <w:t>" - Quilmes</w:t>
            </w:r>
          </w:p>
        </w:tc>
        <w:tc>
          <w:tcPr>
            <w:tcW w:w="1215" w:type="dxa"/>
            <w:tcBorders>
              <w:top w:val="single" w:sz="4" w:space="0" w:color="000000"/>
              <w:left w:val="single" w:sz="4" w:space="0" w:color="000000"/>
              <w:bottom w:val="single" w:sz="4" w:space="0" w:color="000000"/>
              <w:right w:val="single" w:sz="4" w:space="0" w:color="000000"/>
            </w:tcBorders>
            <w:vAlign w:val="bottom"/>
          </w:tcPr>
          <w:p w14:paraId="0CBD90B5"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r>
      <w:tr w:rsidR="008D696C" w14:paraId="16786059"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shd w:val="clear" w:color="auto" w:fill="EAD1DC"/>
            <w:vAlign w:val="bottom"/>
          </w:tcPr>
          <w:p w14:paraId="47F9899A"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050" w:type="dxa"/>
            <w:tcBorders>
              <w:top w:val="single" w:sz="4" w:space="0" w:color="000000"/>
              <w:left w:val="single" w:sz="4" w:space="0" w:color="000000"/>
              <w:bottom w:val="single" w:sz="4" w:space="0" w:color="000000"/>
              <w:right w:val="single" w:sz="4" w:space="0" w:color="000000"/>
            </w:tcBorders>
            <w:shd w:val="clear" w:color="auto" w:fill="EAD1DC"/>
            <w:vAlign w:val="bottom"/>
          </w:tcPr>
          <w:p w14:paraId="4B20BE2C"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220" w:type="dxa"/>
            <w:tcBorders>
              <w:top w:val="single" w:sz="4" w:space="0" w:color="000000"/>
              <w:left w:val="single" w:sz="4" w:space="0" w:color="000000"/>
              <w:bottom w:val="single" w:sz="4" w:space="0" w:color="000000"/>
              <w:right w:val="single" w:sz="4" w:space="0" w:color="000000"/>
            </w:tcBorders>
            <w:shd w:val="clear" w:color="auto" w:fill="EAD1DC"/>
            <w:vAlign w:val="bottom"/>
          </w:tcPr>
          <w:p w14:paraId="422C8709"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E.E.T. Nº 3 "Politécnico de Berazategui" - Berazategui</w:t>
            </w:r>
          </w:p>
        </w:tc>
        <w:tc>
          <w:tcPr>
            <w:tcW w:w="1215" w:type="dxa"/>
            <w:tcBorders>
              <w:top w:val="single" w:sz="4" w:space="0" w:color="000000"/>
              <w:left w:val="single" w:sz="4" w:space="0" w:color="000000"/>
              <w:bottom w:val="single" w:sz="4" w:space="0" w:color="000000"/>
              <w:right w:val="single" w:sz="4" w:space="0" w:color="000000"/>
            </w:tcBorders>
            <w:vAlign w:val="bottom"/>
          </w:tcPr>
          <w:p w14:paraId="41453112"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r>
      <w:tr w:rsidR="008D696C" w14:paraId="3A811DFA"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shd w:val="clear" w:color="auto" w:fill="EAD1DC"/>
            <w:vAlign w:val="bottom"/>
          </w:tcPr>
          <w:p w14:paraId="231503E3"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050" w:type="dxa"/>
            <w:tcBorders>
              <w:top w:val="single" w:sz="4" w:space="0" w:color="000000"/>
              <w:left w:val="single" w:sz="4" w:space="0" w:color="000000"/>
              <w:bottom w:val="single" w:sz="4" w:space="0" w:color="000000"/>
              <w:right w:val="single" w:sz="4" w:space="0" w:color="000000"/>
            </w:tcBorders>
            <w:shd w:val="clear" w:color="auto" w:fill="EAD1DC"/>
            <w:vAlign w:val="bottom"/>
          </w:tcPr>
          <w:p w14:paraId="7842CEDD"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5220" w:type="dxa"/>
            <w:tcBorders>
              <w:top w:val="single" w:sz="4" w:space="0" w:color="000000"/>
              <w:left w:val="single" w:sz="4" w:space="0" w:color="000000"/>
              <w:bottom w:val="single" w:sz="4" w:space="0" w:color="000000"/>
              <w:right w:val="single" w:sz="4" w:space="0" w:color="000000"/>
            </w:tcBorders>
            <w:shd w:val="clear" w:color="auto" w:fill="EAD1DC"/>
            <w:vAlign w:val="bottom"/>
          </w:tcPr>
          <w:p w14:paraId="3606E55A"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E.E.T. Nº 8 "</w:t>
            </w:r>
            <w:proofErr w:type="spellStart"/>
            <w:r>
              <w:rPr>
                <w:rFonts w:ascii="Times New Roman" w:eastAsia="Times New Roman" w:hAnsi="Times New Roman" w:cs="Times New Roman"/>
                <w:sz w:val="20"/>
                <w:szCs w:val="20"/>
              </w:rPr>
              <w:t>Almafuerte</w:t>
            </w:r>
            <w:proofErr w:type="spellEnd"/>
            <w:r>
              <w:rPr>
                <w:rFonts w:ascii="Times New Roman" w:eastAsia="Times New Roman" w:hAnsi="Times New Roman" w:cs="Times New Roman"/>
                <w:sz w:val="20"/>
                <w:szCs w:val="20"/>
              </w:rPr>
              <w:t>" - Lanús</w:t>
            </w:r>
          </w:p>
        </w:tc>
        <w:tc>
          <w:tcPr>
            <w:tcW w:w="1215" w:type="dxa"/>
            <w:tcBorders>
              <w:top w:val="single" w:sz="4" w:space="0" w:color="000000"/>
              <w:left w:val="single" w:sz="4" w:space="0" w:color="000000"/>
              <w:bottom w:val="single" w:sz="4" w:space="0" w:color="000000"/>
              <w:right w:val="single" w:sz="4" w:space="0" w:color="000000"/>
            </w:tcBorders>
            <w:vAlign w:val="bottom"/>
          </w:tcPr>
          <w:p w14:paraId="41998B48"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8D696C" w14:paraId="722B1C58"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0667CAFA"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05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56E2936A"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522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4D3E24FF"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Instituto San Juan Bautista - Florencio Varela</w:t>
            </w:r>
          </w:p>
        </w:tc>
        <w:tc>
          <w:tcPr>
            <w:tcW w:w="1215" w:type="dxa"/>
            <w:tcBorders>
              <w:top w:val="single" w:sz="4" w:space="0" w:color="000000"/>
              <w:left w:val="single" w:sz="4" w:space="0" w:color="000000"/>
              <w:bottom w:val="single" w:sz="4" w:space="0" w:color="000000"/>
              <w:right w:val="single" w:sz="4" w:space="0" w:color="000000"/>
            </w:tcBorders>
            <w:vAlign w:val="bottom"/>
          </w:tcPr>
          <w:p w14:paraId="641E1C28"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8D696C" w14:paraId="32A97150"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7AEB58CC"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5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31BA7BA0"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522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5A258A28"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Instituto Industrial Luis A. </w:t>
            </w:r>
            <w:proofErr w:type="spellStart"/>
            <w:r>
              <w:rPr>
                <w:rFonts w:ascii="Times New Roman" w:eastAsia="Times New Roman" w:hAnsi="Times New Roman" w:cs="Times New Roman"/>
                <w:sz w:val="20"/>
                <w:szCs w:val="20"/>
              </w:rPr>
              <w:t>Huergo</w:t>
            </w:r>
            <w:proofErr w:type="spellEnd"/>
            <w:r>
              <w:rPr>
                <w:rFonts w:ascii="Times New Roman" w:eastAsia="Times New Roman" w:hAnsi="Times New Roman" w:cs="Times New Roman"/>
                <w:sz w:val="20"/>
                <w:szCs w:val="20"/>
              </w:rPr>
              <w:t xml:space="preserve"> - CABA</w:t>
            </w:r>
          </w:p>
        </w:tc>
        <w:tc>
          <w:tcPr>
            <w:tcW w:w="1215" w:type="dxa"/>
            <w:tcBorders>
              <w:top w:val="single" w:sz="4" w:space="0" w:color="000000"/>
              <w:left w:val="single" w:sz="4" w:space="0" w:color="000000"/>
              <w:bottom w:val="single" w:sz="4" w:space="0" w:color="000000"/>
              <w:right w:val="single" w:sz="4" w:space="0" w:color="000000"/>
            </w:tcBorders>
            <w:vAlign w:val="bottom"/>
          </w:tcPr>
          <w:p w14:paraId="6D3202FC"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8D696C" w14:paraId="096FD4A8"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296CD5F7"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050" w:type="dxa"/>
            <w:tcBorders>
              <w:top w:val="single" w:sz="4" w:space="0" w:color="000000"/>
              <w:left w:val="single" w:sz="4" w:space="0" w:color="000000"/>
              <w:bottom w:val="single" w:sz="4" w:space="0" w:color="000000"/>
              <w:right w:val="single" w:sz="4" w:space="0" w:color="000000"/>
            </w:tcBorders>
            <w:vAlign w:val="bottom"/>
          </w:tcPr>
          <w:p w14:paraId="4F593EA5"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5220" w:type="dxa"/>
            <w:tcBorders>
              <w:top w:val="single" w:sz="4" w:space="0" w:color="000000"/>
              <w:left w:val="single" w:sz="4" w:space="0" w:color="000000"/>
              <w:bottom w:val="single" w:sz="4" w:space="0" w:color="000000"/>
              <w:right w:val="single" w:sz="4" w:space="0" w:color="000000"/>
            </w:tcBorders>
            <w:vAlign w:val="bottom"/>
          </w:tcPr>
          <w:p w14:paraId="2DC51895"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E.E.T. Nº 1 "Gral. Martín Miguel de Güemes" - Almirante Brown</w:t>
            </w:r>
          </w:p>
        </w:tc>
        <w:tc>
          <w:tcPr>
            <w:tcW w:w="1215" w:type="dxa"/>
            <w:tcBorders>
              <w:top w:val="single" w:sz="4" w:space="0" w:color="000000"/>
              <w:left w:val="single" w:sz="4" w:space="0" w:color="000000"/>
              <w:bottom w:val="single" w:sz="4" w:space="0" w:color="000000"/>
              <w:right w:val="single" w:sz="4" w:space="0" w:color="000000"/>
            </w:tcBorders>
            <w:vAlign w:val="bottom"/>
          </w:tcPr>
          <w:p w14:paraId="7D4CE165"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8D696C" w14:paraId="2FB60B6A"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223DF957"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05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3E933CF2"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522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3195EE8D"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Instituto Tecnológico San Bonifacio - Lomas de Zamora</w:t>
            </w:r>
          </w:p>
        </w:tc>
        <w:tc>
          <w:tcPr>
            <w:tcW w:w="1215" w:type="dxa"/>
            <w:tcBorders>
              <w:top w:val="single" w:sz="4" w:space="0" w:color="000000"/>
              <w:left w:val="single" w:sz="4" w:space="0" w:color="000000"/>
              <w:bottom w:val="single" w:sz="4" w:space="0" w:color="000000"/>
              <w:right w:val="single" w:sz="4" w:space="0" w:color="000000"/>
            </w:tcBorders>
            <w:vAlign w:val="bottom"/>
          </w:tcPr>
          <w:p w14:paraId="5FED5A82"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696C" w14:paraId="2A108E35"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75E0A158"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050" w:type="dxa"/>
            <w:tcBorders>
              <w:top w:val="single" w:sz="4" w:space="0" w:color="000000"/>
              <w:left w:val="single" w:sz="4" w:space="0" w:color="000000"/>
              <w:bottom w:val="single" w:sz="4" w:space="0" w:color="000000"/>
              <w:right w:val="single" w:sz="4" w:space="0" w:color="000000"/>
            </w:tcBorders>
            <w:vAlign w:val="bottom"/>
          </w:tcPr>
          <w:p w14:paraId="459AA3E1"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5220" w:type="dxa"/>
            <w:tcBorders>
              <w:top w:val="single" w:sz="4" w:space="0" w:color="000000"/>
              <w:left w:val="single" w:sz="4" w:space="0" w:color="000000"/>
              <w:bottom w:val="single" w:sz="4" w:space="0" w:color="000000"/>
              <w:right w:val="single" w:sz="4" w:space="0" w:color="000000"/>
            </w:tcBorders>
            <w:vAlign w:val="bottom"/>
          </w:tcPr>
          <w:p w14:paraId="588DD2C4"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E.E.T. nº 5 "2 de Abril" - Lomas de Zamora</w:t>
            </w:r>
          </w:p>
        </w:tc>
        <w:tc>
          <w:tcPr>
            <w:tcW w:w="1215" w:type="dxa"/>
            <w:tcBorders>
              <w:top w:val="single" w:sz="4" w:space="0" w:color="000000"/>
              <w:left w:val="single" w:sz="4" w:space="0" w:color="000000"/>
              <w:bottom w:val="single" w:sz="4" w:space="0" w:color="000000"/>
              <w:right w:val="single" w:sz="4" w:space="0" w:color="000000"/>
            </w:tcBorders>
            <w:vAlign w:val="bottom"/>
          </w:tcPr>
          <w:p w14:paraId="53DB95D9"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8D696C" w14:paraId="3CCB2B17"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582C6211"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16</w:t>
            </w:r>
          </w:p>
        </w:tc>
        <w:tc>
          <w:tcPr>
            <w:tcW w:w="1050" w:type="dxa"/>
            <w:tcBorders>
              <w:top w:val="single" w:sz="4" w:space="0" w:color="000000"/>
              <w:left w:val="single" w:sz="4" w:space="0" w:color="000000"/>
              <w:bottom w:val="single" w:sz="4" w:space="0" w:color="000000"/>
              <w:right w:val="single" w:sz="4" w:space="0" w:color="000000"/>
            </w:tcBorders>
            <w:vAlign w:val="bottom"/>
          </w:tcPr>
          <w:p w14:paraId="39BB05B6"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5220" w:type="dxa"/>
            <w:tcBorders>
              <w:top w:val="single" w:sz="4" w:space="0" w:color="000000"/>
              <w:left w:val="single" w:sz="4" w:space="0" w:color="000000"/>
              <w:bottom w:val="single" w:sz="4" w:space="0" w:color="000000"/>
              <w:right w:val="single" w:sz="4" w:space="0" w:color="000000"/>
            </w:tcBorders>
            <w:shd w:val="clear" w:color="auto" w:fill="999999"/>
            <w:vAlign w:val="bottom"/>
          </w:tcPr>
          <w:p w14:paraId="56D6E14C"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Instituto Santa Lucía - Florencio Varela</w:t>
            </w:r>
          </w:p>
        </w:tc>
        <w:tc>
          <w:tcPr>
            <w:tcW w:w="1215" w:type="dxa"/>
            <w:tcBorders>
              <w:top w:val="single" w:sz="4" w:space="0" w:color="000000"/>
              <w:left w:val="single" w:sz="4" w:space="0" w:color="000000"/>
              <w:bottom w:val="single" w:sz="4" w:space="0" w:color="000000"/>
              <w:right w:val="single" w:sz="4" w:space="0" w:color="000000"/>
            </w:tcBorders>
            <w:vAlign w:val="bottom"/>
          </w:tcPr>
          <w:p w14:paraId="0C8DF3B5"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8D696C" w14:paraId="3DA15F93"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5940DE02"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050" w:type="dxa"/>
            <w:tcBorders>
              <w:top w:val="single" w:sz="4" w:space="0" w:color="000000"/>
              <w:left w:val="single" w:sz="4" w:space="0" w:color="000000"/>
              <w:bottom w:val="single" w:sz="4" w:space="0" w:color="000000"/>
              <w:right w:val="single" w:sz="4" w:space="0" w:color="000000"/>
            </w:tcBorders>
            <w:vAlign w:val="bottom"/>
          </w:tcPr>
          <w:p w14:paraId="2891C599"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220" w:type="dxa"/>
            <w:tcBorders>
              <w:top w:val="single" w:sz="4" w:space="0" w:color="000000"/>
              <w:left w:val="single" w:sz="4" w:space="0" w:color="000000"/>
              <w:bottom w:val="single" w:sz="4" w:space="0" w:color="000000"/>
              <w:right w:val="single" w:sz="4" w:space="0" w:color="000000"/>
            </w:tcBorders>
            <w:vAlign w:val="bottom"/>
          </w:tcPr>
          <w:p w14:paraId="7B56545F"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E.E.T. Nº 6 "Ing. Juan V. </w:t>
            </w:r>
            <w:proofErr w:type="spellStart"/>
            <w:r>
              <w:rPr>
                <w:rFonts w:ascii="Times New Roman" w:eastAsia="Times New Roman" w:hAnsi="Times New Roman" w:cs="Times New Roman"/>
                <w:sz w:val="20"/>
                <w:szCs w:val="20"/>
              </w:rPr>
              <w:t>Passalacqua</w:t>
            </w:r>
            <w:proofErr w:type="spellEnd"/>
            <w:r>
              <w:rPr>
                <w:rFonts w:ascii="Times New Roman" w:eastAsia="Times New Roman" w:hAnsi="Times New Roman" w:cs="Times New Roman"/>
                <w:sz w:val="20"/>
                <w:szCs w:val="20"/>
              </w:rPr>
              <w:t>" - Lomas de Zamora</w:t>
            </w:r>
          </w:p>
        </w:tc>
        <w:tc>
          <w:tcPr>
            <w:tcW w:w="1215" w:type="dxa"/>
            <w:tcBorders>
              <w:top w:val="single" w:sz="4" w:space="0" w:color="000000"/>
              <w:left w:val="single" w:sz="4" w:space="0" w:color="000000"/>
              <w:bottom w:val="single" w:sz="4" w:space="0" w:color="000000"/>
              <w:right w:val="single" w:sz="4" w:space="0" w:color="000000"/>
            </w:tcBorders>
            <w:vAlign w:val="bottom"/>
          </w:tcPr>
          <w:p w14:paraId="39EFBFE4"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r>
      <w:tr w:rsidR="008D696C" w14:paraId="3846B24F"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72DC6AC2"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1050" w:type="dxa"/>
            <w:tcBorders>
              <w:top w:val="single" w:sz="4" w:space="0" w:color="000000"/>
              <w:left w:val="single" w:sz="4" w:space="0" w:color="000000"/>
              <w:bottom w:val="single" w:sz="4" w:space="0" w:color="000000"/>
              <w:right w:val="single" w:sz="4" w:space="0" w:color="000000"/>
            </w:tcBorders>
            <w:vAlign w:val="bottom"/>
          </w:tcPr>
          <w:p w14:paraId="0CF884F3"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5220" w:type="dxa"/>
            <w:tcBorders>
              <w:top w:val="single" w:sz="4" w:space="0" w:color="000000"/>
              <w:left w:val="single" w:sz="4" w:space="0" w:color="000000"/>
              <w:bottom w:val="single" w:sz="4" w:space="0" w:color="000000"/>
              <w:right w:val="single" w:sz="4" w:space="0" w:color="000000"/>
            </w:tcBorders>
            <w:vAlign w:val="bottom"/>
          </w:tcPr>
          <w:p w14:paraId="3511041E"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E.E.M. nº 2 "Juan María Gutiérrez" - Avellaneda</w:t>
            </w:r>
          </w:p>
        </w:tc>
        <w:tc>
          <w:tcPr>
            <w:tcW w:w="1215" w:type="dxa"/>
            <w:tcBorders>
              <w:top w:val="single" w:sz="4" w:space="0" w:color="000000"/>
              <w:left w:val="single" w:sz="4" w:space="0" w:color="000000"/>
              <w:bottom w:val="single" w:sz="4" w:space="0" w:color="000000"/>
              <w:right w:val="single" w:sz="4" w:space="0" w:color="000000"/>
            </w:tcBorders>
            <w:vAlign w:val="bottom"/>
          </w:tcPr>
          <w:p w14:paraId="68D7C252"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8D696C" w14:paraId="652C413B"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0B335778"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s/r</w:t>
            </w:r>
          </w:p>
        </w:tc>
        <w:tc>
          <w:tcPr>
            <w:tcW w:w="1050" w:type="dxa"/>
            <w:tcBorders>
              <w:top w:val="single" w:sz="4" w:space="0" w:color="000000"/>
              <w:left w:val="single" w:sz="4" w:space="0" w:color="000000"/>
              <w:bottom w:val="single" w:sz="4" w:space="0" w:color="000000"/>
              <w:right w:val="single" w:sz="4" w:space="0" w:color="000000"/>
            </w:tcBorders>
            <w:vAlign w:val="bottom"/>
          </w:tcPr>
          <w:p w14:paraId="4BAF571B"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5220" w:type="dxa"/>
            <w:tcBorders>
              <w:top w:val="single" w:sz="4" w:space="0" w:color="000000"/>
              <w:left w:val="single" w:sz="4" w:space="0" w:color="000000"/>
              <w:bottom w:val="single" w:sz="4" w:space="0" w:color="000000"/>
              <w:right w:val="single" w:sz="4" w:space="0" w:color="000000"/>
            </w:tcBorders>
            <w:vAlign w:val="bottom"/>
          </w:tcPr>
          <w:p w14:paraId="20AD8FB6"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E.E.T. nº 6 - Avellaneda</w:t>
            </w:r>
          </w:p>
        </w:tc>
        <w:tc>
          <w:tcPr>
            <w:tcW w:w="1215" w:type="dxa"/>
            <w:tcBorders>
              <w:top w:val="single" w:sz="4" w:space="0" w:color="000000"/>
              <w:left w:val="single" w:sz="4" w:space="0" w:color="000000"/>
              <w:bottom w:val="single" w:sz="4" w:space="0" w:color="000000"/>
              <w:right w:val="single" w:sz="4" w:space="0" w:color="000000"/>
            </w:tcBorders>
            <w:vAlign w:val="bottom"/>
          </w:tcPr>
          <w:p w14:paraId="3D6EF7FC"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8D696C" w14:paraId="6B2DBAB7"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6DCF6799"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s/r</w:t>
            </w:r>
          </w:p>
        </w:tc>
        <w:tc>
          <w:tcPr>
            <w:tcW w:w="1050" w:type="dxa"/>
            <w:tcBorders>
              <w:top w:val="single" w:sz="4" w:space="0" w:color="000000"/>
              <w:left w:val="single" w:sz="4" w:space="0" w:color="000000"/>
              <w:bottom w:val="single" w:sz="4" w:space="0" w:color="000000"/>
              <w:right w:val="single" w:sz="4" w:space="0" w:color="000000"/>
            </w:tcBorders>
            <w:vAlign w:val="bottom"/>
          </w:tcPr>
          <w:p w14:paraId="48C63964"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5220" w:type="dxa"/>
            <w:tcBorders>
              <w:top w:val="single" w:sz="4" w:space="0" w:color="000000"/>
              <w:left w:val="single" w:sz="4" w:space="0" w:color="000000"/>
              <w:bottom w:val="single" w:sz="4" w:space="0" w:color="000000"/>
              <w:right w:val="single" w:sz="4" w:space="0" w:color="000000"/>
            </w:tcBorders>
            <w:shd w:val="clear" w:color="auto" w:fill="A5A5A5"/>
            <w:vAlign w:val="bottom"/>
          </w:tcPr>
          <w:p w14:paraId="77947EE0"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Instituto San Martín - Avellaneda</w:t>
            </w:r>
          </w:p>
        </w:tc>
        <w:tc>
          <w:tcPr>
            <w:tcW w:w="1215" w:type="dxa"/>
            <w:tcBorders>
              <w:top w:val="single" w:sz="4" w:space="0" w:color="000000"/>
              <w:left w:val="single" w:sz="4" w:space="0" w:color="000000"/>
              <w:bottom w:val="single" w:sz="4" w:space="0" w:color="000000"/>
              <w:right w:val="single" w:sz="4" w:space="0" w:color="000000"/>
            </w:tcBorders>
            <w:vAlign w:val="bottom"/>
          </w:tcPr>
          <w:p w14:paraId="16D45781"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8D696C" w14:paraId="79EC3BC2"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5460E9ED"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05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24FB1539"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5220" w:type="dxa"/>
            <w:tcBorders>
              <w:top w:val="single" w:sz="4" w:space="0" w:color="000000"/>
              <w:left w:val="single" w:sz="4" w:space="0" w:color="000000"/>
              <w:bottom w:val="single" w:sz="4" w:space="0" w:color="000000"/>
              <w:right w:val="single" w:sz="4" w:space="0" w:color="000000"/>
            </w:tcBorders>
            <w:shd w:val="clear" w:color="auto" w:fill="C0E6F5"/>
            <w:vAlign w:val="bottom"/>
          </w:tcPr>
          <w:p w14:paraId="4F69E34E"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E.E.T. Nº 5 "John F. Kennedy" (ex ENET 1) - Lanús</w:t>
            </w:r>
          </w:p>
        </w:tc>
        <w:tc>
          <w:tcPr>
            <w:tcW w:w="1215" w:type="dxa"/>
            <w:tcBorders>
              <w:top w:val="single" w:sz="4" w:space="0" w:color="000000"/>
              <w:left w:val="single" w:sz="4" w:space="0" w:color="000000"/>
              <w:bottom w:val="single" w:sz="4" w:space="0" w:color="000000"/>
              <w:right w:val="single" w:sz="4" w:space="0" w:color="000000"/>
            </w:tcBorders>
            <w:vAlign w:val="bottom"/>
          </w:tcPr>
          <w:p w14:paraId="2C41F8A2"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D696C" w14:paraId="39EFDE20"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76BD8AAB"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050" w:type="dxa"/>
            <w:tcBorders>
              <w:top w:val="single" w:sz="4" w:space="0" w:color="000000"/>
              <w:left w:val="single" w:sz="4" w:space="0" w:color="000000"/>
              <w:bottom w:val="single" w:sz="4" w:space="0" w:color="000000"/>
              <w:right w:val="single" w:sz="4" w:space="0" w:color="000000"/>
            </w:tcBorders>
            <w:vAlign w:val="bottom"/>
          </w:tcPr>
          <w:p w14:paraId="607DB270"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5220" w:type="dxa"/>
            <w:tcBorders>
              <w:top w:val="single" w:sz="4" w:space="0" w:color="000000"/>
              <w:left w:val="single" w:sz="4" w:space="0" w:color="000000"/>
              <w:bottom w:val="single" w:sz="4" w:space="0" w:color="000000"/>
              <w:right w:val="single" w:sz="4" w:space="0" w:color="000000"/>
            </w:tcBorders>
            <w:vAlign w:val="bottom"/>
          </w:tcPr>
          <w:p w14:paraId="51335751"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E.E.T. nº 3 "República de Italia" - Quilmes</w:t>
            </w:r>
          </w:p>
        </w:tc>
        <w:tc>
          <w:tcPr>
            <w:tcW w:w="1215" w:type="dxa"/>
            <w:tcBorders>
              <w:top w:val="single" w:sz="4" w:space="0" w:color="000000"/>
              <w:left w:val="single" w:sz="4" w:space="0" w:color="000000"/>
              <w:bottom w:val="single" w:sz="4" w:space="0" w:color="000000"/>
              <w:right w:val="single" w:sz="4" w:space="0" w:color="000000"/>
            </w:tcBorders>
            <w:vAlign w:val="bottom"/>
          </w:tcPr>
          <w:p w14:paraId="39A99618"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D696C" w14:paraId="73146267"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42294F6F"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1050" w:type="dxa"/>
            <w:tcBorders>
              <w:top w:val="single" w:sz="4" w:space="0" w:color="000000"/>
              <w:left w:val="single" w:sz="4" w:space="0" w:color="000000"/>
              <w:bottom w:val="single" w:sz="4" w:space="0" w:color="000000"/>
              <w:right w:val="single" w:sz="4" w:space="0" w:color="000000"/>
            </w:tcBorders>
            <w:vAlign w:val="bottom"/>
          </w:tcPr>
          <w:p w14:paraId="45D93F0C"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5220" w:type="dxa"/>
            <w:tcBorders>
              <w:top w:val="single" w:sz="4" w:space="0" w:color="000000"/>
              <w:left w:val="single" w:sz="4" w:space="0" w:color="000000"/>
              <w:bottom w:val="single" w:sz="4" w:space="0" w:color="000000"/>
              <w:right w:val="single" w:sz="4" w:space="0" w:color="000000"/>
            </w:tcBorders>
            <w:shd w:val="clear" w:color="auto" w:fill="999999"/>
            <w:vAlign w:val="bottom"/>
          </w:tcPr>
          <w:p w14:paraId="3A549483"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Instituto San Alfonso - Quilmes</w:t>
            </w:r>
          </w:p>
        </w:tc>
        <w:tc>
          <w:tcPr>
            <w:tcW w:w="1215" w:type="dxa"/>
            <w:tcBorders>
              <w:top w:val="single" w:sz="4" w:space="0" w:color="000000"/>
              <w:left w:val="single" w:sz="4" w:space="0" w:color="000000"/>
              <w:bottom w:val="single" w:sz="4" w:space="0" w:color="000000"/>
              <w:right w:val="single" w:sz="4" w:space="0" w:color="000000"/>
            </w:tcBorders>
            <w:vAlign w:val="bottom"/>
          </w:tcPr>
          <w:p w14:paraId="59D247AB"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D696C" w14:paraId="3587E513"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70101036"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1050" w:type="dxa"/>
            <w:tcBorders>
              <w:top w:val="single" w:sz="4" w:space="0" w:color="000000"/>
              <w:left w:val="single" w:sz="4" w:space="0" w:color="000000"/>
              <w:bottom w:val="single" w:sz="4" w:space="0" w:color="000000"/>
              <w:right w:val="single" w:sz="4" w:space="0" w:color="000000"/>
            </w:tcBorders>
            <w:vAlign w:val="bottom"/>
          </w:tcPr>
          <w:p w14:paraId="334ADF21"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5220" w:type="dxa"/>
            <w:tcBorders>
              <w:top w:val="single" w:sz="4" w:space="0" w:color="000000"/>
              <w:left w:val="single" w:sz="4" w:space="0" w:color="000000"/>
              <w:bottom w:val="single" w:sz="4" w:space="0" w:color="000000"/>
              <w:right w:val="single" w:sz="4" w:space="0" w:color="000000"/>
            </w:tcBorders>
            <w:vAlign w:val="bottom"/>
          </w:tcPr>
          <w:p w14:paraId="5A5EC409"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E.E.T. nº 6 "Combate de San Lorenzo" - Quilmes</w:t>
            </w:r>
          </w:p>
        </w:tc>
        <w:tc>
          <w:tcPr>
            <w:tcW w:w="1215" w:type="dxa"/>
            <w:tcBorders>
              <w:top w:val="single" w:sz="4" w:space="0" w:color="000000"/>
              <w:left w:val="single" w:sz="4" w:space="0" w:color="000000"/>
              <w:bottom w:val="single" w:sz="4" w:space="0" w:color="000000"/>
              <w:right w:val="single" w:sz="4" w:space="0" w:color="000000"/>
            </w:tcBorders>
            <w:vAlign w:val="bottom"/>
          </w:tcPr>
          <w:p w14:paraId="00937F51"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D696C" w14:paraId="23581AC4"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396BC88B"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s/r</w:t>
            </w:r>
          </w:p>
        </w:tc>
        <w:tc>
          <w:tcPr>
            <w:tcW w:w="1050" w:type="dxa"/>
            <w:tcBorders>
              <w:top w:val="single" w:sz="4" w:space="0" w:color="000000"/>
              <w:left w:val="single" w:sz="4" w:space="0" w:color="000000"/>
              <w:bottom w:val="single" w:sz="4" w:space="0" w:color="000000"/>
              <w:right w:val="single" w:sz="4" w:space="0" w:color="000000"/>
            </w:tcBorders>
            <w:vAlign w:val="bottom"/>
          </w:tcPr>
          <w:p w14:paraId="76F95C1A"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5220" w:type="dxa"/>
            <w:tcBorders>
              <w:top w:val="single" w:sz="4" w:space="0" w:color="000000"/>
              <w:left w:val="single" w:sz="4" w:space="0" w:color="000000"/>
              <w:bottom w:val="single" w:sz="4" w:space="0" w:color="000000"/>
              <w:right w:val="single" w:sz="4" w:space="0" w:color="000000"/>
            </w:tcBorders>
            <w:shd w:val="clear" w:color="auto" w:fill="999999"/>
            <w:vAlign w:val="bottom"/>
          </w:tcPr>
          <w:p w14:paraId="574F48F4"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Instituto San Vicente de Paul - Avellaneda</w:t>
            </w:r>
          </w:p>
        </w:tc>
        <w:tc>
          <w:tcPr>
            <w:tcW w:w="1215" w:type="dxa"/>
            <w:tcBorders>
              <w:top w:val="single" w:sz="4" w:space="0" w:color="000000"/>
              <w:left w:val="single" w:sz="4" w:space="0" w:color="000000"/>
              <w:bottom w:val="single" w:sz="4" w:space="0" w:color="000000"/>
              <w:right w:val="single" w:sz="4" w:space="0" w:color="000000"/>
            </w:tcBorders>
            <w:vAlign w:val="bottom"/>
          </w:tcPr>
          <w:p w14:paraId="17AEAE0E"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D696C" w14:paraId="5EA15EF7"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06079637"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s/r</w:t>
            </w:r>
          </w:p>
        </w:tc>
        <w:tc>
          <w:tcPr>
            <w:tcW w:w="1050" w:type="dxa"/>
            <w:tcBorders>
              <w:top w:val="single" w:sz="4" w:space="0" w:color="000000"/>
              <w:left w:val="single" w:sz="4" w:space="0" w:color="000000"/>
              <w:bottom w:val="single" w:sz="4" w:space="0" w:color="000000"/>
              <w:right w:val="single" w:sz="4" w:space="0" w:color="000000"/>
            </w:tcBorders>
            <w:vAlign w:val="bottom"/>
          </w:tcPr>
          <w:p w14:paraId="6C1A7A9E"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5220" w:type="dxa"/>
            <w:tcBorders>
              <w:top w:val="single" w:sz="4" w:space="0" w:color="000000"/>
              <w:left w:val="single" w:sz="4" w:space="0" w:color="000000"/>
              <w:bottom w:val="single" w:sz="4" w:space="0" w:color="000000"/>
              <w:right w:val="single" w:sz="4" w:space="0" w:color="000000"/>
            </w:tcBorders>
            <w:vAlign w:val="bottom"/>
          </w:tcPr>
          <w:p w14:paraId="4EDEF9E8"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Escuela Florentino Ameghino (Colegio Cooperativo) - Berazategui</w:t>
            </w:r>
          </w:p>
        </w:tc>
        <w:tc>
          <w:tcPr>
            <w:tcW w:w="1215" w:type="dxa"/>
            <w:tcBorders>
              <w:top w:val="single" w:sz="4" w:space="0" w:color="000000"/>
              <w:left w:val="single" w:sz="4" w:space="0" w:color="000000"/>
              <w:bottom w:val="single" w:sz="4" w:space="0" w:color="000000"/>
              <w:right w:val="single" w:sz="4" w:space="0" w:color="000000"/>
            </w:tcBorders>
            <w:vAlign w:val="bottom"/>
          </w:tcPr>
          <w:p w14:paraId="5B261285"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8D696C" w14:paraId="4C8BF4E9"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6FC52416"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s/r</w:t>
            </w:r>
          </w:p>
        </w:tc>
        <w:tc>
          <w:tcPr>
            <w:tcW w:w="1050" w:type="dxa"/>
            <w:tcBorders>
              <w:top w:val="single" w:sz="4" w:space="0" w:color="000000"/>
              <w:left w:val="single" w:sz="4" w:space="0" w:color="000000"/>
              <w:bottom w:val="single" w:sz="4" w:space="0" w:color="000000"/>
              <w:right w:val="single" w:sz="4" w:space="0" w:color="000000"/>
            </w:tcBorders>
            <w:vAlign w:val="bottom"/>
          </w:tcPr>
          <w:p w14:paraId="79065195"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5220" w:type="dxa"/>
            <w:tcBorders>
              <w:top w:val="single" w:sz="4" w:space="0" w:color="000000"/>
              <w:left w:val="single" w:sz="4" w:space="0" w:color="000000"/>
              <w:bottom w:val="single" w:sz="4" w:space="0" w:color="000000"/>
              <w:right w:val="single" w:sz="4" w:space="0" w:color="000000"/>
            </w:tcBorders>
            <w:vAlign w:val="bottom"/>
          </w:tcPr>
          <w:p w14:paraId="0274A90F"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E.E.T. nº 2 "Provincia de La Rioja" - Berazategui</w:t>
            </w:r>
          </w:p>
        </w:tc>
        <w:tc>
          <w:tcPr>
            <w:tcW w:w="1215" w:type="dxa"/>
            <w:tcBorders>
              <w:top w:val="single" w:sz="4" w:space="0" w:color="000000"/>
              <w:left w:val="single" w:sz="4" w:space="0" w:color="000000"/>
              <w:bottom w:val="single" w:sz="4" w:space="0" w:color="000000"/>
              <w:right w:val="single" w:sz="4" w:space="0" w:color="000000"/>
            </w:tcBorders>
            <w:vAlign w:val="bottom"/>
          </w:tcPr>
          <w:p w14:paraId="50865587"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8D696C" w14:paraId="4ACD6FBB" w14:textId="77777777" w:rsidTr="0031604E">
        <w:trPr>
          <w:trHeight w:val="315"/>
        </w:trPr>
        <w:tc>
          <w:tcPr>
            <w:tcW w:w="1020" w:type="dxa"/>
            <w:tcBorders>
              <w:top w:val="single" w:sz="4" w:space="0" w:color="000000"/>
              <w:left w:val="single" w:sz="4" w:space="0" w:color="000000"/>
              <w:bottom w:val="single" w:sz="4" w:space="0" w:color="000000"/>
              <w:right w:val="single" w:sz="4" w:space="0" w:color="000000"/>
            </w:tcBorders>
            <w:vAlign w:val="bottom"/>
          </w:tcPr>
          <w:p w14:paraId="303F6975"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s/r</w:t>
            </w:r>
          </w:p>
        </w:tc>
        <w:tc>
          <w:tcPr>
            <w:tcW w:w="1050" w:type="dxa"/>
            <w:tcBorders>
              <w:top w:val="single" w:sz="4" w:space="0" w:color="000000"/>
              <w:left w:val="single" w:sz="4" w:space="0" w:color="000000"/>
              <w:bottom w:val="single" w:sz="4" w:space="0" w:color="000000"/>
              <w:right w:val="single" w:sz="4" w:space="0" w:color="000000"/>
            </w:tcBorders>
            <w:vAlign w:val="bottom"/>
          </w:tcPr>
          <w:p w14:paraId="0BBD8D0A"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5220" w:type="dxa"/>
            <w:tcBorders>
              <w:top w:val="single" w:sz="4" w:space="0" w:color="000000"/>
              <w:left w:val="single" w:sz="4" w:space="0" w:color="000000"/>
              <w:bottom w:val="single" w:sz="4" w:space="0" w:color="000000"/>
              <w:right w:val="single" w:sz="4" w:space="0" w:color="000000"/>
            </w:tcBorders>
            <w:vAlign w:val="bottom"/>
          </w:tcPr>
          <w:p w14:paraId="01D882D1" w14:textId="77777777" w:rsidR="008D696C" w:rsidRDefault="008D696C" w:rsidP="0031604E">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E.E.T. nº 3 - Almirante Brown</w:t>
            </w:r>
          </w:p>
        </w:tc>
        <w:tc>
          <w:tcPr>
            <w:tcW w:w="1215" w:type="dxa"/>
            <w:tcBorders>
              <w:top w:val="single" w:sz="4" w:space="0" w:color="000000"/>
              <w:left w:val="single" w:sz="4" w:space="0" w:color="000000"/>
              <w:bottom w:val="single" w:sz="4" w:space="0" w:color="000000"/>
              <w:right w:val="single" w:sz="4" w:space="0" w:color="000000"/>
            </w:tcBorders>
            <w:vAlign w:val="bottom"/>
          </w:tcPr>
          <w:p w14:paraId="6A1F38A8" w14:textId="77777777" w:rsidR="008D696C" w:rsidRDefault="008D696C" w:rsidP="0031604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bl>
    <w:p w14:paraId="46443C97" w14:textId="52E30BC0" w:rsidR="008D696C" w:rsidRDefault="008D696C" w:rsidP="008D696C">
      <w:pPr>
        <w:spacing w:before="280" w:after="280" w:line="240" w:lineRule="auto"/>
        <w:jc w:val="both"/>
        <w:rPr>
          <w:rFonts w:ascii="Times New Roman" w:eastAsia="Times New Roman" w:hAnsi="Times New Roman" w:cs="Times New Roman"/>
          <w:highlight w:val="white"/>
        </w:rPr>
      </w:pPr>
      <w:r>
        <w:rPr>
          <w:rFonts w:ascii="Times New Roman" w:eastAsia="Times New Roman" w:hAnsi="Times New Roman" w:cs="Times New Roman"/>
        </w:rPr>
        <w:t>En primer lugar, se observa que la mayoría de las escuelas ya se registraban en las cohortes 2012-2016 y algunas de ellas mantienen sus posiciones. Mientras que cuatro subieron en el ranking y seis se incorporan -dado que no cuentan con</w:t>
      </w:r>
      <w:r>
        <w:rPr>
          <w:rFonts w:ascii="Times New Roman" w:eastAsia="Times New Roman" w:hAnsi="Times New Roman" w:cs="Times New Roman"/>
          <w:highlight w:val="white"/>
        </w:rPr>
        <w:t xml:space="preserve"> registro en las cohortes 2012-2016-, otras descienden de su lugar. Además, dos casos llaman particularmente la atención, la situación de la E.E.T. Nº 5 "John F. Kennedy" (ex ENET 1) de Lanús que en el ranking anterior se ubica en el 7mo lugar y ahora cae al 19 y la Escuela Técnica </w:t>
      </w:r>
      <w:r w:rsidR="002927DB">
        <w:rPr>
          <w:rFonts w:ascii="Times New Roman" w:eastAsia="Times New Roman" w:hAnsi="Times New Roman" w:cs="Times New Roman"/>
          <w:highlight w:val="white"/>
        </w:rPr>
        <w:t>nro.</w:t>
      </w:r>
      <w:bookmarkStart w:id="0" w:name="_GoBack"/>
      <w:bookmarkEnd w:id="0"/>
      <w:r>
        <w:rPr>
          <w:rFonts w:ascii="Times New Roman" w:eastAsia="Times New Roman" w:hAnsi="Times New Roman" w:cs="Times New Roman"/>
          <w:highlight w:val="white"/>
        </w:rPr>
        <w:t xml:space="preserve"> 1 "Otto Krause" de CABA que ocupando el 6to lugar en 2012-2016, no aparece en las cohortes actuales. Para estos últimos casos se piensan dos posib</w:t>
      </w:r>
      <w:r>
        <w:rPr>
          <w:rFonts w:ascii="Times New Roman" w:eastAsia="Times New Roman" w:hAnsi="Times New Roman" w:cs="Times New Roman"/>
        </w:rPr>
        <w:t xml:space="preserve">les explicaciones. La primera relacionada con la posibilidad de que estudiantes de esas escuelas si bien continúan eligiendo a la UTN Avellaneda como institución de formación superior y realizan la inscripción, no logran completar el Seminario Universitario de ingreso. La segunda concierne a la consolidación de las ofertas de nuevas universidades en la zona, como la Universidad Nacional de Avellaneda (UNDAV) y la Universidad Nacional Arturo </w:t>
      </w:r>
      <w:proofErr w:type="spellStart"/>
      <w:r>
        <w:rPr>
          <w:rFonts w:ascii="Times New Roman" w:eastAsia="Times New Roman" w:hAnsi="Times New Roman" w:cs="Times New Roman"/>
        </w:rPr>
        <w:t>Jauretche</w:t>
      </w:r>
      <w:proofErr w:type="spellEnd"/>
      <w:r>
        <w:rPr>
          <w:rFonts w:ascii="Times New Roman" w:eastAsia="Times New Roman" w:hAnsi="Times New Roman" w:cs="Times New Roman"/>
        </w:rPr>
        <w:t xml:space="preserve"> (UNAJ) -ambas inician su primer ciclo lectivo en 2011-, que al dictar disciplinas afines (otras especialidades de la ingeniería, diseño, arquitectura y ciencias de la salud) o emitir las mismas credenciales profesionales (por ejemplo el título de Ingeniería Industrial en la UNAJ), representan opciones viables que podrían disputar a los/as potenciales estudiantes de la UTN Avellaneda. A partir de la </w:t>
      </w:r>
      <w:r>
        <w:rPr>
          <w:rFonts w:ascii="Times New Roman" w:eastAsia="Times New Roman" w:hAnsi="Times New Roman" w:cs="Times New Roman"/>
          <w:highlight w:val="white"/>
        </w:rPr>
        <w:t>información brindada por docentes de escuelas medias de la zona se pudo constatar que una cantidad importante de estudiantes del Instituto San Juan Bautista (ubicado en el cuarto puesto del ranking 2012-2016 y octavo en el 2023-2024) de la localidad de Florencio Varela, está cursando en la UNAJ.</w:t>
      </w:r>
    </w:p>
    <w:p w14:paraId="42D536A9"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highlight w:val="white"/>
        </w:rPr>
        <w:lastRenderedPageBreak/>
        <w:t>Para observar el comportamiento académico se decide agrupar a los/as ingresantes 2023-2024 que provienen de las escuelas que concentran la mayor cantidad de estudiantes. Se conforman tres grupos que corresponden al 36% del total de ingresantes de las dos cohortes. Para la construcción de los dos primeros grupos se seleccionan las escuelas ubicadas entre el primer y el octavo puesto, todas ellas técnicas. En el Grupo 1 están los/as ingresantes de las cuatro escuelas que mantienen sus posiciones (1°, 2°, 4° y 6</w:t>
      </w:r>
      <w:proofErr w:type="gramStart"/>
      <w:r>
        <w:rPr>
          <w:rFonts w:ascii="Times New Roman" w:eastAsia="Times New Roman" w:hAnsi="Times New Roman" w:cs="Times New Roman"/>
          <w:highlight w:val="white"/>
        </w:rPr>
        <w:t>°)  y</w:t>
      </w:r>
      <w:proofErr w:type="gramEnd"/>
      <w:r>
        <w:rPr>
          <w:rFonts w:ascii="Times New Roman" w:eastAsia="Times New Roman" w:hAnsi="Times New Roman" w:cs="Times New Roman"/>
          <w:highlight w:val="white"/>
        </w:rPr>
        <w:t xml:space="preserve"> en el Grupo 2 las otras cuatro que han subido varias posiciones respecto de las cohortes anteriores (3°, 5°, 7° y 8°). </w:t>
      </w:r>
      <w:r>
        <w:rPr>
          <w:rFonts w:ascii="Times New Roman" w:eastAsia="Times New Roman" w:hAnsi="Times New Roman" w:cs="Times New Roman"/>
        </w:rPr>
        <w:t>Luego se conforma el Grupo 3 con las primeras escuelas no técnicas que aparecen en el puesto 14, 18, 21 y 23. Son cuatro instituciones que subieron posiciones en este nuevo periodo o se registran por primera vez.</w:t>
      </w:r>
    </w:p>
    <w:p w14:paraId="089EC804" w14:textId="77777777" w:rsidR="008D696C" w:rsidRDefault="008D696C" w:rsidP="008D696C">
      <w:pPr>
        <w:spacing w:before="280" w:after="280" w:line="240" w:lineRule="auto"/>
        <w:jc w:val="both"/>
        <w:rPr>
          <w:rFonts w:ascii="Times New Roman" w:eastAsia="Times New Roman" w:hAnsi="Times New Roman" w:cs="Times New Roman"/>
          <w:highlight w:val="cyan"/>
        </w:rPr>
      </w:pPr>
      <w:r>
        <w:rPr>
          <w:rFonts w:ascii="Times New Roman" w:eastAsia="Times New Roman" w:hAnsi="Times New Roman" w:cs="Times New Roman"/>
          <w:highlight w:val="white"/>
        </w:rPr>
        <w:t xml:space="preserve">El Grupo 1 está compuesto por cuatro escuelas técnicas de gestión estatal y supone circuitos educativos estables entre la escuela y la universidad por lo menos a lo largo de los últimos diez años. Este grupo </w:t>
      </w:r>
      <w:r>
        <w:rPr>
          <w:rFonts w:ascii="Times New Roman" w:eastAsia="Times New Roman" w:hAnsi="Times New Roman" w:cs="Times New Roman"/>
        </w:rPr>
        <w:t xml:space="preserve">concentra el 21% </w:t>
      </w:r>
      <w:r>
        <w:rPr>
          <w:rFonts w:ascii="Times New Roman" w:eastAsia="Times New Roman" w:hAnsi="Times New Roman" w:cs="Times New Roman"/>
          <w:highlight w:val="white"/>
        </w:rPr>
        <w:t xml:space="preserve">del total de la población (140 casos) de ingresantes 2023-2024. Son instituciones educativas de formación técnica localizadas tres de ellas en el partido de Quilmes y una en Lanús. Con las tres escuelas de Quilmes (IMPA, Chaparral y </w:t>
      </w:r>
      <w:proofErr w:type="spellStart"/>
      <w:r>
        <w:rPr>
          <w:rFonts w:ascii="Times New Roman" w:eastAsia="Times New Roman" w:hAnsi="Times New Roman" w:cs="Times New Roman"/>
          <w:highlight w:val="white"/>
        </w:rPr>
        <w:t>Mosconi</w:t>
      </w:r>
      <w:proofErr w:type="spellEnd"/>
      <w:r>
        <w:rPr>
          <w:rFonts w:ascii="Times New Roman" w:eastAsia="Times New Roman" w:hAnsi="Times New Roman" w:cs="Times New Roman"/>
          <w:highlight w:val="white"/>
        </w:rPr>
        <w:t>) existe desde hace años una vinculación institucional importante. Se han realizado convenios para dictar el Seminario Universitario de ingreso en las instalaciones de las escuelas con docentes de la Facultad y</w:t>
      </w:r>
      <w:r>
        <w:rPr>
          <w:rFonts w:ascii="Times New Roman" w:eastAsia="Times New Roman" w:hAnsi="Times New Roman" w:cs="Times New Roman"/>
        </w:rPr>
        <w:t xml:space="preserve"> existen lazos de carácter informal, ya que docentes y autoridades de la Facultad dictan clases en esas escuelas. Si bien en el caso de la EET N°9 de Lanús no se registran convenios institucionales, se constata, sin embargo, que varios/as profesores/as de esa escuela cursan actualmente carreras de ingeniería en la Facultad.</w:t>
      </w:r>
    </w:p>
    <w:p w14:paraId="4E6BF407"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En el Grupo 2 se encuentran las cuatro escuelas técnicas que han subido posiciones, es decir, que pasan a concentrar una cantidad significativa de ingresantes (11%). Su localización territorial es diversa: CABA, Avellaneda, Lanús y Berazategui. El único caso de gestión privada es el del Instituto Técnico 13 de Julio que había pertenecido a la empresa estatal de servicios eléctricos del Gran Buenos Aires (</w:t>
      </w:r>
      <w:proofErr w:type="spellStart"/>
      <w:r>
        <w:rPr>
          <w:rFonts w:ascii="Times New Roman" w:eastAsia="Times New Roman" w:hAnsi="Times New Roman" w:cs="Times New Roman"/>
        </w:rPr>
        <w:t>Segba</w:t>
      </w:r>
      <w:proofErr w:type="spellEnd"/>
      <w:r>
        <w:rPr>
          <w:rFonts w:ascii="Times New Roman" w:eastAsia="Times New Roman" w:hAnsi="Times New Roman" w:cs="Times New Roman"/>
        </w:rPr>
        <w:t>) y después de su privatización, el sindicato de Luz y Fuerza crea una asociación para darle continuidad a la escuela y asume su conducción. Las otras tres escuelas son técnicas y de gestión estatal.</w:t>
      </w:r>
    </w:p>
    <w:p w14:paraId="1E7DA1B0"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Por último, se identifica el Grupo 3 que, si bien representan el 4% del total, se conforma por escuelas no técnicas de gestión privada que han subido varias posiciones en el ranking respecto a las cohortes 2012-2016 o no se encontraban previamente registradas. Son dos escuelas de Avellaneda, una de Florencio Varela y otra de Quilmes. Es interesante mencionar que el Instituto San Martín y el Instituto San Vicente de Paul, ambos de Avellaneda, no figuran en el ranking anterior. No hay vinculación institucional con estas escuelas y se desconocen otras formas de intermediación. Este grupo de escuelas no técnicas, además, se caracteriza por una tasa de feminidad de 39 puntos, que está por arriba de la tasa general de 26 puntos para el total de la población de ingresantes. En los últimos años la participación de las mujeres se ha incrementado levemente, particularmente en las carreras de Ingeniería Química, Industrial y Civil, y son las mujeres que cursan en las escuelas no técnicas las que explican este aumento. </w:t>
      </w:r>
    </w:p>
    <w:p w14:paraId="54B09B0D" w14:textId="77777777" w:rsidR="008D696C" w:rsidRDefault="008D696C" w:rsidP="008D696C">
      <w:pPr>
        <w:spacing w:before="280" w:after="280"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Situación académica de los y las ingresantes que conforman los tres grupos</w:t>
      </w:r>
    </w:p>
    <w:p w14:paraId="163931D1"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A continuación, se busca dar cuenta del recorrido académico de los y las ingresantes de los grupos analizados. Utilizando como fuente de información los registros en el sistema de gestión académica (</w:t>
      </w:r>
      <w:proofErr w:type="spellStart"/>
      <w:r>
        <w:rPr>
          <w:rFonts w:ascii="Times New Roman" w:eastAsia="Times New Roman" w:hAnsi="Times New Roman" w:cs="Times New Roman"/>
        </w:rPr>
        <w:t>Sysacad</w:t>
      </w:r>
      <w:proofErr w:type="spellEnd"/>
      <w:r>
        <w:rPr>
          <w:rFonts w:ascii="Times New Roman" w:eastAsia="Times New Roman" w:hAnsi="Times New Roman" w:cs="Times New Roman"/>
        </w:rPr>
        <w:t xml:space="preserve">) se analizan los recorridos a través de la regularización, aprobación y promoción de materias a lo largo de los dos primeros años. </w:t>
      </w:r>
    </w:p>
    <w:p w14:paraId="2B38EE93" w14:textId="77777777" w:rsidR="008D696C" w:rsidRDefault="008D696C" w:rsidP="008D696C">
      <w:pPr>
        <w:spacing w:before="280" w:after="280" w:line="240" w:lineRule="auto"/>
        <w:jc w:val="both"/>
        <w:rPr>
          <w:rFonts w:ascii="Times New Roman" w:eastAsia="Times New Roman" w:hAnsi="Times New Roman" w:cs="Times New Roman"/>
          <w:highlight w:val="yellow"/>
        </w:rPr>
      </w:pPr>
      <w:r>
        <w:rPr>
          <w:rFonts w:ascii="Times New Roman" w:eastAsia="Times New Roman" w:hAnsi="Times New Roman" w:cs="Times New Roman"/>
        </w:rPr>
        <w:t xml:space="preserve">Un primer dato para destacar es que las tres cuartas partes de los y las ingresantes de estos tres grupos mantienen actividad académica durante los dos primeros años y se inscriben al tercero, más allá de la aprobación o no de materias. El nivel de retención es importante en los/as estudiantes de estos grupos -con una tasa de deserción de 35/100- y, como se corrobora más adelante, también se observan avances en la aprobación de asignaturas, aunque no se adecue necesariamente a lo indicado en los planes de estudio. Cabe resaltar que se trata de asignaturas anuales y en los dos primeros años la cantidad de materias obligatorias oscila entre 7 y 8 por año, esto significa que al terminar el segundo ciclo -según el plan teórico- se deberían acreditar entre 14 y 16 asignaturas. Sin embargo, los estudios recientes del Laboratorio MIG confirman que la duración real de las carreras fluctúa entre 9 y 10 años, es decir, cerca del doble del tiempo teórico estipulado en los planes de estudio de entre cinco y seis años (Anuario UTN Avellaneda Serie Egresados/as 2022 - 2023). Así mismo, los estudios cualitativos sobre la población de graduados/as arrojan que esta prolongación de los estudios corresponde fundamentalmente a la “demora” en la aprobación y </w:t>
      </w:r>
      <w:proofErr w:type="spellStart"/>
      <w:r>
        <w:rPr>
          <w:rFonts w:ascii="Times New Roman" w:eastAsia="Times New Roman" w:hAnsi="Times New Roman" w:cs="Times New Roman"/>
        </w:rPr>
        <w:t>recursado</w:t>
      </w:r>
      <w:proofErr w:type="spellEnd"/>
      <w:r>
        <w:rPr>
          <w:rFonts w:ascii="Times New Roman" w:eastAsia="Times New Roman" w:hAnsi="Times New Roman" w:cs="Times New Roman"/>
        </w:rPr>
        <w:t xml:space="preserve"> de las materias básicas de los primeros años de los planes de estudio (Simone, et. al. 2020).  </w:t>
      </w:r>
    </w:p>
    <w:p w14:paraId="42255A77" w14:textId="77777777" w:rsidR="008D696C" w:rsidRDefault="008D696C" w:rsidP="008D696C">
      <w:pPr>
        <w:spacing w:before="280" w:after="280" w:line="240" w:lineRule="auto"/>
        <w:jc w:val="both"/>
        <w:rPr>
          <w:rFonts w:ascii="Times New Roman" w:eastAsia="Times New Roman" w:hAnsi="Times New Roman" w:cs="Times New Roman"/>
          <w:b/>
          <w:bCs/>
        </w:rPr>
      </w:pPr>
      <w:r>
        <w:rPr>
          <w:rFonts w:ascii="Times New Roman" w:eastAsia="Times New Roman" w:hAnsi="Times New Roman" w:cs="Times New Roman"/>
          <w:b/>
          <w:bCs/>
        </w:rPr>
        <w:t>Tabla 5</w:t>
      </w:r>
    </w:p>
    <w:p w14:paraId="2E0C51A3" w14:textId="77777777" w:rsidR="008D696C" w:rsidRDefault="008D696C" w:rsidP="008D696C">
      <w:pPr>
        <w:shd w:val="clear" w:color="auto" w:fill="FFFFFF"/>
        <w:spacing w:before="280" w:after="280" w:line="240" w:lineRule="auto"/>
        <w:jc w:val="both"/>
        <w:rPr>
          <w:rFonts w:ascii="Times New Roman" w:eastAsia="Times New Roman" w:hAnsi="Times New Roman" w:cs="Times New Roman"/>
          <w:i/>
          <w:iCs/>
        </w:rPr>
      </w:pPr>
      <w:r>
        <w:rPr>
          <w:rFonts w:ascii="Times New Roman" w:eastAsia="Times New Roman" w:hAnsi="Times New Roman" w:cs="Times New Roman"/>
          <w:i/>
          <w:iCs/>
        </w:rPr>
        <w:t xml:space="preserve">Distribución de ingresantes 2023-2024 según reinscripción en el tercer ciclo lectivo por grupo de escuela origen (n=238) </w:t>
      </w:r>
    </w:p>
    <w:tbl>
      <w:tblPr>
        <w:tblW w:w="4830" w:type="dxa"/>
        <w:tblBorders>
          <w:top w:val="single" w:sz="4" w:space="0" w:color="95B3D7"/>
          <w:bottom w:val="single" w:sz="4" w:space="0" w:color="95B3D7"/>
          <w:insideH w:val="single" w:sz="4" w:space="0" w:color="95B3D7"/>
          <w:insideV w:val="single" w:sz="4" w:space="0" w:color="95B3D7"/>
        </w:tblBorders>
        <w:tblLayout w:type="fixed"/>
        <w:tblLook w:val="04A0" w:firstRow="1" w:lastRow="0" w:firstColumn="1" w:lastColumn="0" w:noHBand="0" w:noVBand="1"/>
      </w:tblPr>
      <w:tblGrid>
        <w:gridCol w:w="2040"/>
        <w:gridCol w:w="690"/>
        <w:gridCol w:w="690"/>
        <w:gridCol w:w="690"/>
        <w:gridCol w:w="720"/>
      </w:tblGrid>
      <w:tr w:rsidR="008D696C" w14:paraId="774B8BB8" w14:textId="77777777" w:rsidTr="0031604E">
        <w:tc>
          <w:tcPr>
            <w:tcW w:w="2040" w:type="dxa"/>
            <w:shd w:val="clear" w:color="auto" w:fill="CCCCCC"/>
          </w:tcPr>
          <w:p w14:paraId="29A49BDB" w14:textId="77777777" w:rsidR="008D696C" w:rsidRDefault="008D696C" w:rsidP="0031604E">
            <w:pPr>
              <w:rPr>
                <w:rFonts w:ascii="Times New Roman" w:eastAsia="Times New Roman" w:hAnsi="Times New Roman" w:cs="Times New Roman"/>
                <w:sz w:val="22"/>
                <w:szCs w:val="22"/>
              </w:rPr>
            </w:pPr>
            <w:r>
              <w:rPr>
                <w:rFonts w:ascii="Times New Roman" w:eastAsia="Times New Roman" w:hAnsi="Times New Roman" w:cs="Times New Roman"/>
                <w:sz w:val="22"/>
                <w:szCs w:val="22"/>
              </w:rPr>
              <w:t>Reinscripción al 3° ciclo lectivo</w:t>
            </w:r>
          </w:p>
        </w:tc>
        <w:tc>
          <w:tcPr>
            <w:tcW w:w="690" w:type="dxa"/>
            <w:shd w:val="clear" w:color="auto" w:fill="CCCCCC"/>
          </w:tcPr>
          <w:p w14:paraId="2AFBD888" w14:textId="77777777" w:rsidR="008D696C" w:rsidRDefault="008D696C" w:rsidP="0031604E">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G1</w:t>
            </w:r>
          </w:p>
        </w:tc>
        <w:tc>
          <w:tcPr>
            <w:tcW w:w="690" w:type="dxa"/>
            <w:shd w:val="clear" w:color="auto" w:fill="CCCCCC"/>
            <w:vAlign w:val="center"/>
          </w:tcPr>
          <w:p w14:paraId="1AAEA72F" w14:textId="77777777" w:rsidR="008D696C" w:rsidRDefault="008D696C" w:rsidP="0031604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G2</w:t>
            </w:r>
          </w:p>
          <w:p w14:paraId="39507E61" w14:textId="77777777" w:rsidR="008D696C" w:rsidRDefault="008D696C" w:rsidP="0031604E">
            <w:pPr>
              <w:rPr>
                <w:rFonts w:ascii="Times New Roman" w:eastAsia="Times New Roman" w:hAnsi="Times New Roman" w:cs="Times New Roman"/>
                <w:sz w:val="22"/>
                <w:szCs w:val="22"/>
              </w:rPr>
            </w:pPr>
          </w:p>
        </w:tc>
        <w:tc>
          <w:tcPr>
            <w:tcW w:w="690" w:type="dxa"/>
            <w:shd w:val="clear" w:color="auto" w:fill="CCCCCC"/>
          </w:tcPr>
          <w:p w14:paraId="600D33F1" w14:textId="77777777" w:rsidR="008D696C" w:rsidRDefault="008D696C" w:rsidP="0031604E">
            <w:pPr>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rPr>
              <w:t xml:space="preserve">G3 </w:t>
            </w:r>
          </w:p>
        </w:tc>
        <w:tc>
          <w:tcPr>
            <w:tcW w:w="720" w:type="dxa"/>
            <w:shd w:val="clear" w:color="auto" w:fill="CCCCCC"/>
          </w:tcPr>
          <w:p w14:paraId="758E832F" w14:textId="77777777" w:rsidR="008D696C" w:rsidRDefault="008D696C" w:rsidP="0031604E">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Total</w:t>
            </w:r>
          </w:p>
        </w:tc>
      </w:tr>
      <w:tr w:rsidR="008D696C" w14:paraId="08F9FFE0" w14:textId="77777777" w:rsidTr="0031604E">
        <w:tc>
          <w:tcPr>
            <w:tcW w:w="2040" w:type="dxa"/>
          </w:tcPr>
          <w:p w14:paraId="283C168B" w14:textId="77777777" w:rsidR="008D696C" w:rsidRDefault="008D696C" w:rsidP="0031604E">
            <w:pPr>
              <w:rPr>
                <w:rFonts w:ascii="Times New Roman" w:eastAsia="Times New Roman" w:hAnsi="Times New Roman" w:cs="Times New Roman"/>
                <w:sz w:val="22"/>
                <w:szCs w:val="22"/>
              </w:rPr>
            </w:pPr>
            <w:r>
              <w:rPr>
                <w:rFonts w:ascii="Times New Roman" w:eastAsia="Times New Roman" w:hAnsi="Times New Roman" w:cs="Times New Roman"/>
                <w:sz w:val="22"/>
                <w:szCs w:val="22"/>
              </w:rPr>
              <w:t>Sí</w:t>
            </w:r>
          </w:p>
        </w:tc>
        <w:tc>
          <w:tcPr>
            <w:tcW w:w="690" w:type="dxa"/>
          </w:tcPr>
          <w:p w14:paraId="2439A059" w14:textId="77777777" w:rsidR="008D696C" w:rsidRDefault="008D696C" w:rsidP="0031604E">
            <w:pPr>
              <w:rPr>
                <w:rFonts w:ascii="Times New Roman" w:eastAsia="Times New Roman" w:hAnsi="Times New Roman" w:cs="Times New Roman"/>
                <w:sz w:val="22"/>
                <w:szCs w:val="22"/>
              </w:rPr>
            </w:pPr>
            <w:r>
              <w:rPr>
                <w:rFonts w:ascii="Times New Roman" w:eastAsia="Times New Roman" w:hAnsi="Times New Roman" w:cs="Times New Roman"/>
                <w:sz w:val="22"/>
                <w:szCs w:val="22"/>
              </w:rPr>
              <w:t>76%</w:t>
            </w:r>
          </w:p>
        </w:tc>
        <w:tc>
          <w:tcPr>
            <w:tcW w:w="690" w:type="dxa"/>
          </w:tcPr>
          <w:p w14:paraId="51C9459B" w14:textId="77777777" w:rsidR="008D696C" w:rsidRDefault="008D696C" w:rsidP="0031604E">
            <w:pPr>
              <w:rPr>
                <w:rFonts w:ascii="Times New Roman" w:eastAsia="Times New Roman" w:hAnsi="Times New Roman" w:cs="Times New Roman"/>
                <w:sz w:val="22"/>
                <w:szCs w:val="22"/>
              </w:rPr>
            </w:pPr>
            <w:r>
              <w:rPr>
                <w:rFonts w:ascii="Times New Roman" w:eastAsia="Times New Roman" w:hAnsi="Times New Roman" w:cs="Times New Roman"/>
                <w:sz w:val="22"/>
                <w:szCs w:val="22"/>
              </w:rPr>
              <w:t>70%</w:t>
            </w:r>
          </w:p>
        </w:tc>
        <w:tc>
          <w:tcPr>
            <w:tcW w:w="690" w:type="dxa"/>
          </w:tcPr>
          <w:p w14:paraId="31802BE4" w14:textId="77777777" w:rsidR="008D696C" w:rsidRDefault="008D696C" w:rsidP="0031604E">
            <w:pPr>
              <w:rPr>
                <w:rFonts w:ascii="Times New Roman" w:eastAsia="Times New Roman" w:hAnsi="Times New Roman" w:cs="Times New Roman"/>
                <w:sz w:val="22"/>
                <w:szCs w:val="22"/>
              </w:rPr>
            </w:pPr>
            <w:r>
              <w:rPr>
                <w:rFonts w:ascii="Times New Roman" w:eastAsia="Times New Roman" w:hAnsi="Times New Roman" w:cs="Times New Roman"/>
                <w:sz w:val="22"/>
                <w:szCs w:val="22"/>
              </w:rPr>
              <w:t>76%</w:t>
            </w:r>
          </w:p>
        </w:tc>
        <w:tc>
          <w:tcPr>
            <w:tcW w:w="720" w:type="dxa"/>
          </w:tcPr>
          <w:p w14:paraId="1D20A8D7" w14:textId="77777777" w:rsidR="008D696C" w:rsidRDefault="008D696C" w:rsidP="0031604E">
            <w:pPr>
              <w:rPr>
                <w:rFonts w:ascii="Times New Roman" w:eastAsia="Times New Roman" w:hAnsi="Times New Roman" w:cs="Times New Roman"/>
                <w:sz w:val="22"/>
                <w:szCs w:val="22"/>
              </w:rPr>
            </w:pPr>
            <w:r>
              <w:rPr>
                <w:rFonts w:ascii="Times New Roman" w:eastAsia="Times New Roman" w:hAnsi="Times New Roman" w:cs="Times New Roman"/>
                <w:sz w:val="22"/>
                <w:szCs w:val="22"/>
              </w:rPr>
              <w:t>74%</w:t>
            </w:r>
          </w:p>
        </w:tc>
      </w:tr>
      <w:tr w:rsidR="008D696C" w14:paraId="47254B68" w14:textId="77777777" w:rsidTr="0031604E">
        <w:tc>
          <w:tcPr>
            <w:tcW w:w="2040" w:type="dxa"/>
          </w:tcPr>
          <w:p w14:paraId="79D9D797" w14:textId="77777777" w:rsidR="008D696C" w:rsidRDefault="008D696C" w:rsidP="0031604E">
            <w:pPr>
              <w:rPr>
                <w:rFonts w:ascii="Times New Roman" w:eastAsia="Times New Roman" w:hAnsi="Times New Roman" w:cs="Times New Roman"/>
                <w:sz w:val="22"/>
                <w:szCs w:val="22"/>
              </w:rPr>
            </w:pPr>
            <w:r>
              <w:rPr>
                <w:rFonts w:ascii="Times New Roman" w:eastAsia="Times New Roman" w:hAnsi="Times New Roman" w:cs="Times New Roman"/>
                <w:sz w:val="22"/>
                <w:szCs w:val="22"/>
              </w:rPr>
              <w:t>No</w:t>
            </w:r>
          </w:p>
        </w:tc>
        <w:tc>
          <w:tcPr>
            <w:tcW w:w="690" w:type="dxa"/>
          </w:tcPr>
          <w:p w14:paraId="3530A3EF" w14:textId="77777777" w:rsidR="008D696C" w:rsidRDefault="008D696C" w:rsidP="0031604E">
            <w:pPr>
              <w:rPr>
                <w:rFonts w:ascii="Times New Roman" w:eastAsia="Times New Roman" w:hAnsi="Times New Roman" w:cs="Times New Roman"/>
                <w:sz w:val="22"/>
                <w:szCs w:val="22"/>
              </w:rPr>
            </w:pPr>
            <w:r>
              <w:rPr>
                <w:rFonts w:ascii="Times New Roman" w:eastAsia="Times New Roman" w:hAnsi="Times New Roman" w:cs="Times New Roman"/>
                <w:sz w:val="22"/>
                <w:szCs w:val="22"/>
              </w:rPr>
              <w:t>24%</w:t>
            </w:r>
          </w:p>
        </w:tc>
        <w:tc>
          <w:tcPr>
            <w:tcW w:w="690" w:type="dxa"/>
          </w:tcPr>
          <w:p w14:paraId="260DC6D7" w14:textId="77777777" w:rsidR="008D696C" w:rsidRDefault="008D696C" w:rsidP="0031604E">
            <w:pPr>
              <w:rPr>
                <w:rFonts w:ascii="Times New Roman" w:eastAsia="Times New Roman" w:hAnsi="Times New Roman" w:cs="Times New Roman"/>
                <w:sz w:val="22"/>
                <w:szCs w:val="22"/>
              </w:rPr>
            </w:pPr>
            <w:r>
              <w:rPr>
                <w:rFonts w:ascii="Times New Roman" w:eastAsia="Times New Roman" w:hAnsi="Times New Roman" w:cs="Times New Roman"/>
                <w:sz w:val="22"/>
                <w:szCs w:val="22"/>
              </w:rPr>
              <w:t>30%</w:t>
            </w:r>
          </w:p>
        </w:tc>
        <w:tc>
          <w:tcPr>
            <w:tcW w:w="690" w:type="dxa"/>
          </w:tcPr>
          <w:p w14:paraId="7991F6BA" w14:textId="77777777" w:rsidR="008D696C" w:rsidRDefault="008D696C" w:rsidP="0031604E">
            <w:pPr>
              <w:rPr>
                <w:rFonts w:ascii="Times New Roman" w:eastAsia="Times New Roman" w:hAnsi="Times New Roman" w:cs="Times New Roman"/>
                <w:sz w:val="22"/>
                <w:szCs w:val="22"/>
              </w:rPr>
            </w:pPr>
            <w:r>
              <w:rPr>
                <w:rFonts w:ascii="Times New Roman" w:eastAsia="Times New Roman" w:hAnsi="Times New Roman" w:cs="Times New Roman"/>
                <w:sz w:val="22"/>
                <w:szCs w:val="22"/>
              </w:rPr>
              <w:t>24%</w:t>
            </w:r>
          </w:p>
        </w:tc>
        <w:tc>
          <w:tcPr>
            <w:tcW w:w="720" w:type="dxa"/>
          </w:tcPr>
          <w:p w14:paraId="6FB3287E" w14:textId="77777777" w:rsidR="008D696C" w:rsidRDefault="008D696C" w:rsidP="0031604E">
            <w:pPr>
              <w:rPr>
                <w:rFonts w:ascii="Times New Roman" w:eastAsia="Times New Roman" w:hAnsi="Times New Roman" w:cs="Times New Roman"/>
                <w:sz w:val="22"/>
                <w:szCs w:val="22"/>
              </w:rPr>
            </w:pPr>
            <w:r>
              <w:rPr>
                <w:rFonts w:ascii="Times New Roman" w:eastAsia="Times New Roman" w:hAnsi="Times New Roman" w:cs="Times New Roman"/>
                <w:sz w:val="22"/>
                <w:szCs w:val="22"/>
              </w:rPr>
              <w:t>26%</w:t>
            </w:r>
          </w:p>
        </w:tc>
      </w:tr>
    </w:tbl>
    <w:p w14:paraId="7CCAA254"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Al analizar el rendimiento académico acumulado tras los dos primeros ciclos lectivos, no se advierten diferencias significativas a pesar de la heterogeneidad que caracteriza a los grupos. Esta tendencia se mantiene tanto en las asignaturas acreditadas (con final o promoción) como en las regularizadas (adeuda el final). En los tres grupos tres cuartas partes de la población logra aprobar al menos una materia -cifra que se corresponde con los niveles de reinscripción-, este dato se incrementa en el caso del Grupo 2 donde registran al menos dos materias acreditadas. El Grupo 1 y el Grupo 2 tienen un promedio </w:t>
      </w:r>
      <w:r>
        <w:rPr>
          <w:rFonts w:ascii="Times New Roman" w:eastAsia="Times New Roman" w:hAnsi="Times New Roman" w:cs="Times New Roman"/>
        </w:rPr>
        <w:lastRenderedPageBreak/>
        <w:t>de 7 materias regularizadas y 6 acreditadas, mientras que el Grupo 3 regulariza en promedio 6 materias y acredita 5.</w:t>
      </w:r>
    </w:p>
    <w:p w14:paraId="04C270A6" w14:textId="77777777" w:rsidR="008D696C" w:rsidRDefault="008D696C" w:rsidP="008D696C">
      <w:pPr>
        <w:spacing w:before="280" w:after="280" w:line="240" w:lineRule="auto"/>
        <w:jc w:val="both"/>
        <w:rPr>
          <w:rFonts w:ascii="Times New Roman" w:eastAsia="Times New Roman" w:hAnsi="Times New Roman" w:cs="Times New Roman"/>
          <w:highlight w:val="green"/>
        </w:rPr>
      </w:pPr>
      <w:r>
        <w:rPr>
          <w:rFonts w:ascii="Times New Roman" w:eastAsia="Times New Roman" w:hAnsi="Times New Roman" w:cs="Times New Roman"/>
        </w:rPr>
        <w:t>En cuanto a los/as ingresantes que se ubican en los percentiles más altos de rendimiento académico encontramos que el Grupo 1 logra mejores resultados. Los/as ingresantes del Grupo 1 ubicados en el percentil 75 regularizan 12 materias y acreditan 10, mientras que los/as del Grupo 2 regulariza 11 y acredita 10 y los/as del Grupo 3 regulariza 10 y acredita 9. Con estos resultados se podría inferir que quienes provienen de escuelas no técnicas presentan a los dos años niveles levemente más bajos de regularización y aprobación de materias respecto de los otros dos grupos provenientes de escuelas técnicas.</w:t>
      </w:r>
    </w:p>
    <w:p w14:paraId="326834CC"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Finalmente, de lo visto con la construcción del ranking, el agrupamiento y el comportamiento de los/as ingresantes al interior de cada grupo se destaca </w:t>
      </w:r>
      <w:proofErr w:type="gramStart"/>
      <w:r>
        <w:rPr>
          <w:rFonts w:ascii="Times New Roman" w:eastAsia="Times New Roman" w:hAnsi="Times New Roman" w:cs="Times New Roman"/>
        </w:rPr>
        <w:t>que</w:t>
      </w:r>
      <w:proofErr w:type="gramEnd"/>
      <w:r>
        <w:rPr>
          <w:rFonts w:ascii="Times New Roman" w:eastAsia="Times New Roman" w:hAnsi="Times New Roman" w:cs="Times New Roman"/>
        </w:rPr>
        <w:t xml:space="preserve"> si bien los tres grupos muestran comportamientos similares, las escuelas del Grupo 1 se caracterizan por mantener, a lo largo del tiempo, una regularidad en la cantidad de ingresantes que aportan a la Facultad. Así mismo, los/as estudiantes experimentan el proceso de transición entre niveles con mayores facilidades otorgadas por el acompañamiento de un grupo de pares que eligen la misma especialidad, apoyos institucionales y una tradición de intercambio e interacción educativa dentro de la formación técnica. El Grupo 2 presenta vinculaciones no institucionalizadas, pero en los últimos años aumenta el volumen de inscriptos/as de dichas escuelas técnicas. En este sentido, desde la Facultad se podrían fortalecer las acciones conjuntas y de articulación con el fin de sostener esta tendencia e incluso aumentar la matrícula de ingresantes provenientes de allí. El Grupo 3 por su parte es el que representa a las escuelas no técnicas no habiendo registros previos de dos de ellas, lo que significa que hasta el momento se desconocen los modos de acercamiento, acceso a la información de las ofertas educativas de la Facultad y las posibles relaciones entre personal docente y directivos de ambas instituciones. En este caso se trata de circuitos educativos no consolidados entre las escuelas medias y la Facultad, pero cuyos ingresantes muestran resultados académicos similares a los obtenidos por los grupos anteriores. Son escuelas que abren desafíos para la indagación y construcción de estrategias de vinculación para apoyar esta transición.   </w:t>
      </w:r>
    </w:p>
    <w:p w14:paraId="62BE3B31" w14:textId="77777777" w:rsidR="008D696C" w:rsidRDefault="008D696C" w:rsidP="008D696C">
      <w:pPr>
        <w:spacing w:before="280" w:after="280" w:line="240" w:lineRule="auto"/>
        <w:jc w:val="both"/>
        <w:rPr>
          <w:rFonts w:ascii="Times New Roman" w:eastAsia="Times New Roman" w:hAnsi="Times New Roman" w:cs="Times New Roman"/>
          <w:b/>
          <w:bCs/>
        </w:rPr>
      </w:pPr>
      <w:r>
        <w:rPr>
          <w:rFonts w:ascii="Times New Roman" w:eastAsia="Times New Roman" w:hAnsi="Times New Roman" w:cs="Times New Roman"/>
          <w:b/>
          <w:bCs/>
        </w:rPr>
        <w:t>Conclusiones</w:t>
      </w:r>
    </w:p>
    <w:p w14:paraId="36F1B2C6"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trabajo se propone conocer los circuitos educativos de los/as estudiantes de la UTN Avellaneda que ingresaron en el año 2023 y 2024 en clave comparativa con una población previa de ingresantes de las cohortes 2012 y 2016. Asimismo, se plantea analizar el estado de situación académica luego de transcurridos los dos años desde el ingreso. Se focaliza en las escuelas secundarias de origen, según el tipo de gestión pública o privada, las titulaciones otorgadas y su ubicación geográfica, entendidas como posibles variables de análisis para comprender y diseñar estrategias de articulación entre el nivel medio y el superior. </w:t>
      </w:r>
    </w:p>
    <w:p w14:paraId="716425F3"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línea con el estudio de las escuelas medias realizado para las cohortes 2012 y 2016 -el cual identifica un núcleo significativo de establecimientos de procedencia-, las cohortes </w:t>
      </w:r>
      <w:r>
        <w:rPr>
          <w:rFonts w:ascii="Times New Roman" w:eastAsia="Times New Roman" w:hAnsi="Times New Roman" w:cs="Times New Roman"/>
        </w:rPr>
        <w:lastRenderedPageBreak/>
        <w:t xml:space="preserve">2023 y 2024 evidencian una tendencia similar en cuánto a los niveles de dispersión y heterogeneidad institucional, aunque coinciden en la distribución geográfica. Los y las ingresantes han realizado sus estudios secundarios en instituciones localizadas en los distritos de origen correspondientes a la zona sur del conurbano bonaerense, área de influencia de la Facultad. </w:t>
      </w:r>
    </w:p>
    <w:p w14:paraId="2A10DB2E"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Frente a esta dispersión, se lleva a cabo una clasificación de las escuelas para identificar cuáles de ellas aportan la mayor cantidad de estudiantes a la UTN Avellaneda, y se las compara con la clasificación realizada para las cohortes anteriores (2012-2016). En primer lugar, se observa la centralidad de ciertos establecimientos técnicos puesto que algunos de ellos mantienen su relevancia de forma sostenida a lo largo del tiempo. También, se evidencia que otras escuelas técnicas, ubicadas en posiciones inferiores en el ranking del período 2012-2016, ascendieron hasta conformar el segundo grupo con mayor nivel de procedencia. A este escenario se suma la emergencia de algunas instituciones de modalidad no técnica (de gestión privada) que no figuraban en el relevamiento inicial. En segundo lugar, el análisis revela que, a pesar de la heterogeneidad señalada, el rendimiento académico de los y las estudiantes presenta un comportamiento bastante homogéneo. Esta paridad se manifiesta en resultados de aprobación, regularización e inscripción a asignaturas tras haber completado dos años desde su ingreso.</w:t>
      </w:r>
    </w:p>
    <w:p w14:paraId="63B54FF2" w14:textId="70BF57A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Finalmente, la investigación brinda datos y aporta conocimientos sobre los circuitos educativos y las características de las poblaciones recientes de ingresantes con el fin de contribuir a las áreas de gestión académica. Al </w:t>
      </w:r>
      <w:proofErr w:type="spellStart"/>
      <w:r>
        <w:rPr>
          <w:rFonts w:ascii="Times New Roman" w:eastAsia="Times New Roman" w:hAnsi="Times New Roman" w:cs="Times New Roman"/>
        </w:rPr>
        <w:t>territorializar</w:t>
      </w:r>
      <w:proofErr w:type="spellEnd"/>
      <w:r>
        <w:rPr>
          <w:rFonts w:ascii="Times New Roman" w:eastAsia="Times New Roman" w:hAnsi="Times New Roman" w:cs="Times New Roman"/>
        </w:rPr>
        <w:t xml:space="preserve"> el origen educativo de los y las aspirantes y cruzarlo con sus antecedentes familiares, la facultad cuenta con un diagnóstico para diseñar puentes de articulación específicos con las escuelas medias de Avellaneda y demás zonas de influencia. Fortalecer estos vínculos podría ser una estrategia clave para mitigar la brecha de la transición entre el nivel medio y el superior, así como avanzar en la generación de nuevos intercambios con otras escuelas propensas a la incorporación de sus estudiantes al estudio de carreras de ingeniería. </w:t>
      </w:r>
    </w:p>
    <w:p w14:paraId="77929A99" w14:textId="77777777" w:rsidR="008D696C" w:rsidRDefault="008D696C" w:rsidP="008D696C">
      <w:pPr>
        <w:spacing w:before="280" w:after="280" w:line="240" w:lineRule="auto"/>
        <w:jc w:val="both"/>
        <w:rPr>
          <w:rFonts w:ascii="Times New Roman" w:eastAsia="Times New Roman" w:hAnsi="Times New Roman" w:cs="Times New Roman"/>
          <w:b/>
          <w:bCs/>
          <w:color w:val="FF0000"/>
        </w:rPr>
      </w:pPr>
    </w:p>
    <w:p w14:paraId="3DC8E7C2" w14:textId="77777777" w:rsidR="008D696C" w:rsidRDefault="008D696C" w:rsidP="008D696C">
      <w:pPr>
        <w:spacing w:before="280" w:after="280"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Referencias Bibliográficas </w:t>
      </w:r>
    </w:p>
    <w:p w14:paraId="5F6FC615"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Acosta, F. (2012). La escuela secundaria argentina en perspectiva histórica y comparada: modelos institucionales y desgranamiento durante el siglo XX. </w:t>
      </w:r>
      <w:r>
        <w:rPr>
          <w:rFonts w:ascii="Times New Roman" w:eastAsia="Times New Roman" w:hAnsi="Times New Roman" w:cs="Times New Roman"/>
          <w:i/>
          <w:iCs/>
        </w:rPr>
        <w:t>Cuadernos de Historia de la Educación</w:t>
      </w:r>
      <w:r>
        <w:rPr>
          <w:rFonts w:ascii="Times New Roman" w:eastAsia="Times New Roman" w:hAnsi="Times New Roman" w:cs="Times New Roman"/>
        </w:rPr>
        <w:t xml:space="preserve">, </w:t>
      </w:r>
      <w:r>
        <w:rPr>
          <w:rFonts w:ascii="Times New Roman" w:eastAsia="Times New Roman" w:hAnsi="Times New Roman" w:cs="Times New Roman"/>
          <w:i/>
          <w:iCs/>
        </w:rPr>
        <w:t>11</w:t>
      </w:r>
      <w:r>
        <w:rPr>
          <w:rFonts w:ascii="Times New Roman" w:eastAsia="Times New Roman" w:hAnsi="Times New Roman" w:cs="Times New Roman"/>
        </w:rPr>
        <w:t>(1).</w:t>
      </w:r>
    </w:p>
    <w:p w14:paraId="5E0EEDD7" w14:textId="77777777" w:rsidR="008D696C" w:rsidRDefault="008D696C" w:rsidP="008D696C">
      <w:pPr>
        <w:spacing w:before="280" w:after="28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Braslavsky</w:t>
      </w:r>
      <w:proofErr w:type="spellEnd"/>
      <w:r>
        <w:rPr>
          <w:rFonts w:ascii="Times New Roman" w:eastAsia="Times New Roman" w:hAnsi="Times New Roman" w:cs="Times New Roman"/>
        </w:rPr>
        <w:t xml:space="preserve">, C. (1985). </w:t>
      </w:r>
      <w:r>
        <w:rPr>
          <w:rFonts w:ascii="Times New Roman" w:eastAsia="Times New Roman" w:hAnsi="Times New Roman" w:cs="Times New Roman"/>
          <w:i/>
          <w:iCs/>
        </w:rPr>
        <w:t>La discriminación educativa en la Argentina</w:t>
      </w:r>
      <w:r>
        <w:rPr>
          <w:rFonts w:ascii="Times New Roman" w:eastAsia="Times New Roman" w:hAnsi="Times New Roman" w:cs="Times New Roman"/>
        </w:rPr>
        <w:t>. FLACSO.</w:t>
      </w:r>
    </w:p>
    <w:p w14:paraId="7DC7459E"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Clark, B. (1991). </w:t>
      </w:r>
      <w:r>
        <w:rPr>
          <w:rFonts w:ascii="Times New Roman" w:eastAsia="Times New Roman" w:hAnsi="Times New Roman" w:cs="Times New Roman"/>
          <w:i/>
          <w:iCs/>
        </w:rPr>
        <w:t>El sistema de educación superior: Una visión comparativa de la organización académica</w:t>
      </w:r>
      <w:r>
        <w:rPr>
          <w:rFonts w:ascii="Times New Roman" w:eastAsia="Times New Roman" w:hAnsi="Times New Roman" w:cs="Times New Roman"/>
        </w:rPr>
        <w:t>. Editorial Nueva Imagen; Universidad Autónoma Metropolitana – Azcapotzalco.</w:t>
      </w:r>
    </w:p>
    <w:p w14:paraId="60C6A98B"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García de </w:t>
      </w:r>
      <w:proofErr w:type="spellStart"/>
      <w:r>
        <w:rPr>
          <w:rFonts w:ascii="Times New Roman" w:eastAsia="Times New Roman" w:hAnsi="Times New Roman" w:cs="Times New Roman"/>
        </w:rPr>
        <w:t>Fanelli</w:t>
      </w:r>
      <w:proofErr w:type="spellEnd"/>
      <w:r>
        <w:rPr>
          <w:rFonts w:ascii="Times New Roman" w:eastAsia="Times New Roman" w:hAnsi="Times New Roman" w:cs="Times New Roman"/>
        </w:rPr>
        <w:t xml:space="preserve">, A. (2025). Brechas en la graduación en la Educación Superior Argentina y su impacto sobre la equidad. </w:t>
      </w:r>
      <w:r>
        <w:rPr>
          <w:rFonts w:ascii="Times New Roman" w:eastAsia="Times New Roman" w:hAnsi="Times New Roman" w:cs="Times New Roman"/>
          <w:i/>
          <w:iCs/>
        </w:rPr>
        <w:t>Revista Pensamiento Universitario</w:t>
      </w:r>
      <w:r>
        <w:rPr>
          <w:rFonts w:ascii="Times New Roman" w:eastAsia="Times New Roman" w:hAnsi="Times New Roman" w:cs="Times New Roman"/>
        </w:rPr>
        <w:t xml:space="preserve">, 23. </w:t>
      </w:r>
      <w:hyperlink r:id="rId10">
        <w:r>
          <w:rPr>
            <w:rFonts w:ascii="Times New Roman" w:eastAsia="Times New Roman" w:hAnsi="Times New Roman" w:cs="Times New Roman"/>
            <w:color w:val="1155CC"/>
            <w:u w:val="single"/>
          </w:rPr>
          <w:t>https://www.pensamientouniversitario.com.ar/index.php/2025/08/21/brechas-en-la-graduacion-en-la-educacion-superior-argentina-y-su-impacto-sobre-la-equidad/#</w:t>
        </w:r>
      </w:hyperlink>
    </w:p>
    <w:p w14:paraId="4063301C"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García de </w:t>
      </w:r>
      <w:proofErr w:type="spellStart"/>
      <w:r>
        <w:rPr>
          <w:rFonts w:ascii="Times New Roman" w:eastAsia="Times New Roman" w:hAnsi="Times New Roman" w:cs="Times New Roman"/>
        </w:rPr>
        <w:t>Fanelli</w:t>
      </w:r>
      <w:proofErr w:type="spellEnd"/>
      <w:r>
        <w:rPr>
          <w:rFonts w:ascii="Times New Roman" w:eastAsia="Times New Roman" w:hAnsi="Times New Roman" w:cs="Times New Roman"/>
        </w:rPr>
        <w:t xml:space="preserve">, A. (2007). </w:t>
      </w:r>
      <w:r>
        <w:rPr>
          <w:rFonts w:ascii="Times New Roman" w:eastAsia="Times New Roman" w:hAnsi="Times New Roman" w:cs="Times New Roman"/>
          <w:i/>
          <w:iCs/>
        </w:rPr>
        <w:t>Acceso, abandono y graduación en la educación superior argentina</w:t>
      </w:r>
      <w:r>
        <w:rPr>
          <w:rFonts w:ascii="Times New Roman" w:eastAsia="Times New Roman" w:hAnsi="Times New Roman" w:cs="Times New Roman"/>
        </w:rPr>
        <w:t xml:space="preserve"> (Documento de Trabajo). SITEAL; UNESCO-IIPE-OEI.</w:t>
      </w:r>
    </w:p>
    <w:p w14:paraId="38396A41"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Ibarrola, M., y </w:t>
      </w:r>
      <w:proofErr w:type="spellStart"/>
      <w:r>
        <w:rPr>
          <w:rFonts w:ascii="Times New Roman" w:eastAsia="Times New Roman" w:hAnsi="Times New Roman" w:cs="Times New Roman"/>
        </w:rPr>
        <w:t>Gallart</w:t>
      </w:r>
      <w:proofErr w:type="spellEnd"/>
      <w:r>
        <w:rPr>
          <w:rFonts w:ascii="Times New Roman" w:eastAsia="Times New Roman" w:hAnsi="Times New Roman" w:cs="Times New Roman"/>
        </w:rPr>
        <w:t>, M. (</w:t>
      </w:r>
      <w:proofErr w:type="spellStart"/>
      <w:r>
        <w:rPr>
          <w:rFonts w:ascii="Times New Roman" w:eastAsia="Times New Roman" w:hAnsi="Times New Roman" w:cs="Times New Roman"/>
        </w:rPr>
        <w:t>Coords</w:t>
      </w:r>
      <w:proofErr w:type="spellEnd"/>
      <w:r>
        <w:rPr>
          <w:rFonts w:ascii="Times New Roman" w:eastAsia="Times New Roman" w:hAnsi="Times New Roman" w:cs="Times New Roman"/>
        </w:rPr>
        <w:t xml:space="preserve">.). (1994). </w:t>
      </w:r>
      <w:r>
        <w:rPr>
          <w:rFonts w:ascii="Times New Roman" w:eastAsia="Times New Roman" w:hAnsi="Times New Roman" w:cs="Times New Roman"/>
          <w:i/>
          <w:iCs/>
        </w:rPr>
        <w:t>Democracia y productividad: Desafíos de una nueva educación media en América Latina</w:t>
      </w:r>
      <w:r>
        <w:rPr>
          <w:rFonts w:ascii="Times New Roman" w:eastAsia="Times New Roman" w:hAnsi="Times New Roman" w:cs="Times New Roman"/>
        </w:rPr>
        <w:t xml:space="preserve"> (Lecturas de Educación y Trabajo N.º 2). UNESCO/OREALC.</w:t>
      </w:r>
    </w:p>
    <w:p w14:paraId="0DAE0F6A" w14:textId="77777777" w:rsidR="008D696C" w:rsidRDefault="008D696C" w:rsidP="008D696C">
      <w:pPr>
        <w:spacing w:before="280" w:after="28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Juarros</w:t>
      </w:r>
      <w:proofErr w:type="spellEnd"/>
      <w:r>
        <w:rPr>
          <w:rFonts w:ascii="Times New Roman" w:eastAsia="Times New Roman" w:hAnsi="Times New Roman" w:cs="Times New Roman"/>
        </w:rPr>
        <w:t xml:space="preserve">, M. F. (2006). ¿Educación superior como derecho o como privilegio?: Las políticas de admisión a la universidad en el contexto de los países de la región. </w:t>
      </w:r>
      <w:r>
        <w:rPr>
          <w:rFonts w:ascii="Times New Roman" w:eastAsia="Times New Roman" w:hAnsi="Times New Roman" w:cs="Times New Roman"/>
          <w:i/>
          <w:iCs/>
        </w:rPr>
        <w:t>Andamios: Revista de Investigación Social</w:t>
      </w:r>
      <w:r>
        <w:rPr>
          <w:rFonts w:ascii="Times New Roman" w:eastAsia="Times New Roman" w:hAnsi="Times New Roman" w:cs="Times New Roman"/>
        </w:rPr>
        <w:t xml:space="preserve">, </w:t>
      </w:r>
      <w:r>
        <w:rPr>
          <w:rFonts w:ascii="Times New Roman" w:eastAsia="Times New Roman" w:hAnsi="Times New Roman" w:cs="Times New Roman"/>
          <w:i/>
          <w:iCs/>
        </w:rPr>
        <w:t>3</w:t>
      </w:r>
      <w:r>
        <w:rPr>
          <w:rFonts w:ascii="Times New Roman" w:eastAsia="Times New Roman" w:hAnsi="Times New Roman" w:cs="Times New Roman"/>
        </w:rPr>
        <w:t>(5), 69-90.</w:t>
      </w:r>
    </w:p>
    <w:p w14:paraId="69921A24"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Laboratorio MIG y Laboratorio de Estadística (2024), </w:t>
      </w:r>
      <w:r>
        <w:rPr>
          <w:rFonts w:ascii="Times New Roman" w:eastAsia="Times New Roman" w:hAnsi="Times New Roman" w:cs="Times New Roman"/>
          <w:i/>
          <w:iCs/>
        </w:rPr>
        <w:t>Anuario Estadístico UTN Avellaneda Serie Ingresantes 2023</w:t>
      </w:r>
      <w:r>
        <w:rPr>
          <w:rFonts w:ascii="Times New Roman" w:eastAsia="Times New Roman" w:hAnsi="Times New Roman" w:cs="Times New Roman"/>
        </w:rPr>
        <w:t xml:space="preserve">. Agosto. Universidad Tecnológica Nacional, Facultad Regional Avellaneda. </w:t>
      </w:r>
      <w:hyperlink r:id="rId11">
        <w:r>
          <w:rPr>
            <w:rFonts w:ascii="Times New Roman" w:eastAsia="Times New Roman" w:hAnsi="Times New Roman" w:cs="Times New Roman"/>
            <w:color w:val="1155CC"/>
            <w:u w:val="single"/>
          </w:rPr>
          <w:t>https://fra.utn.edu.ar/wp-content/uploads/2024/08/Anuario-Ingresantes-2023.pdf</w:t>
        </w:r>
      </w:hyperlink>
    </w:p>
    <w:p w14:paraId="2501BF9B"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Laboratorio MIG y Laboratorio de Estadística (2024b), Anuario Estadístico UTN Avellaneda Serie Egresados/as 2022-2023. Diciembre. Universidad Tecnológica Nacional, Facultad Regional Avellaneda.</w:t>
      </w:r>
      <w:hyperlink r:id="rId12">
        <w:r>
          <w:rPr>
            <w:rFonts w:ascii="Times New Roman" w:eastAsia="Times New Roman" w:hAnsi="Times New Roman" w:cs="Times New Roman"/>
          </w:rPr>
          <w:t xml:space="preserve"> </w:t>
        </w:r>
      </w:hyperlink>
      <w:hyperlink r:id="rId13">
        <w:r>
          <w:rPr>
            <w:rFonts w:ascii="Times New Roman" w:eastAsia="Times New Roman" w:hAnsi="Times New Roman" w:cs="Times New Roman"/>
            <w:color w:val="467886"/>
            <w:u w:val="single"/>
          </w:rPr>
          <w:t>https://fra.utn.edu.ar/wp-content/uploads/2024/12/Anuario-egresadxs-2022_2023-2.pdf</w:t>
        </w:r>
      </w:hyperlink>
    </w:p>
    <w:p w14:paraId="4F205FB2" w14:textId="77777777" w:rsidR="008D696C" w:rsidRDefault="008D696C" w:rsidP="008D696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Laboratorio MIG y Laboratorio de Estadística (2025), Anuario Estadístico UTN Avellaneda Serie Ingresantes 2024. Agosto. Universidad Tecnológica Nacional, </w:t>
      </w:r>
      <w:proofErr w:type="spellStart"/>
      <w:r>
        <w:rPr>
          <w:rFonts w:ascii="Times New Roman" w:eastAsia="Times New Roman" w:hAnsi="Times New Roman" w:cs="Times New Roman"/>
        </w:rPr>
        <w:t>Facvultad</w:t>
      </w:r>
      <w:proofErr w:type="spellEnd"/>
      <w:r>
        <w:rPr>
          <w:rFonts w:ascii="Times New Roman" w:eastAsia="Times New Roman" w:hAnsi="Times New Roman" w:cs="Times New Roman"/>
        </w:rPr>
        <w:t xml:space="preserve"> Regional Avellaneda. </w:t>
      </w:r>
      <w:hyperlink r:id="rId14">
        <w:r>
          <w:rPr>
            <w:rFonts w:ascii="Times New Roman" w:eastAsia="Times New Roman" w:hAnsi="Times New Roman" w:cs="Times New Roman"/>
            <w:color w:val="1155CC"/>
            <w:u w:val="single"/>
          </w:rPr>
          <w:t>https://fra.utn.edu.ar/wp-content/uploads/2025/09/anuario_ingresantes_2_2024_rev03-final.pdf</w:t>
        </w:r>
      </w:hyperlink>
    </w:p>
    <w:p w14:paraId="280406F5"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Rio, V. y </w:t>
      </w:r>
      <w:proofErr w:type="spellStart"/>
      <w:r>
        <w:rPr>
          <w:rFonts w:ascii="Times New Roman" w:eastAsia="Times New Roman" w:hAnsi="Times New Roman" w:cs="Times New Roman"/>
        </w:rPr>
        <w:t>Somma</w:t>
      </w:r>
      <w:proofErr w:type="spellEnd"/>
      <w:r>
        <w:rPr>
          <w:rFonts w:ascii="Times New Roman" w:eastAsia="Times New Roman" w:hAnsi="Times New Roman" w:cs="Times New Roman"/>
        </w:rPr>
        <w:t xml:space="preserve">, L. (2016) </w:t>
      </w:r>
      <w:r>
        <w:rPr>
          <w:rFonts w:ascii="Times New Roman" w:eastAsia="Times New Roman" w:hAnsi="Times New Roman" w:cs="Times New Roman"/>
          <w:i/>
          <w:iCs/>
          <w:color w:val="1A1A1A"/>
          <w:highlight w:val="white"/>
        </w:rPr>
        <w:t>Tensiones y dificultades en el avance de la cursada. Un estudio de trayectorias de ingresantes 2009.</w:t>
      </w:r>
      <w:r>
        <w:rPr>
          <w:rFonts w:ascii="Times New Roman" w:eastAsia="Times New Roman" w:hAnsi="Times New Roman" w:cs="Times New Roman"/>
          <w:color w:val="1A1A1A"/>
          <w:highlight w:val="white"/>
        </w:rPr>
        <w:t xml:space="preserve"> (Documento de Trabajo Nº 9). L</w:t>
      </w:r>
      <w:r>
        <w:rPr>
          <w:rFonts w:ascii="Times New Roman" w:eastAsia="Times New Roman" w:hAnsi="Times New Roman" w:cs="Times New Roman"/>
        </w:rPr>
        <w:t xml:space="preserve">aboratorio MIG, Facultad Regional Avellaneda, Universidad Tecnológica Nacional  </w:t>
      </w:r>
      <w:hyperlink r:id="rId15">
        <w:r>
          <w:rPr>
            <w:rFonts w:ascii="Times New Roman" w:eastAsia="Times New Roman" w:hAnsi="Times New Roman" w:cs="Times New Roman"/>
            <w:color w:val="1155CC"/>
            <w:u w:val="single"/>
          </w:rPr>
          <w:t>https://fra.utn.edu.ar/wp-content/uploads/2023/12/documento_trabajo_web_9.pdf</w:t>
        </w:r>
      </w:hyperlink>
    </w:p>
    <w:p w14:paraId="3D8BAFEF"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Simone, V., </w:t>
      </w:r>
      <w:proofErr w:type="spellStart"/>
      <w:r>
        <w:rPr>
          <w:rFonts w:ascii="Times New Roman" w:eastAsia="Times New Roman" w:hAnsi="Times New Roman" w:cs="Times New Roman"/>
        </w:rPr>
        <w:t>Iavorski</w:t>
      </w:r>
      <w:proofErr w:type="spellEnd"/>
      <w:r>
        <w:rPr>
          <w:rFonts w:ascii="Times New Roman" w:eastAsia="Times New Roman" w:hAnsi="Times New Roman" w:cs="Times New Roman"/>
        </w:rPr>
        <w:t xml:space="preserve"> Losada, I., </w:t>
      </w:r>
      <w:proofErr w:type="spellStart"/>
      <w:r>
        <w:rPr>
          <w:rFonts w:ascii="Times New Roman" w:eastAsia="Times New Roman" w:hAnsi="Times New Roman" w:cs="Times New Roman"/>
        </w:rPr>
        <w:t>Somma</w:t>
      </w:r>
      <w:proofErr w:type="spellEnd"/>
      <w:r>
        <w:rPr>
          <w:rFonts w:ascii="Times New Roman" w:eastAsia="Times New Roman" w:hAnsi="Times New Roman" w:cs="Times New Roman"/>
        </w:rPr>
        <w:t xml:space="preserve">, L., y </w:t>
      </w:r>
      <w:proofErr w:type="spellStart"/>
      <w:r>
        <w:rPr>
          <w:rFonts w:ascii="Times New Roman" w:eastAsia="Times New Roman" w:hAnsi="Times New Roman" w:cs="Times New Roman"/>
        </w:rPr>
        <w:t>Wejchenberg</w:t>
      </w:r>
      <w:proofErr w:type="spellEnd"/>
      <w:r>
        <w:rPr>
          <w:rFonts w:ascii="Times New Roman" w:eastAsia="Times New Roman" w:hAnsi="Times New Roman" w:cs="Times New Roman"/>
        </w:rPr>
        <w:t xml:space="preserve">, D. (2013). </w:t>
      </w:r>
      <w:r>
        <w:rPr>
          <w:rFonts w:ascii="Times New Roman" w:eastAsia="Times New Roman" w:hAnsi="Times New Roman" w:cs="Times New Roman"/>
          <w:i/>
          <w:iCs/>
        </w:rPr>
        <w:t>El seguimiento de una cohorte de alumnos. Los recorridos académicos a cinco años del ingreso</w:t>
      </w:r>
      <w:r>
        <w:rPr>
          <w:rFonts w:ascii="Times New Roman" w:eastAsia="Times New Roman" w:hAnsi="Times New Roman" w:cs="Times New Roman"/>
        </w:rPr>
        <w:t xml:space="preserve"> (Documento de Trabajo N.° 7). Laboratorio MIG, Facultad Regional Avellaneda, Universidad Tecnológica Nacional. </w:t>
      </w:r>
      <w:hyperlink r:id="rId16">
        <w:r>
          <w:rPr>
            <w:rFonts w:ascii="Times New Roman" w:eastAsia="Times New Roman" w:hAnsi="Times New Roman" w:cs="Times New Roman"/>
            <w:color w:val="1155CC"/>
            <w:u w:val="single"/>
          </w:rPr>
          <w:t>https://fra.utn.edu.ar/wp-content/uploads/2023/12/documento_trabajo_web_7.pdf</w:t>
        </w:r>
      </w:hyperlink>
    </w:p>
    <w:p w14:paraId="32E92FE1"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Simone, V., Pazos, C., y </w:t>
      </w:r>
      <w:proofErr w:type="spellStart"/>
      <w:r>
        <w:rPr>
          <w:rFonts w:ascii="Times New Roman" w:eastAsia="Times New Roman" w:hAnsi="Times New Roman" w:cs="Times New Roman"/>
        </w:rPr>
        <w:t>Wejchenberg</w:t>
      </w:r>
      <w:proofErr w:type="spellEnd"/>
      <w:r>
        <w:rPr>
          <w:rFonts w:ascii="Times New Roman" w:eastAsia="Times New Roman" w:hAnsi="Times New Roman" w:cs="Times New Roman"/>
        </w:rPr>
        <w:t xml:space="preserve">, D. (2009). </w:t>
      </w:r>
      <w:r>
        <w:rPr>
          <w:rFonts w:ascii="Times New Roman" w:eastAsia="Times New Roman" w:hAnsi="Times New Roman" w:cs="Times New Roman"/>
          <w:i/>
          <w:iCs/>
        </w:rPr>
        <w:t>Los alumnos de la UTN-Facultad Regional Avellaneda: entre el estudio y el trabajo</w:t>
      </w:r>
      <w:r>
        <w:rPr>
          <w:rFonts w:ascii="Times New Roman" w:eastAsia="Times New Roman" w:hAnsi="Times New Roman" w:cs="Times New Roman"/>
        </w:rPr>
        <w:t xml:space="preserve"> (Documento de Trabajo N.° 2). Laboratorio MIG, Facultad Regional Avellaneda, Universidad Tecnológica Nacional. </w:t>
      </w:r>
      <w:hyperlink r:id="rId17">
        <w:r>
          <w:rPr>
            <w:rFonts w:ascii="Times New Roman" w:eastAsia="Times New Roman" w:hAnsi="Times New Roman" w:cs="Times New Roman"/>
            <w:color w:val="1155CC"/>
            <w:u w:val="single"/>
          </w:rPr>
          <w:t>https://fra.utn.edu.ar/wp-content/uploads/2023/12/documento_trabajo_web_2.pdf</w:t>
        </w:r>
      </w:hyperlink>
    </w:p>
    <w:p w14:paraId="36DE8C3A"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Simone, V., </w:t>
      </w:r>
      <w:proofErr w:type="spellStart"/>
      <w:r>
        <w:rPr>
          <w:rFonts w:ascii="Times New Roman" w:eastAsia="Times New Roman" w:hAnsi="Times New Roman" w:cs="Times New Roman"/>
        </w:rPr>
        <w:t>Somma</w:t>
      </w:r>
      <w:proofErr w:type="spellEnd"/>
      <w:r>
        <w:rPr>
          <w:rFonts w:ascii="Times New Roman" w:eastAsia="Times New Roman" w:hAnsi="Times New Roman" w:cs="Times New Roman"/>
        </w:rPr>
        <w:t xml:space="preserve">, L., </w:t>
      </w:r>
      <w:proofErr w:type="spellStart"/>
      <w:r>
        <w:rPr>
          <w:rFonts w:ascii="Times New Roman" w:eastAsia="Times New Roman" w:hAnsi="Times New Roman" w:cs="Times New Roman"/>
        </w:rPr>
        <w:t>Iavorski</w:t>
      </w:r>
      <w:proofErr w:type="spellEnd"/>
      <w:r>
        <w:rPr>
          <w:rFonts w:ascii="Times New Roman" w:eastAsia="Times New Roman" w:hAnsi="Times New Roman" w:cs="Times New Roman"/>
        </w:rPr>
        <w:t xml:space="preserve"> Losada, I y </w:t>
      </w:r>
      <w:proofErr w:type="spellStart"/>
      <w:r>
        <w:rPr>
          <w:rFonts w:ascii="Times New Roman" w:eastAsia="Times New Roman" w:hAnsi="Times New Roman" w:cs="Times New Roman"/>
        </w:rPr>
        <w:t>Wejchenberg</w:t>
      </w:r>
      <w:proofErr w:type="spellEnd"/>
      <w:r>
        <w:rPr>
          <w:rFonts w:ascii="Times New Roman" w:eastAsia="Times New Roman" w:hAnsi="Times New Roman" w:cs="Times New Roman"/>
        </w:rPr>
        <w:t xml:space="preserve">, D. (2024) El proceso de ingreso e integración universitaria en carreras de ingeniería. Seguimiento de estudiantes de la UTN Avellaneda. Ponencia presentada en </w:t>
      </w:r>
      <w:r>
        <w:rPr>
          <w:rFonts w:ascii="Times New Roman" w:eastAsia="Times New Roman" w:hAnsi="Times New Roman" w:cs="Times New Roman"/>
          <w:i/>
          <w:iCs/>
        </w:rPr>
        <w:t>IX Encuentro nacional y VI latinoamericano La Universidad como objeto de investigación Reconfiguraciones en la agenda académica, disputas en torno a la dimensión lo público y debates sobre el futuro de la universidad</w:t>
      </w:r>
      <w:r>
        <w:rPr>
          <w:rFonts w:ascii="Times New Roman" w:eastAsia="Times New Roman" w:hAnsi="Times New Roman" w:cs="Times New Roman"/>
        </w:rPr>
        <w:t xml:space="preserve">. Universidad Nacional de la Plata. </w:t>
      </w:r>
      <w:hyperlink r:id="rId18">
        <w:r>
          <w:rPr>
            <w:rFonts w:ascii="Times New Roman" w:eastAsia="Times New Roman" w:hAnsi="Times New Roman" w:cs="Times New Roman"/>
            <w:color w:val="1155CC"/>
            <w:u w:val="single"/>
          </w:rPr>
          <w:t>https://congresos.fahce.unlp.edu.ar/la-universidad-como-objeto-de-investigacion/ix-encuentro/actas/ponencia-240517173903850445</w:t>
        </w:r>
      </w:hyperlink>
    </w:p>
    <w:p w14:paraId="12B65D79" w14:textId="77777777" w:rsidR="008D696C" w:rsidRDefault="008D696C" w:rsidP="008D696C">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rPr>
        <w:t xml:space="preserve">Simone, V., </w:t>
      </w:r>
      <w:proofErr w:type="spellStart"/>
      <w:r>
        <w:rPr>
          <w:rFonts w:ascii="Times New Roman" w:eastAsia="Times New Roman" w:hAnsi="Times New Roman" w:cs="Times New Roman"/>
        </w:rPr>
        <w:t>Wejchenberg</w:t>
      </w:r>
      <w:proofErr w:type="spellEnd"/>
      <w:r>
        <w:rPr>
          <w:rFonts w:ascii="Times New Roman" w:eastAsia="Times New Roman" w:hAnsi="Times New Roman" w:cs="Times New Roman"/>
        </w:rPr>
        <w:t xml:space="preserve">, D., </w:t>
      </w:r>
      <w:proofErr w:type="spellStart"/>
      <w:r>
        <w:rPr>
          <w:rFonts w:ascii="Times New Roman" w:eastAsia="Times New Roman" w:hAnsi="Times New Roman" w:cs="Times New Roman"/>
        </w:rPr>
        <w:t>Iavorski</w:t>
      </w:r>
      <w:proofErr w:type="spellEnd"/>
      <w:r>
        <w:rPr>
          <w:rFonts w:ascii="Times New Roman" w:eastAsia="Times New Roman" w:hAnsi="Times New Roman" w:cs="Times New Roman"/>
        </w:rPr>
        <w:t xml:space="preserve"> Losada, I. y </w:t>
      </w:r>
      <w:proofErr w:type="spellStart"/>
      <w:r>
        <w:rPr>
          <w:rFonts w:ascii="Times New Roman" w:eastAsia="Times New Roman" w:hAnsi="Times New Roman" w:cs="Times New Roman"/>
        </w:rPr>
        <w:t>Somma</w:t>
      </w:r>
      <w:proofErr w:type="spellEnd"/>
      <w:r>
        <w:rPr>
          <w:rFonts w:ascii="Times New Roman" w:eastAsia="Times New Roman" w:hAnsi="Times New Roman" w:cs="Times New Roman"/>
        </w:rPr>
        <w:t xml:space="preserve">, L. (2020) La construcción de una población de referencia. El seguimiento de graduados/as de las cohortes 2006 a 2010. (Documento de Trabajo N.° 11). Laboratorio MIG, Facultad Regional Avellaneda, Universidad Tecnológica Nacional.  </w:t>
      </w:r>
      <w:hyperlink r:id="rId19">
        <w:r>
          <w:rPr>
            <w:rFonts w:ascii="Times New Roman" w:eastAsia="Times New Roman" w:hAnsi="Times New Roman" w:cs="Times New Roman"/>
            <w:color w:val="1155CC"/>
            <w:u w:val="single"/>
          </w:rPr>
          <w:t>https://fra.utn.edu.ar/wp-content/uploads/2023/12/documento_trabajo_web_11.pdf</w:t>
        </w:r>
      </w:hyperlink>
    </w:p>
    <w:p w14:paraId="792C9A9C" w14:textId="77777777" w:rsidR="008D696C" w:rsidRDefault="008D696C" w:rsidP="008D696C">
      <w:pPr>
        <w:spacing w:before="280" w:after="28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Somma</w:t>
      </w:r>
      <w:proofErr w:type="spellEnd"/>
      <w:r>
        <w:rPr>
          <w:rFonts w:ascii="Times New Roman" w:eastAsia="Times New Roman" w:hAnsi="Times New Roman" w:cs="Times New Roman"/>
        </w:rPr>
        <w:t xml:space="preserve">, L., e </w:t>
      </w:r>
      <w:proofErr w:type="spellStart"/>
      <w:r>
        <w:rPr>
          <w:rFonts w:ascii="Times New Roman" w:eastAsia="Times New Roman" w:hAnsi="Times New Roman" w:cs="Times New Roman"/>
        </w:rPr>
        <w:t>Iavorski</w:t>
      </w:r>
      <w:proofErr w:type="spellEnd"/>
      <w:r>
        <w:rPr>
          <w:rFonts w:ascii="Times New Roman" w:eastAsia="Times New Roman" w:hAnsi="Times New Roman" w:cs="Times New Roman"/>
        </w:rPr>
        <w:t xml:space="preserve">, Losada I. (2015). Trayectorias educativas en el nivel superior: comportamientos, dinámicas y estrategias de estudiantes de ingeniería. En M. </w:t>
      </w:r>
      <w:proofErr w:type="spellStart"/>
      <w:r>
        <w:rPr>
          <w:rFonts w:ascii="Times New Roman" w:eastAsia="Times New Roman" w:hAnsi="Times New Roman" w:cs="Times New Roman"/>
        </w:rPr>
        <w:t>Panaia</w:t>
      </w:r>
      <w:proofErr w:type="spellEnd"/>
      <w:r>
        <w:rPr>
          <w:rFonts w:ascii="Times New Roman" w:eastAsia="Times New Roman" w:hAnsi="Times New Roman" w:cs="Times New Roman"/>
        </w:rPr>
        <w:t xml:space="preserve"> (Coord.), </w:t>
      </w:r>
      <w:r>
        <w:rPr>
          <w:rFonts w:ascii="Times New Roman" w:eastAsia="Times New Roman" w:hAnsi="Times New Roman" w:cs="Times New Roman"/>
          <w:i/>
          <w:iCs/>
        </w:rPr>
        <w:t xml:space="preserve">Universidades en cambio: ¿generalistas o </w:t>
      </w:r>
      <w:proofErr w:type="spellStart"/>
      <w:r>
        <w:rPr>
          <w:rFonts w:ascii="Times New Roman" w:eastAsia="Times New Roman" w:hAnsi="Times New Roman" w:cs="Times New Roman"/>
          <w:i/>
          <w:iCs/>
        </w:rPr>
        <w:t>profesionalizantes</w:t>
      </w:r>
      <w:proofErr w:type="spellEnd"/>
      <w:r>
        <w:rPr>
          <w:rFonts w:ascii="Times New Roman" w:eastAsia="Times New Roman" w:hAnsi="Times New Roman" w:cs="Times New Roman"/>
          <w:i/>
          <w:iCs/>
        </w:rPr>
        <w:t>?</w:t>
      </w:r>
      <w:r>
        <w:rPr>
          <w:rFonts w:ascii="Times New Roman" w:eastAsia="Times New Roman" w:hAnsi="Times New Roman" w:cs="Times New Roman"/>
        </w:rPr>
        <w:t xml:space="preserve"> Miño y Dávila.</w:t>
      </w:r>
    </w:p>
    <w:p w14:paraId="3F344098" w14:textId="77777777" w:rsidR="008D696C" w:rsidRDefault="008D696C" w:rsidP="008D696C">
      <w:pPr>
        <w:spacing w:before="280" w:after="28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Somma</w:t>
      </w:r>
      <w:proofErr w:type="spellEnd"/>
      <w:r>
        <w:rPr>
          <w:rFonts w:ascii="Times New Roman" w:eastAsia="Times New Roman" w:hAnsi="Times New Roman" w:cs="Times New Roman"/>
        </w:rPr>
        <w:t xml:space="preserve">, L., </w:t>
      </w:r>
      <w:proofErr w:type="spellStart"/>
      <w:r>
        <w:rPr>
          <w:rFonts w:ascii="Times New Roman" w:eastAsia="Times New Roman" w:hAnsi="Times New Roman" w:cs="Times New Roman"/>
        </w:rPr>
        <w:t>Wejchenberg</w:t>
      </w:r>
      <w:proofErr w:type="spellEnd"/>
      <w:r>
        <w:rPr>
          <w:rFonts w:ascii="Times New Roman" w:eastAsia="Times New Roman" w:hAnsi="Times New Roman" w:cs="Times New Roman"/>
        </w:rPr>
        <w:t xml:space="preserve">, D., Simone, V., y </w:t>
      </w:r>
      <w:proofErr w:type="spellStart"/>
      <w:r>
        <w:rPr>
          <w:rFonts w:ascii="Times New Roman" w:eastAsia="Times New Roman" w:hAnsi="Times New Roman" w:cs="Times New Roman"/>
        </w:rPr>
        <w:t>Iavorski</w:t>
      </w:r>
      <w:proofErr w:type="spellEnd"/>
      <w:r>
        <w:rPr>
          <w:rFonts w:ascii="Times New Roman" w:eastAsia="Times New Roman" w:hAnsi="Times New Roman" w:cs="Times New Roman"/>
        </w:rPr>
        <w:t xml:space="preserve"> Losada, I. (2021). </w:t>
      </w:r>
      <w:r>
        <w:rPr>
          <w:rFonts w:ascii="Times New Roman" w:eastAsia="Times New Roman" w:hAnsi="Times New Roman" w:cs="Times New Roman"/>
          <w:i/>
          <w:iCs/>
        </w:rPr>
        <w:t>Primer año en la Universidad. Características socioeducativas y seguimiento de ingresantes 2012-2016 de la UTN FRA</w:t>
      </w:r>
      <w:r>
        <w:rPr>
          <w:rFonts w:ascii="Times New Roman" w:eastAsia="Times New Roman" w:hAnsi="Times New Roman" w:cs="Times New Roman"/>
        </w:rPr>
        <w:t xml:space="preserve"> (Documento de Trabajo N.° 13). Laboratorio MIG, Facultad Regional Avellaneda, Universidad Tecnológica Nacional. </w:t>
      </w:r>
      <w:hyperlink r:id="rId20">
        <w:r>
          <w:rPr>
            <w:rFonts w:ascii="Times New Roman" w:eastAsia="Times New Roman" w:hAnsi="Times New Roman" w:cs="Times New Roman"/>
            <w:color w:val="1155CC"/>
            <w:u w:val="single"/>
          </w:rPr>
          <w:t>https://fra.utn.edu.ar/wp-content/uploads/2023/12/documento_trabajo_web_13.pdf</w:t>
        </w:r>
      </w:hyperlink>
    </w:p>
    <w:p w14:paraId="529ECCAD" w14:textId="77777777" w:rsidR="008D696C" w:rsidRDefault="008D696C" w:rsidP="008D696C">
      <w:pPr>
        <w:spacing w:before="280" w:after="28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Tenti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Fanfani</w:t>
      </w:r>
      <w:proofErr w:type="spellEnd"/>
      <w:r>
        <w:rPr>
          <w:rFonts w:ascii="Times New Roman" w:eastAsia="Times New Roman" w:hAnsi="Times New Roman" w:cs="Times New Roman"/>
        </w:rPr>
        <w:t xml:space="preserve">, E. (1993). Universidad en crisis y campo intelectual: Entre la autonomía y la excelencia. </w:t>
      </w:r>
      <w:r>
        <w:rPr>
          <w:rFonts w:ascii="Times New Roman" w:eastAsia="Times New Roman" w:hAnsi="Times New Roman" w:cs="Times New Roman"/>
          <w:i/>
          <w:iCs/>
        </w:rPr>
        <w:t>Revista del Instituto de Investigaciones en Ciencias de la Educación</w:t>
      </w:r>
      <w:r>
        <w:rPr>
          <w:rFonts w:ascii="Times New Roman" w:eastAsia="Times New Roman" w:hAnsi="Times New Roman" w:cs="Times New Roman"/>
        </w:rPr>
        <w:t xml:space="preserve">, </w:t>
      </w:r>
      <w:r>
        <w:rPr>
          <w:rFonts w:ascii="Times New Roman" w:eastAsia="Times New Roman" w:hAnsi="Times New Roman" w:cs="Times New Roman"/>
          <w:i/>
          <w:iCs/>
        </w:rPr>
        <w:t>2</w:t>
      </w:r>
      <w:r>
        <w:rPr>
          <w:rFonts w:ascii="Times New Roman" w:eastAsia="Times New Roman" w:hAnsi="Times New Roman" w:cs="Times New Roman"/>
        </w:rPr>
        <w:t>(3).</w:t>
      </w:r>
    </w:p>
    <w:p w14:paraId="7E83515B" w14:textId="18182139" w:rsidR="001923DC" w:rsidRPr="008D696C" w:rsidRDefault="008D696C" w:rsidP="008D696C">
      <w:pPr>
        <w:spacing w:before="280" w:after="28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Terigi</w:t>
      </w:r>
      <w:proofErr w:type="spellEnd"/>
      <w:r>
        <w:rPr>
          <w:rFonts w:ascii="Times New Roman" w:eastAsia="Times New Roman" w:hAnsi="Times New Roman" w:cs="Times New Roman"/>
        </w:rPr>
        <w:t xml:space="preserve">, F. (2008). Los cambios en el formato de la escuela secundaria argentina: Por qué son necesarios, por qué son tan difíciles. </w:t>
      </w:r>
      <w:r>
        <w:rPr>
          <w:rFonts w:ascii="Times New Roman" w:eastAsia="Times New Roman" w:hAnsi="Times New Roman" w:cs="Times New Roman"/>
          <w:i/>
          <w:iCs/>
        </w:rPr>
        <w:t>Propuesta Educativa.</w:t>
      </w:r>
    </w:p>
    <w:sectPr w:rsidR="001923DC" w:rsidRPr="008D696C" w:rsidSect="00701F64">
      <w:headerReference w:type="default" r:id="rId21"/>
      <w:footerReference w:type="default" r:id="rId2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EF7AD" w14:textId="77777777" w:rsidR="00B63273" w:rsidRPr="00BA642E" w:rsidRDefault="00B63273" w:rsidP="00C802F5">
      <w:pPr>
        <w:spacing w:after="0" w:line="240" w:lineRule="auto"/>
      </w:pPr>
      <w:r w:rsidRPr="00BA642E">
        <w:separator/>
      </w:r>
    </w:p>
  </w:endnote>
  <w:endnote w:type="continuationSeparator" w:id="0">
    <w:p w14:paraId="0CC1011B" w14:textId="77777777" w:rsidR="00B63273" w:rsidRPr="00BA642E" w:rsidRDefault="00B6327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4B783" w14:textId="77777777" w:rsidR="00B63273" w:rsidRPr="00BA642E" w:rsidRDefault="00B63273" w:rsidP="00C802F5">
      <w:pPr>
        <w:spacing w:after="0" w:line="240" w:lineRule="auto"/>
      </w:pPr>
      <w:r w:rsidRPr="00BA642E">
        <w:separator/>
      </w:r>
    </w:p>
  </w:footnote>
  <w:footnote w:type="continuationSeparator" w:id="0">
    <w:p w14:paraId="6A2E186F" w14:textId="77777777" w:rsidR="00B63273" w:rsidRPr="00BA642E" w:rsidRDefault="00B63273"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816D6"/>
    <w:rsid w:val="00185F5E"/>
    <w:rsid w:val="001923DC"/>
    <w:rsid w:val="002327C3"/>
    <w:rsid w:val="002927DB"/>
    <w:rsid w:val="00312392"/>
    <w:rsid w:val="004040C0"/>
    <w:rsid w:val="00437E9C"/>
    <w:rsid w:val="00550766"/>
    <w:rsid w:val="005C3E15"/>
    <w:rsid w:val="005F3B2E"/>
    <w:rsid w:val="00701F64"/>
    <w:rsid w:val="007B5B5F"/>
    <w:rsid w:val="007D233B"/>
    <w:rsid w:val="0085070B"/>
    <w:rsid w:val="008D696C"/>
    <w:rsid w:val="00A17247"/>
    <w:rsid w:val="00B63273"/>
    <w:rsid w:val="00BA642E"/>
    <w:rsid w:val="00BC236F"/>
    <w:rsid w:val="00C802F5"/>
    <w:rsid w:val="00C96B2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fra.utn.edu.ar/wp-content/uploads/2024/12/Anuario-egresadxs-2022_2023-2.pdf" TargetMode="External"/><Relationship Id="rId18" Type="http://schemas.openxmlformats.org/officeDocument/2006/relationships/hyperlink" Target="https://congresos.fahce.unlp.edu.ar/la-universidad-como-objeto-de-investigacion/ix-encuentro/actas/ponencia-240517173903850445"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hyperlink" Target="https://fra.utn.edu.ar/wp-content/uploads/2024/12/Anuario-egresadxs-2022_2023-2.pdf" TargetMode="External"/><Relationship Id="rId17" Type="http://schemas.openxmlformats.org/officeDocument/2006/relationships/hyperlink" Target="https://fra.utn.edu.ar/wp-content/uploads/2023/12/documento_trabajo_web_2.pdf" TargetMode="External"/><Relationship Id="rId2" Type="http://schemas.openxmlformats.org/officeDocument/2006/relationships/settings" Target="settings.xml"/><Relationship Id="rId16" Type="http://schemas.openxmlformats.org/officeDocument/2006/relationships/hyperlink" Target="https://fra.utn.edu.ar/wp-content/uploads/2023/12/documento_trabajo_web_7.pdf" TargetMode="External"/><Relationship Id="rId20" Type="http://schemas.openxmlformats.org/officeDocument/2006/relationships/hyperlink" Target="https://fra.utn.edu.ar/wp-content/uploads/2023/12/documento_trabajo_web_13.pdf"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fra.utn.edu.ar/wp-content/uploads/2024/08/Anuario-Ingresantes-2023.pdf"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fra.utn.edu.ar/wp-content/uploads/2023/12/documento_trabajo_web_9.pdf" TargetMode="External"/><Relationship Id="rId23" Type="http://schemas.openxmlformats.org/officeDocument/2006/relationships/fontTable" Target="fontTable.xml"/><Relationship Id="rId10" Type="http://schemas.openxmlformats.org/officeDocument/2006/relationships/hyperlink" Target="https://www.pensamientouniversitario.com.ar/index.php/2025/08/21/brechas-en-la-graduacion-en-la-educacion-superior-argentina-y-su-impacto-sobre-la-equidad/" TargetMode="External"/><Relationship Id="rId19" Type="http://schemas.openxmlformats.org/officeDocument/2006/relationships/hyperlink" Target="https://fra.utn.edu.ar/wp-content/uploads/2023/12/documento_trabajo_web_11.pdf"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fra.utn.edu.ar/wp-content/uploads/2025/09/anuario_ingresantes_2_2024_rev03-final.pdf"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18</Pages>
  <Words>7479</Words>
  <Characters>41135</Characters>
  <Application>Microsoft Office Word</Application>
  <DocSecurity>0</DocSecurity>
  <Lines>342</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Bloque Fuerza Patria</cp:lastModifiedBy>
  <cp:revision>6</cp:revision>
  <dcterms:created xsi:type="dcterms:W3CDTF">2026-03-14T03:50:00Z</dcterms:created>
  <dcterms:modified xsi:type="dcterms:W3CDTF">2026-07-01T16:13:00Z</dcterms:modified>
</cp:coreProperties>
</file>